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A14D71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ноября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9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557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7B3C46" w:rsidRPr="00107D8B" w:rsidRDefault="00FD0D67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5701D2" w:rsidRPr="00304044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706CC0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5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706CC0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5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706CC0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5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706CC0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5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706CC0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706CC0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5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706CC0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706CC0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-25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00762B" w:rsidRPr="00706CC0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06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-25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Председателя Правительства – Министр финансов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134" w:type="dxa"/>
          </w:tcPr>
          <w:p w:rsidR="00CA6EFD" w:rsidRPr="00706CC0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26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472C01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736357" w:rsidRDefault="00F11B93" w:rsidP="00F11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Правительства Приднестровской Молдавской Республики – министр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Default="00F11B93" w:rsidP="00F11B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С.А. Оболоник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472C01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A141CD" w:rsidRDefault="00F11B93" w:rsidP="00F11B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министра финансов – директор</w:t>
            </w: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налоговой службы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Pr="00A141CD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 Кошелев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№11- 13, 25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A141CD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A141CD" w:rsidRDefault="00F11B93" w:rsidP="00F11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Pr="00A141CD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№8, 9, 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A141CD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A141CD" w:rsidRDefault="00F11B93" w:rsidP="00F11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Pr="00A141CD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№8, 14-16, 23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A141CD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8F3606" w:rsidRDefault="00F11B93" w:rsidP="00F11B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  <w:t>Начальник</w:t>
            </w:r>
            <w:r w:rsidRPr="008F3606"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  <w:t xml:space="preserve">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Pr="00A141CD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С.Ф. Григорица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№14, 17- 23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A141CD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Default="00F11B93" w:rsidP="00F11B93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 w:rsidRPr="00A14D71"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  <w:t>Начальник Государственной службы судебных исполнителей МЮ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Р.В. </w:t>
            </w:r>
            <w:r w:rsidRPr="00A14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Райлян 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</w:t>
            </w:r>
          </w:p>
        </w:tc>
      </w:tr>
      <w:tr w:rsidR="00F11B93" w:rsidRPr="00107D8B" w:rsidTr="00546DE7">
        <w:trPr>
          <w:trHeight w:val="304"/>
        </w:trPr>
        <w:tc>
          <w:tcPr>
            <w:tcW w:w="568" w:type="dxa"/>
            <w:vAlign w:val="center"/>
          </w:tcPr>
          <w:p w:rsidR="00F11B93" w:rsidRPr="00A141CD" w:rsidRDefault="00F11B93" w:rsidP="00F11B93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F11B93" w:rsidRPr="00FF703E" w:rsidRDefault="00F11B93" w:rsidP="00F11B93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Министр по социальной защите и труду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93" w:rsidRPr="00FF703E" w:rsidRDefault="00F11B93" w:rsidP="00F1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3E">
              <w:rPr>
                <w:rFonts w:ascii="Times New Roman" w:hAnsi="Times New Roman" w:cs="Times New Roman"/>
                <w:b/>
                <w:sz w:val="24"/>
                <w:szCs w:val="24"/>
              </w:rPr>
              <w:t>Е.Н. Куличенко</w:t>
            </w:r>
          </w:p>
        </w:tc>
        <w:tc>
          <w:tcPr>
            <w:tcW w:w="1134" w:type="dxa"/>
          </w:tcPr>
          <w:p w:rsidR="00F11B93" w:rsidRDefault="00F11B93" w:rsidP="00F1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№1, 5-6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Default="008D7C52" w:rsidP="008D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Первый </w:t>
            </w:r>
            <w:r w:rsidRPr="00F72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заместителя министра по социальной защите и труду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F72F2E" w:rsidRDefault="008D7C52" w:rsidP="008D7C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 А. Федотов</w:t>
            </w:r>
          </w:p>
        </w:tc>
        <w:tc>
          <w:tcPr>
            <w:tcW w:w="1134" w:type="dxa"/>
          </w:tcPr>
          <w:p w:rsidR="008D7C52" w:rsidRP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FF703E" w:rsidRDefault="008D7C52" w:rsidP="008D7C52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Единого государственного фонда социального страхования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FF703E" w:rsidRDefault="008D7C52" w:rsidP="008D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А.А. Береза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FF703E" w:rsidRDefault="008D7C52" w:rsidP="008D7C52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аместитель директора Единого государственного фонда социального страхования Приднестровской Молдавской Республики по социальному страхованию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FF703E" w:rsidRDefault="008D7C52" w:rsidP="008D7C5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Н.А. Котляр  </w:t>
            </w:r>
          </w:p>
          <w:p w:rsidR="008D7C52" w:rsidRDefault="008D7C52" w:rsidP="008D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804" w:type="dxa"/>
            <w:gridSpan w:val="2"/>
          </w:tcPr>
          <w:p w:rsidR="008D7C52" w:rsidRDefault="008D7C52" w:rsidP="008D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Министр</w:t>
            </w:r>
            <w:r w:rsidRPr="00B65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здравоохранения Приднестровской Молдавской Республики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B655DB" w:rsidRDefault="008D7C52" w:rsidP="008D7C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 В. Албул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B655DB" w:rsidRDefault="008D7C52" w:rsidP="008D7C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сельского хозяйства Приднестровской Молдавской Республики</w:t>
            </w:r>
            <w:r w:rsidRPr="00B65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B655DB" w:rsidRDefault="008D7C52" w:rsidP="008D7C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Е. М. Коваль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A141CD" w:rsidRDefault="008D7C52" w:rsidP="008D7C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B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A141CD" w:rsidRDefault="008D7C52" w:rsidP="008D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В.Н. Нягу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№2-3, 9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625ED6" w:rsidRDefault="008D7C52" w:rsidP="008D7C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A141CD" w:rsidRDefault="008D7C52" w:rsidP="008D7C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№2-3, 9, 15-16</w:t>
            </w:r>
          </w:p>
        </w:tc>
      </w:tr>
      <w:tr w:rsidR="008D7C52" w:rsidRPr="00107D8B" w:rsidTr="006D024A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D7C52" w:rsidRPr="001465F2" w:rsidRDefault="008D7C52" w:rsidP="008D7C5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5F2">
              <w:rPr>
                <w:rFonts w:ascii="Times New Roman" w:hAnsi="Times New Roman"/>
                <w:b/>
                <w:sz w:val="24"/>
                <w:szCs w:val="24"/>
              </w:rPr>
              <w:t>Министр обороны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8D7C52" w:rsidRPr="00A46E4E" w:rsidRDefault="008D7C52" w:rsidP="008D7C5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8D7C52" w:rsidRPr="00107D8B" w:rsidTr="006D024A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D7C52" w:rsidRPr="001465F2" w:rsidRDefault="008D7C52" w:rsidP="008D7C5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5F2">
              <w:rPr>
                <w:rFonts w:ascii="Times New Roman" w:hAnsi="Times New Roman"/>
                <w:b/>
                <w:sz w:val="24"/>
                <w:szCs w:val="24"/>
              </w:rPr>
              <w:t>Министр государственной безопасности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8D7C52" w:rsidRPr="00A46E4E" w:rsidRDefault="008D7C52" w:rsidP="008D7C5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8D7C52" w:rsidRPr="00107D8B" w:rsidTr="002F480B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D7C52" w:rsidRPr="001465F2" w:rsidRDefault="008D7C52" w:rsidP="008D7C5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Управления правового обеспечения Министерства обороны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8D7C52" w:rsidRPr="00A46E4E" w:rsidRDefault="008D7C52" w:rsidP="008D7C5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Е.В. Борденюк 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8D7C52" w:rsidRPr="00107D8B" w:rsidTr="002F480B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D7C52" w:rsidRPr="001465F2" w:rsidRDefault="008D7C52" w:rsidP="008D7C5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Начальник отдела Министерства государственной безопасности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8D7C52" w:rsidRPr="00A46E4E" w:rsidRDefault="008D7C52" w:rsidP="008D7C5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А.М. Добровольский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736357" w:rsidRDefault="008D7C52" w:rsidP="008D7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Государственной налоговой службы Министерства финансов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Default="008D7C52" w:rsidP="008D7C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Е.С. Кошелев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№4, 11-13, 25</w:t>
            </w:r>
          </w:p>
        </w:tc>
      </w:tr>
      <w:tr w:rsidR="008D7C52" w:rsidRPr="00107D8B" w:rsidTr="00546DE7">
        <w:trPr>
          <w:trHeight w:val="304"/>
        </w:trPr>
        <w:tc>
          <w:tcPr>
            <w:tcW w:w="568" w:type="dxa"/>
            <w:vAlign w:val="center"/>
          </w:tcPr>
          <w:p w:rsidR="008D7C52" w:rsidRPr="00A141CD" w:rsidRDefault="008D7C52" w:rsidP="008D7C5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8D7C52" w:rsidRPr="00A9036F" w:rsidRDefault="008D7C52" w:rsidP="008D7C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заместитель министра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C52" w:rsidRPr="00A9036F" w:rsidRDefault="008D7C52" w:rsidP="008D7C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В. Димитрогло</w:t>
            </w:r>
          </w:p>
        </w:tc>
        <w:tc>
          <w:tcPr>
            <w:tcW w:w="1134" w:type="dxa"/>
          </w:tcPr>
          <w:p w:rsidR="008D7C52" w:rsidRDefault="008D7C52" w:rsidP="008D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№10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C75CC" w:rsidRDefault="002C2A89" w:rsidP="002C7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2C75CC" w:rsidRDefault="002C75CC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</w:t>
      </w:r>
      <w:r w:rsidR="005571F4" w:rsidRPr="00557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и дополнений в Закон Приднестровской Молдавской Республики «О государственной гражданской службе Приднестровской Молдавской Республики» 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57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1739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5571F4" w:rsidRPr="005571F4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5571F4" w:rsidRPr="00557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5571F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5571F4" w:rsidRDefault="002C75CC" w:rsidP="00557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571F4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Касап, А.А. Гурецкий, Е.Н. Куличенко, А.Г. Кипяткова</w:t>
      </w:r>
    </w:p>
    <w:p w:rsidR="005571F4" w:rsidRDefault="005571F4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F" w:rsidRPr="0080511F" w:rsidRDefault="00E202CB" w:rsidP="0080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изменений в Закон Приднестровской Молдавской Республики «Об обороте оружия и боеприпасов на территории Приднестровской Молдавской Республики» (папка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181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0511F"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0511F" w:rsidRPr="0080511F" w:rsidRDefault="0080511F" w:rsidP="0080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A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80511F" w:rsidRPr="0080511F" w:rsidRDefault="0080511F" w:rsidP="0080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0511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0511F" w:rsidRPr="0080511F" w:rsidRDefault="0080511F" w:rsidP="0080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80511F" w:rsidRPr="0080511F" w:rsidRDefault="0080511F" w:rsidP="00805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80511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Н. Нягу, Р. А. Чеботарь.</w:t>
      </w:r>
    </w:p>
    <w:p w:rsidR="001A5314" w:rsidRPr="001A5314" w:rsidRDefault="001A5314" w:rsidP="00A7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314" w:rsidRPr="001A5314" w:rsidRDefault="00E202CB" w:rsidP="001A5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и дополнений в Закон Приднестровской Молдавской Республики «Об обороте оруж</w:t>
      </w:r>
      <w:r w:rsid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 и боеприпасов на территории 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 (папка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240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A5314"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1A5314" w:rsidRPr="001A5314" w:rsidRDefault="001A5314" w:rsidP="001A5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A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1A5314" w:rsidRPr="001A5314" w:rsidRDefault="001A5314" w:rsidP="001A5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A53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A5314" w:rsidRPr="001A5314" w:rsidRDefault="001A5314" w:rsidP="001A5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7D7E5A" w:rsidRDefault="001A5314" w:rsidP="007D7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A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</w:t>
      </w:r>
      <w:r w:rsidR="007D7E5A" w:rsidRPr="007D7E5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Н. Нягу, Р. А. Чеботарь.</w:t>
      </w:r>
    </w:p>
    <w:p w:rsidR="00937CBB" w:rsidRPr="007D7E5A" w:rsidRDefault="00937CBB" w:rsidP="007D7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3C5" w:rsidRPr="001723C5" w:rsidRDefault="00706CC0" w:rsidP="00AE6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AE60DC" w:rsidRPr="00AE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</w:t>
      </w:r>
      <w:r w:rsidR="00AE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некоторые законодательные акты </w:t>
      </w:r>
      <w:r w:rsidR="00AE60DC" w:rsidRPr="00AE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</w:t>
      </w:r>
      <w:r w:rsidR="00AE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E60DC" w:rsidRPr="00AE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225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723C5"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1723C5" w:rsidRPr="001723C5" w:rsidRDefault="001723C5" w:rsidP="00172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72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1723C5" w:rsidRPr="001723C5" w:rsidRDefault="001723C5" w:rsidP="00172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723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723C5" w:rsidRPr="001723C5" w:rsidRDefault="001723C5" w:rsidP="00172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723C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E60DC" w:rsidRDefault="001723C5" w:rsidP="00E20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AE60DC" w:rsidRPr="00AE60D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Кирова, С.А. Оболоник, Е.С. Кошелев</w:t>
      </w:r>
      <w:r w:rsidR="00A22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0DC" w:rsidRPr="004568DE" w:rsidRDefault="00AE60DC" w:rsidP="00172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41124" w:rsidRPr="004568DE" w:rsidRDefault="00706CC0" w:rsidP="00F72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72F2E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«Об основах системы профилактики безнадзорности и правонарушений несовершеннолетних» 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252 (V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41124"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541124" w:rsidRPr="004568DE" w:rsidRDefault="00541124" w:rsidP="00541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45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541124" w:rsidRPr="004568DE" w:rsidRDefault="00541124" w:rsidP="00541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568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41124" w:rsidRPr="004568DE" w:rsidRDefault="00541124" w:rsidP="00541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4568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541124" w:rsidRDefault="00541124" w:rsidP="00541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F72F2E" w:rsidRPr="004568DE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Куличенко, О.А. Федотов.</w:t>
      </w:r>
    </w:p>
    <w:p w:rsidR="00706CC0" w:rsidRDefault="00706CC0" w:rsidP="00541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CC0" w:rsidRPr="00706CC0" w:rsidRDefault="00706CC0" w:rsidP="00706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«Об актах гражданского состояния» (папка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205 (V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706CC0" w:rsidRPr="00706CC0" w:rsidRDefault="00706CC0" w:rsidP="00706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0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706CC0" w:rsidRPr="00706CC0" w:rsidRDefault="00706CC0" w:rsidP="00706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06C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06CC0" w:rsidRPr="00706CC0" w:rsidRDefault="00706CC0" w:rsidP="00706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06CC0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706CC0" w:rsidRPr="00706CC0" w:rsidRDefault="00706CC0" w:rsidP="00706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706CC0">
        <w:rPr>
          <w:rFonts w:ascii="Times New Roman" w:eastAsia="Times New Roman" w:hAnsi="Times New Roman" w:cs="Times New Roman"/>
          <w:sz w:val="24"/>
          <w:szCs w:val="24"/>
          <w:lang w:eastAsia="ru-RU"/>
        </w:rPr>
        <w:t>Е. Н. Куличенко, А. А. Береза, Н. А. Котляр.</w:t>
      </w:r>
    </w:p>
    <w:p w:rsidR="005571F4" w:rsidRDefault="005571F4" w:rsidP="0028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5F2" w:rsidRPr="00541124" w:rsidRDefault="00E202CB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1465F2" w:rsidRPr="00146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Уголовный кодекс Приднес</w:t>
      </w:r>
      <w:r w:rsidR="00146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тровской Молдавской Республики»</w:t>
      </w:r>
      <w:r w:rsidR="001465F2" w:rsidRPr="00F7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146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465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465F2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1465F2" w:rsidRPr="00541124" w:rsidRDefault="001465F2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Г.М. Антюфеева, В.Г. Бабчинецкий, О.А. Петрик, С.И. Степанов</w:t>
      </w:r>
    </w:p>
    <w:p w:rsidR="001465F2" w:rsidRPr="00541124" w:rsidRDefault="001465F2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4112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465F2" w:rsidRPr="00541124" w:rsidRDefault="001465F2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541124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1465F2" w:rsidRDefault="001465F2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В.Д. Гебос, О.А. Обручков, А.М. Добровольский, Е.В. Борденюк.</w:t>
      </w:r>
    </w:p>
    <w:p w:rsidR="00096A3C" w:rsidRDefault="00096A3C" w:rsidP="0014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A3C" w:rsidRPr="00541124" w:rsidRDefault="00E202CB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096A3C" w:rsidRPr="0009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и дополнения в Уголовный кодекс Приднестровской Молдавской Республики»</w:t>
      </w:r>
      <w:r w:rsidR="0009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09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234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096A3C" w:rsidRPr="005411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96A3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96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</w:p>
    <w:p w:rsidR="00096A3C" w:rsidRPr="00096A3C" w:rsidRDefault="00096A3C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</w:t>
      </w:r>
      <w:r w:rsidRPr="0009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 ПМР Г. М. Антюфеева</w:t>
      </w:r>
      <w:r w:rsidRPr="0009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Бабчинецкий, О. А. Петрик, С. И. Степанов</w:t>
      </w:r>
    </w:p>
    <w:p w:rsidR="00096A3C" w:rsidRPr="00541124" w:rsidRDefault="00096A3C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4112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096A3C" w:rsidRPr="00541124" w:rsidRDefault="00096A3C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096A3C" w:rsidRDefault="00096A3C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096A3C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Жук.</w:t>
      </w:r>
    </w:p>
    <w:p w:rsidR="00A14D71" w:rsidRDefault="00A14D71" w:rsidP="0009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D71" w:rsidRPr="00A14D71" w:rsidRDefault="00E202CB" w:rsidP="00A1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изменений и дополнений в некоторые законодательные акты Приднестровской Молдавской Республики» (папка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1674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14D71"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</w:p>
    <w:p w:rsidR="00A14D71" w:rsidRPr="00A14D71" w:rsidRDefault="00A14D71" w:rsidP="00A1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4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4D71" w:rsidRPr="00A14D71" w:rsidRDefault="00A14D71" w:rsidP="00A1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4D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4D71" w:rsidRPr="00A14D71" w:rsidRDefault="00A14D71" w:rsidP="00A1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A14D71" w:rsidRPr="00A14D71" w:rsidRDefault="00A14D71" w:rsidP="00A1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A14D7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Р.В.  Райлян, А.А. Гурецкий, В.Н. Нягу, Р.П. Мова.</w:t>
      </w:r>
    </w:p>
    <w:p w:rsidR="001465F2" w:rsidRDefault="001465F2" w:rsidP="0028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36F" w:rsidRPr="00A9036F" w:rsidRDefault="00A9036F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«Об электросвязи» (папка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224/1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9036F" w:rsidRPr="00A9036F" w:rsidRDefault="00A9036F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9036F" w:rsidRPr="00A9036F" w:rsidRDefault="00A9036F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9036F" w:rsidRPr="00A9036F" w:rsidRDefault="00A9036F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9036F" w:rsidRDefault="00A9036F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9582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Димитрогло</w:t>
      </w:r>
    </w:p>
    <w:p w:rsidR="00195824" w:rsidRDefault="00195824" w:rsidP="00507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824" w:rsidRPr="005576B6" w:rsidRDefault="00195824" w:rsidP="00195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A33A71" w:rsidRPr="00A33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Закон Приднестровской Молдавской Республики «Специальный налоговый режим – о самозанятых лицах»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A33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224/2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195824" w:rsidRPr="00A9036F" w:rsidRDefault="00195824" w:rsidP="00195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195824" w:rsidRPr="00A9036F" w:rsidRDefault="00195824" w:rsidP="00195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95824" w:rsidRPr="00A9036F" w:rsidRDefault="00195824" w:rsidP="00195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195824" w:rsidRDefault="00195824" w:rsidP="00195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A33A71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 Кошелев</w:t>
      </w:r>
      <w:r w:rsid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1569" w:rsidRDefault="00A11569" w:rsidP="00507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Закон Приднестровской Молдавской Республики «Специальный налоговый режим – патентная система налогообложения»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224/3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9036F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9036F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9036F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Е.С. Кошелев.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«Специальный налоговый режим – упрощенная система налогообложения» 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224/4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5075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075A6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 Кошелев.</w:t>
      </w:r>
    </w:p>
    <w:p w:rsidR="00195824" w:rsidRDefault="00195824" w:rsidP="00A9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Закон Приднестровской Молдавской Республики «Об актах гражданского состояния»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224/5 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Жук, С.Ф. Григорица.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Закон Приднестровской Молдавской Республики «О правовом положении иностранных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и лиц без гражданства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Приднестровской Молдавской Республике»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224/6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Жук,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Чеботарь.</w:t>
      </w:r>
    </w:p>
    <w:p w:rsidR="00195824" w:rsidRPr="00A9036F" w:rsidRDefault="00A11569" w:rsidP="00557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76B6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Закон Приднестровской Молдавской Республики «О безопасности дорожного движения»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224/7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Жук,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Чеботарь.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 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224/8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569" w:rsidRPr="005576B6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11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«Патентный закон» 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224/9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1569" w:rsidRP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1156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A11569" w:rsidRDefault="00A11569" w:rsidP="00A1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04" w:rsidRPr="005576B6" w:rsidRDefault="003A6504" w:rsidP="003A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02CB"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3A6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Закон Приднестровской Молдавской Республики «Об ипотеке Приднестровской Молдавской Республики» 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3A6504" w:rsidRPr="003A6504" w:rsidRDefault="003A6504" w:rsidP="003A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3A6504" w:rsidRPr="003A6504" w:rsidRDefault="003A6504" w:rsidP="003A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A6504" w:rsidRPr="003A6504" w:rsidRDefault="003A6504" w:rsidP="003A6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11569" w:rsidRPr="00A11569" w:rsidRDefault="003A6504" w:rsidP="005075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075A6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DB" w:rsidRPr="005576B6" w:rsidRDefault="00E202C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Закон Приднес</w:t>
      </w:r>
      <w:r w:rsid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государственной регистраци</w:t>
      </w:r>
      <w:r w:rsid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прав на недвижимое имущество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сделок с ним»</w:t>
      </w:r>
      <w:r w:rsidR="00B655DB" w:rsidRPr="003A6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))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B655DB" w:rsidRDefault="00B655DB" w:rsidP="0050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DB" w:rsidRPr="005576B6" w:rsidRDefault="00E202C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Проект закона Приднестровской Молдавской Республики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«О селекционных достижениях» 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655DB"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655DB" w:rsidRPr="003A6504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3A6504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B655DB" w:rsidRDefault="00B655DB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DB" w:rsidRPr="005576B6" w:rsidRDefault="00E202C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Закон Приднестровской Молдавской Республики «О товарных знаках, знаках обслуживания, наименованиях мест происхождения товаров и фирменных наименованиях» 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Приглашенные: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Григорица.</w:t>
      </w:r>
    </w:p>
    <w:p w:rsidR="00B655DB" w:rsidRDefault="00B655DB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DB" w:rsidRPr="00B655DB" w:rsidRDefault="00E202C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655DB" w:rsidRPr="00B65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дополнения в Закон Приднестровской Молдавской Республики «О фармацевтической деятельности в Приднестровской Молдавской Республике» 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655DB"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</w:t>
      </w:r>
      <w:r w:rsidR="005576B6" w:rsidRPr="005576B6">
        <w:t xml:space="preserve"> 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и II чтение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655DB" w:rsidRP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655D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655DB" w:rsidRDefault="00B655DB" w:rsidP="00B65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Жук, С.Ф. Григорица, К.В. Албул, Е.М. Коваль.</w:t>
      </w:r>
    </w:p>
    <w:p w:rsidR="00B655DB" w:rsidRDefault="00B655DB" w:rsidP="0050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C18" w:rsidRPr="005576B6" w:rsidRDefault="00E202CB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50C18" w:rsidRPr="00C50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и дополнения в Закон Приднестровской Молдавской Республики «Об организации предоставления государственных услуг» 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 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Касап.</w:t>
      </w:r>
    </w:p>
    <w:p w:rsid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C18" w:rsidRPr="005576B6" w:rsidRDefault="00E202CB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50C18" w:rsidRPr="00C50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и дополнения в Закон Приднестровской Молдавской Республики «О государственной пошлине» 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224/</w:t>
      </w:r>
      <w:r w:rsid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50C18"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5576B6" w:rsidRPr="00557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5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C50C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.М. Касап, Е.С. Кошелев.</w:t>
      </w:r>
    </w:p>
    <w:p w:rsidR="00C50C18" w:rsidRPr="00C50C18" w:rsidRDefault="00C50C18" w:rsidP="00C50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1F4" w:rsidRDefault="005571F4" w:rsidP="0055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6B6" w:rsidRDefault="005576B6" w:rsidP="0055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Default="00E202CB" w:rsidP="00F36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0959D3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9D3" w:rsidRPr="009F7328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571805">
      <w:footerReference w:type="default" r:id="rId8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04" w:rsidRDefault="003A6504">
      <w:pPr>
        <w:spacing w:after="0" w:line="240" w:lineRule="auto"/>
      </w:pPr>
      <w:r>
        <w:separator/>
      </w:r>
    </w:p>
  </w:endnote>
  <w:endnote w:type="continuationSeparator" w:id="0">
    <w:p w:rsidR="003A6504" w:rsidRDefault="003A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04" w:rsidRDefault="003A6504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D7C52">
      <w:rPr>
        <w:noProof/>
      </w:rPr>
      <w:t>1</w:t>
    </w:r>
    <w:r>
      <w:rPr>
        <w:noProof/>
      </w:rPr>
      <w:fldChar w:fldCharType="end"/>
    </w:r>
  </w:p>
  <w:p w:rsidR="003A6504" w:rsidRDefault="003A65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04" w:rsidRDefault="003A6504">
      <w:pPr>
        <w:spacing w:after="0" w:line="240" w:lineRule="auto"/>
      </w:pPr>
      <w:r>
        <w:separator/>
      </w:r>
    </w:p>
  </w:footnote>
  <w:footnote w:type="continuationSeparator" w:id="0">
    <w:p w:rsidR="003A6504" w:rsidRDefault="003A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43300"/>
    <w:rsid w:val="000510E4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82814"/>
    <w:rsid w:val="00093559"/>
    <w:rsid w:val="0009530D"/>
    <w:rsid w:val="000959D3"/>
    <w:rsid w:val="00096A3C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168D"/>
    <w:rsid w:val="00126311"/>
    <w:rsid w:val="00126D96"/>
    <w:rsid w:val="00130949"/>
    <w:rsid w:val="00130AAC"/>
    <w:rsid w:val="00135090"/>
    <w:rsid w:val="00136C03"/>
    <w:rsid w:val="00136FB8"/>
    <w:rsid w:val="00143925"/>
    <w:rsid w:val="001465F2"/>
    <w:rsid w:val="00146C0F"/>
    <w:rsid w:val="00152E2E"/>
    <w:rsid w:val="0015490E"/>
    <w:rsid w:val="001723C5"/>
    <w:rsid w:val="0017506E"/>
    <w:rsid w:val="00180C6F"/>
    <w:rsid w:val="00184158"/>
    <w:rsid w:val="001874FE"/>
    <w:rsid w:val="00191300"/>
    <w:rsid w:val="00191DA0"/>
    <w:rsid w:val="00195824"/>
    <w:rsid w:val="001A00C1"/>
    <w:rsid w:val="001A334D"/>
    <w:rsid w:val="001A3610"/>
    <w:rsid w:val="001A5314"/>
    <w:rsid w:val="001B02CE"/>
    <w:rsid w:val="001B22AF"/>
    <w:rsid w:val="001B652B"/>
    <w:rsid w:val="001B65D0"/>
    <w:rsid w:val="001C0A54"/>
    <w:rsid w:val="001C2BEF"/>
    <w:rsid w:val="001C7DA8"/>
    <w:rsid w:val="001D50EE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86A06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C75CC"/>
    <w:rsid w:val="002D0A96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8AA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504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3F16E7"/>
    <w:rsid w:val="004001AE"/>
    <w:rsid w:val="00402C09"/>
    <w:rsid w:val="00404691"/>
    <w:rsid w:val="00407780"/>
    <w:rsid w:val="0041000C"/>
    <w:rsid w:val="004224BC"/>
    <w:rsid w:val="0042394B"/>
    <w:rsid w:val="004248F6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568DE"/>
    <w:rsid w:val="00460921"/>
    <w:rsid w:val="00470839"/>
    <w:rsid w:val="00472C01"/>
    <w:rsid w:val="00482769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075A6"/>
    <w:rsid w:val="00510A03"/>
    <w:rsid w:val="00511C84"/>
    <w:rsid w:val="0051468B"/>
    <w:rsid w:val="00521E12"/>
    <w:rsid w:val="0052334C"/>
    <w:rsid w:val="0052517D"/>
    <w:rsid w:val="00531D71"/>
    <w:rsid w:val="00536182"/>
    <w:rsid w:val="00541124"/>
    <w:rsid w:val="00541CB8"/>
    <w:rsid w:val="00545B84"/>
    <w:rsid w:val="00546DE7"/>
    <w:rsid w:val="00547127"/>
    <w:rsid w:val="00555EA4"/>
    <w:rsid w:val="005571F4"/>
    <w:rsid w:val="005576B6"/>
    <w:rsid w:val="005578F7"/>
    <w:rsid w:val="00562832"/>
    <w:rsid w:val="00563B27"/>
    <w:rsid w:val="005701D2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77552"/>
    <w:rsid w:val="006800EC"/>
    <w:rsid w:val="0068335D"/>
    <w:rsid w:val="006863B0"/>
    <w:rsid w:val="00690524"/>
    <w:rsid w:val="0069089C"/>
    <w:rsid w:val="006A679D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06CC0"/>
    <w:rsid w:val="00711F1C"/>
    <w:rsid w:val="00716233"/>
    <w:rsid w:val="00717DD7"/>
    <w:rsid w:val="007259C2"/>
    <w:rsid w:val="00731131"/>
    <w:rsid w:val="00736357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3E4F"/>
    <w:rsid w:val="007A78A3"/>
    <w:rsid w:val="007B00F1"/>
    <w:rsid w:val="007B3C46"/>
    <w:rsid w:val="007B4525"/>
    <w:rsid w:val="007B5FFD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D7E5A"/>
    <w:rsid w:val="007E0DA6"/>
    <w:rsid w:val="007E1616"/>
    <w:rsid w:val="007E56AB"/>
    <w:rsid w:val="007F095E"/>
    <w:rsid w:val="007F1EC2"/>
    <w:rsid w:val="0080511F"/>
    <w:rsid w:val="008170EB"/>
    <w:rsid w:val="00822C45"/>
    <w:rsid w:val="00827102"/>
    <w:rsid w:val="008275A9"/>
    <w:rsid w:val="00843AAC"/>
    <w:rsid w:val="0085059E"/>
    <w:rsid w:val="00852107"/>
    <w:rsid w:val="00852523"/>
    <w:rsid w:val="008527CF"/>
    <w:rsid w:val="008567F6"/>
    <w:rsid w:val="00860DDA"/>
    <w:rsid w:val="0086516B"/>
    <w:rsid w:val="00867AEF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08A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D7C52"/>
    <w:rsid w:val="008E0A5B"/>
    <w:rsid w:val="008E2D3B"/>
    <w:rsid w:val="008F3606"/>
    <w:rsid w:val="008F3EC8"/>
    <w:rsid w:val="00903FDB"/>
    <w:rsid w:val="00914004"/>
    <w:rsid w:val="0091469C"/>
    <w:rsid w:val="009152AB"/>
    <w:rsid w:val="0091623B"/>
    <w:rsid w:val="009255E3"/>
    <w:rsid w:val="009268AD"/>
    <w:rsid w:val="00931032"/>
    <w:rsid w:val="00931B3C"/>
    <w:rsid w:val="00935D5D"/>
    <w:rsid w:val="00937A20"/>
    <w:rsid w:val="00937CBB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95C8A"/>
    <w:rsid w:val="009A2553"/>
    <w:rsid w:val="009A3ECC"/>
    <w:rsid w:val="009A6852"/>
    <w:rsid w:val="009B2FAE"/>
    <w:rsid w:val="009B3438"/>
    <w:rsid w:val="009B37AA"/>
    <w:rsid w:val="009B4194"/>
    <w:rsid w:val="009B44F4"/>
    <w:rsid w:val="009B64C1"/>
    <w:rsid w:val="009B76F8"/>
    <w:rsid w:val="009C0531"/>
    <w:rsid w:val="009C36EF"/>
    <w:rsid w:val="009C5000"/>
    <w:rsid w:val="009D50B0"/>
    <w:rsid w:val="009D7489"/>
    <w:rsid w:val="009E30C5"/>
    <w:rsid w:val="009E79B1"/>
    <w:rsid w:val="009F11DD"/>
    <w:rsid w:val="009F7328"/>
    <w:rsid w:val="009F76D4"/>
    <w:rsid w:val="00A00514"/>
    <w:rsid w:val="00A053AF"/>
    <w:rsid w:val="00A11569"/>
    <w:rsid w:val="00A12224"/>
    <w:rsid w:val="00A12888"/>
    <w:rsid w:val="00A12BD2"/>
    <w:rsid w:val="00A141CD"/>
    <w:rsid w:val="00A14D71"/>
    <w:rsid w:val="00A14EE1"/>
    <w:rsid w:val="00A16AA9"/>
    <w:rsid w:val="00A20147"/>
    <w:rsid w:val="00A22B51"/>
    <w:rsid w:val="00A25D52"/>
    <w:rsid w:val="00A3141A"/>
    <w:rsid w:val="00A33A71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76991"/>
    <w:rsid w:val="00A76C96"/>
    <w:rsid w:val="00A76FC1"/>
    <w:rsid w:val="00A859C2"/>
    <w:rsid w:val="00A86C19"/>
    <w:rsid w:val="00A8742B"/>
    <w:rsid w:val="00A9036F"/>
    <w:rsid w:val="00A965BA"/>
    <w:rsid w:val="00A97619"/>
    <w:rsid w:val="00AA1F5A"/>
    <w:rsid w:val="00AA5773"/>
    <w:rsid w:val="00AB027D"/>
    <w:rsid w:val="00AB22CD"/>
    <w:rsid w:val="00AB39C0"/>
    <w:rsid w:val="00AC638B"/>
    <w:rsid w:val="00AD29EB"/>
    <w:rsid w:val="00AD3026"/>
    <w:rsid w:val="00AD31D7"/>
    <w:rsid w:val="00AE2EA0"/>
    <w:rsid w:val="00AE3E9D"/>
    <w:rsid w:val="00AE5F09"/>
    <w:rsid w:val="00AE60DC"/>
    <w:rsid w:val="00AF0542"/>
    <w:rsid w:val="00B045DD"/>
    <w:rsid w:val="00B05C96"/>
    <w:rsid w:val="00B06338"/>
    <w:rsid w:val="00B063D2"/>
    <w:rsid w:val="00B06B1B"/>
    <w:rsid w:val="00B06CC5"/>
    <w:rsid w:val="00B075BC"/>
    <w:rsid w:val="00B1447C"/>
    <w:rsid w:val="00B1456C"/>
    <w:rsid w:val="00B15B55"/>
    <w:rsid w:val="00B172E8"/>
    <w:rsid w:val="00B20923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57AEF"/>
    <w:rsid w:val="00B64DA5"/>
    <w:rsid w:val="00B655DB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00EF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0C18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4EAE"/>
    <w:rsid w:val="00CA5312"/>
    <w:rsid w:val="00CA6EFD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37B9"/>
    <w:rsid w:val="00E175A4"/>
    <w:rsid w:val="00E202CB"/>
    <w:rsid w:val="00E23165"/>
    <w:rsid w:val="00E2381B"/>
    <w:rsid w:val="00E249A8"/>
    <w:rsid w:val="00E25513"/>
    <w:rsid w:val="00E26DB7"/>
    <w:rsid w:val="00E2762A"/>
    <w:rsid w:val="00E31931"/>
    <w:rsid w:val="00E35147"/>
    <w:rsid w:val="00E40EB9"/>
    <w:rsid w:val="00E41EA0"/>
    <w:rsid w:val="00E44C92"/>
    <w:rsid w:val="00E639F4"/>
    <w:rsid w:val="00E7298B"/>
    <w:rsid w:val="00E7335B"/>
    <w:rsid w:val="00E7547A"/>
    <w:rsid w:val="00E772E6"/>
    <w:rsid w:val="00E81040"/>
    <w:rsid w:val="00E837EA"/>
    <w:rsid w:val="00E85493"/>
    <w:rsid w:val="00E96ED3"/>
    <w:rsid w:val="00EA54E7"/>
    <w:rsid w:val="00EB0D81"/>
    <w:rsid w:val="00EB3856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073D"/>
    <w:rsid w:val="00EF26D1"/>
    <w:rsid w:val="00F11B93"/>
    <w:rsid w:val="00F11E02"/>
    <w:rsid w:val="00F210D0"/>
    <w:rsid w:val="00F2717B"/>
    <w:rsid w:val="00F3050F"/>
    <w:rsid w:val="00F32EF0"/>
    <w:rsid w:val="00F35053"/>
    <w:rsid w:val="00F36338"/>
    <w:rsid w:val="00F37F28"/>
    <w:rsid w:val="00F428F6"/>
    <w:rsid w:val="00F43EFA"/>
    <w:rsid w:val="00F45F3A"/>
    <w:rsid w:val="00F52AD5"/>
    <w:rsid w:val="00F616C5"/>
    <w:rsid w:val="00F6609E"/>
    <w:rsid w:val="00F6708A"/>
    <w:rsid w:val="00F72F2E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0D67"/>
    <w:rsid w:val="00FD24FA"/>
    <w:rsid w:val="00FE0AEA"/>
    <w:rsid w:val="00FF2E4E"/>
    <w:rsid w:val="00FF45F1"/>
    <w:rsid w:val="00FF67A2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F660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6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77CF-58AB-40A0-9A09-39E0C949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6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345</cp:revision>
  <cp:lastPrinted>2021-10-29T12:35:00Z</cp:lastPrinted>
  <dcterms:created xsi:type="dcterms:W3CDTF">2020-11-23T07:57:00Z</dcterms:created>
  <dcterms:modified xsi:type="dcterms:W3CDTF">2021-10-29T14:06:00Z</dcterms:modified>
</cp:coreProperties>
</file>