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Приложение к Закону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Закон Приднестровской Молдавской Республики «Государственная программа разгосударствления и приватизации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в Приднестровской Молдавской Республике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на 2022-2023 годы» </w:t>
      </w:r>
    </w:p>
    <w:p w:rsidR="00A95A02" w:rsidRDefault="00A95A02" w:rsidP="00A95A02">
      <w:pPr>
        <w:ind w:left="9214"/>
        <w:rPr>
          <w:sz w:val="28"/>
          <w:szCs w:val="28"/>
        </w:rPr>
      </w:pP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к Закону Приднестровской Молдавской Республики «Государственная программа разгосударствления и приватизации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в Приднестровской Молдавской Республике </w:t>
      </w:r>
    </w:p>
    <w:p w:rsidR="00A95A02" w:rsidRDefault="00A95A02" w:rsidP="00A95A02">
      <w:pPr>
        <w:ind w:left="9214"/>
        <w:rPr>
          <w:sz w:val="28"/>
          <w:szCs w:val="28"/>
        </w:rPr>
      </w:pPr>
      <w:r>
        <w:rPr>
          <w:sz w:val="28"/>
          <w:szCs w:val="28"/>
        </w:rPr>
        <w:t>на 2022-2023 годы»</w:t>
      </w:r>
    </w:p>
    <w:p w:rsidR="00A95A02" w:rsidRDefault="00A95A02" w:rsidP="00A95A02">
      <w:pPr>
        <w:ind w:left="9214"/>
        <w:jc w:val="both"/>
        <w:rPr>
          <w:sz w:val="28"/>
          <w:szCs w:val="28"/>
        </w:rPr>
      </w:pPr>
    </w:p>
    <w:p w:rsidR="00A95A02" w:rsidRDefault="00A95A02" w:rsidP="00A95A0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имущества, находящихся в государственной собственности, подлежащих приватизации </w:t>
      </w:r>
    </w:p>
    <w:p w:rsidR="00A95A02" w:rsidRDefault="00A95A02" w:rsidP="00A95A0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в Приднестровской Молдавской Республике в 2022-2023 годах</w:t>
      </w:r>
    </w:p>
    <w:p w:rsidR="00A95A02" w:rsidRDefault="00A95A02" w:rsidP="00A95A02">
      <w:pPr>
        <w:ind w:left="567"/>
        <w:jc w:val="center"/>
        <w:rPr>
          <w:sz w:val="16"/>
          <w:szCs w:val="16"/>
        </w:rPr>
      </w:pPr>
    </w:p>
    <w:tbl>
      <w:tblPr>
        <w:tblW w:w="1501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"/>
        <w:gridCol w:w="2208"/>
        <w:gridCol w:w="52"/>
        <w:gridCol w:w="1174"/>
        <w:gridCol w:w="51"/>
        <w:gridCol w:w="1174"/>
        <w:gridCol w:w="51"/>
        <w:gridCol w:w="1396"/>
        <w:gridCol w:w="51"/>
        <w:gridCol w:w="1173"/>
        <w:gridCol w:w="51"/>
        <w:gridCol w:w="1174"/>
        <w:gridCol w:w="51"/>
        <w:gridCol w:w="1174"/>
        <w:gridCol w:w="51"/>
        <w:gridCol w:w="1316"/>
        <w:gridCol w:w="51"/>
        <w:gridCol w:w="1032"/>
        <w:gridCol w:w="51"/>
        <w:gridCol w:w="749"/>
        <w:gridCol w:w="51"/>
        <w:gridCol w:w="890"/>
        <w:gridCol w:w="51"/>
        <w:gridCol w:w="890"/>
        <w:gridCol w:w="51"/>
      </w:tblGrid>
      <w:tr w:rsidR="00A95A02" w:rsidTr="00F43E2B">
        <w:trPr>
          <w:gridAfter w:val="1"/>
          <w:wAfter w:w="51" w:type="dxa"/>
          <w:cantSplit/>
          <w:trHeight w:val="1921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объекта,</w:t>
            </w:r>
          </w:p>
          <w:p w:rsidR="00A95A02" w:rsidRDefault="00A95A02" w:rsidP="00F43E2B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способ и объем приватизации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 активов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основных средств),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предприятия,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дохода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приватизации, *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краткосрочные обязательства,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торговая и прочая дебиторская задолженность,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рублях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использования проектной мощности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работающих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Предполагаемые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приватизации **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A95A02" w:rsidTr="00F43E2B">
        <w:trPr>
          <w:gridAfter w:val="1"/>
          <w:wAfter w:w="51" w:type="dxa"/>
          <w:cantSplit/>
          <w:trHeight w:val="118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95A02" w:rsidTr="00F43E2B">
        <w:trPr>
          <w:gridAfter w:val="1"/>
          <w:wAfter w:w="51" w:type="dxa"/>
          <w:cantSplit/>
          <w:trHeight w:val="118"/>
          <w:tblHeader/>
        </w:trPr>
        <w:tc>
          <w:tcPr>
            <w:tcW w:w="14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A95A02" w:rsidTr="00F43E2B">
        <w:trPr>
          <w:gridBefore w:val="1"/>
          <w:wBefore w:w="51" w:type="dxa"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Закрытое акционерное общество</w:t>
            </w:r>
            <w:r>
              <w:rPr>
                <w:sz w:val="22"/>
                <w:szCs w:val="22"/>
              </w:rPr>
              <w:t xml:space="preserve"> «Швейная фирма «Вестра»</w:t>
            </w:r>
          </w:p>
          <w:p w:rsidR="00A95A02" w:rsidRDefault="00A95A02" w:rsidP="00F43E2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Бендеры,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Лазо, 16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9 220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A95A02" w:rsidRDefault="00A95A02" w:rsidP="00F43E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(25%)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15 898 184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(7 562 152)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6 000 000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1 616 727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6 743 698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645 428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63,57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5A02" w:rsidTr="00F43E2B">
        <w:trPr>
          <w:gridBefore w:val="1"/>
          <w:wBefore w:w="51" w:type="dxa"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Научно-производственное з</w:t>
            </w:r>
            <w:r>
              <w:rPr>
                <w:color w:val="000000"/>
                <w:sz w:val="22"/>
                <w:szCs w:val="22"/>
              </w:rPr>
              <w:t>акрытое акционерное общество</w:t>
            </w:r>
            <w:r>
              <w:rPr>
                <w:sz w:val="22"/>
                <w:szCs w:val="22"/>
              </w:rPr>
              <w:t xml:space="preserve"> «Электромаш»</w:t>
            </w:r>
          </w:p>
          <w:p w:rsidR="00A95A02" w:rsidRDefault="00A95A02" w:rsidP="00F43E2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Тирасполь,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Сакриера, 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A95A02" w:rsidRDefault="00A95A02" w:rsidP="00F43E2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(42,99%)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144 744 785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(19 327 030)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447 545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34 341 002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60 580 233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28 456 941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индиви-дуаль-ный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A95A02" w:rsidTr="00F43E2B">
        <w:trPr>
          <w:gridBefore w:val="1"/>
          <w:wBefore w:w="51" w:type="dxa"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Открытое акционерное общество «Бендерский хлеб»</w:t>
            </w:r>
          </w:p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>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Бендеры, улица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Суворова, 116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3 906 651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22 367 344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(17 241 598)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15 000 000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15 000 000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5 994 510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1 422 966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ный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A95A02" w:rsidTr="00F43E2B">
        <w:trPr>
          <w:gridBefore w:val="1"/>
          <w:wBefore w:w="51" w:type="dxa"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Открытое акционерное общество «Промышленно-производственное объединение»</w:t>
            </w:r>
          </w:p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>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Тирасполь, улица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Шевченко, 84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15 939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19 002 749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(16 215 458)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1 463 072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1 587 347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ный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A95A02" w:rsidTr="00F43E2B">
        <w:trPr>
          <w:gridBefore w:val="1"/>
          <w:wBefore w:w="51" w:type="dxa"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Открытое акционерное общество «Тирнистром»</w:t>
            </w:r>
          </w:p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(данные на </w:t>
            </w:r>
            <w:r>
              <w:rPr>
                <w:sz w:val="22"/>
                <w:szCs w:val="22"/>
              </w:rPr>
              <w:br/>
              <w:t>15 августа 2022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Тирасполь, улица Энергети-ков, 97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117 297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54 251 528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(25 167 823)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8 000 000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8 000 000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23 398 115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1 869 554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ный проект</w:t>
            </w:r>
          </w:p>
        </w:tc>
      </w:tr>
      <w:tr w:rsidR="00A95A02" w:rsidTr="00F43E2B">
        <w:trPr>
          <w:gridBefore w:val="1"/>
          <w:wBefore w:w="51" w:type="dxa"/>
          <w:cantSplit/>
          <w:trHeight w:val="1615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 xml:space="preserve">Закрытое акционерное общество </w:t>
            </w:r>
            <w:r>
              <w:rPr>
                <w:sz w:val="22"/>
                <w:szCs w:val="22"/>
              </w:rPr>
              <w:t>«Одема» имени В. Соловьевой</w:t>
            </w:r>
          </w:p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Тирасполь, улица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Луначарс-кого, 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55 007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66 212 381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(38 357 633)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32 400 000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32 400 000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5 512 816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5 734 713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индиви-дуаль-ный</w:t>
            </w:r>
          </w:p>
          <w:p w:rsidR="00A95A02" w:rsidRDefault="00A95A02" w:rsidP="00F43E2B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  <w:tr w:rsidR="00A95A02" w:rsidTr="00F43E2B">
        <w:trPr>
          <w:gridBefore w:val="1"/>
          <w:wBefore w:w="51" w:type="dxa"/>
          <w:cantSplit/>
          <w:trHeight w:val="2547"/>
          <w:tblHeader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Открытое акционерное общество «Научно-производственное предприятие «Электрические аппараты»</w:t>
            </w:r>
          </w:p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(данные на 30 июня 2021 года)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Бендеры, улица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Тирасполь-ская, 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91 665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(0)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343 636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70 534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5A02" w:rsidTr="00F43E2B">
        <w:trPr>
          <w:gridBefore w:val="1"/>
          <w:wBefore w:w="51" w:type="dxa"/>
          <w:cantSplit/>
          <w:trHeight w:val="1615"/>
          <w:tblHeader/>
        </w:trPr>
        <w:tc>
          <w:tcPr>
            <w:tcW w:w="7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прогноз дохода от приватизации указанных объектов, включенных </w:t>
            </w:r>
            <w:r>
              <w:rPr>
                <w:color w:val="000000"/>
                <w:sz w:val="22"/>
                <w:szCs w:val="22"/>
              </w:rPr>
              <w:t>в перечень</w:t>
            </w:r>
            <w:r>
              <w:rPr>
                <w:sz w:val="22"/>
                <w:szCs w:val="22"/>
              </w:rPr>
              <w:t xml:space="preserve"> объектов имущества, находящихся в государственной собственности, подлежащих приватизации в Приднестровской Молдавской Республике в 2022-2023 годах (7 объектов)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99 357 730</w:t>
            </w:r>
          </w:p>
        </w:tc>
        <w:tc>
          <w:tcPr>
            <w:tcW w:w="4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5A02" w:rsidRDefault="00A95A02" w:rsidP="00F43E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5A02" w:rsidRDefault="00A95A02" w:rsidP="00A95A02">
      <w:pPr>
        <w:ind w:left="567"/>
        <w:jc w:val="center"/>
        <w:rPr>
          <w:sz w:val="28"/>
          <w:szCs w:val="28"/>
        </w:rPr>
      </w:pPr>
    </w:p>
    <w:p w:rsidR="00A95A02" w:rsidRPr="005B44E6" w:rsidRDefault="00A95A02" w:rsidP="00A95A02">
      <w:pPr>
        <w:ind w:left="567" w:firstLine="426"/>
        <w:jc w:val="both"/>
      </w:pPr>
      <w:r>
        <w:t xml:space="preserve">* Предполагаемая цена объектов, находящихся в государственной </w:t>
      </w:r>
      <w:r w:rsidRPr="005B44E6">
        <w:t>собственности, и прогноз дохода от их приватизации приведены по данным официально зарегистрированных бухгалтерских балансов, исходя из предварительной оценки чистых активов акционерных обществ с использованием только имущественного подхода. Рыночная стоимость объектов приватизации рассчитывается оценщиком в соответствии с законодательством Приднестровской Молдавской Республики после его включения в Государственную программу разгосударствления и приватизации в Приднестровской Молдавской Республике.</w:t>
      </w:r>
    </w:p>
    <w:p w:rsidR="00A95A02" w:rsidRDefault="00A95A02" w:rsidP="00A95A02">
      <w:pPr>
        <w:ind w:left="567" w:firstLine="426"/>
        <w:jc w:val="both"/>
      </w:pPr>
      <w:r w:rsidRPr="005B44E6">
        <w:t>** Приватизация объекта будет происходить по мере появления потенциального инвестора.</w:t>
      </w:r>
    </w:p>
    <w:p w:rsidR="00A95A02" w:rsidRPr="005B44E6" w:rsidRDefault="00A95A02" w:rsidP="00A95A02">
      <w:pPr>
        <w:jc w:val="center"/>
        <w:rPr>
          <w:sz w:val="28"/>
          <w:szCs w:val="28"/>
        </w:rPr>
      </w:pPr>
    </w:p>
    <w:p w:rsidR="000E5E67" w:rsidRDefault="000E5E67">
      <w:bookmarkStart w:id="0" w:name="_GoBack"/>
      <w:bookmarkEnd w:id="0"/>
    </w:p>
    <w:sectPr w:rsidR="000E5E67" w:rsidSect="005B44E6">
      <w:pgSz w:w="16838" w:h="11906" w:orient="landscape" w:code="9"/>
      <w:pgMar w:top="993" w:right="567" w:bottom="567" w:left="1134" w:header="426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02"/>
    <w:rsid w:val="000E5E67"/>
    <w:rsid w:val="00975DDD"/>
    <w:rsid w:val="00A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8D25-1348-445B-8283-290526E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Куруч Лилия Ивановна</dc:creator>
  <cp:keywords/>
  <dc:description/>
  <cp:lastModifiedBy>Куруч Лилия Ивановна</cp:lastModifiedBy>
  <cp:revision>1</cp:revision>
  <dcterms:created xsi:type="dcterms:W3CDTF">2022-09-08T11:11:00Z</dcterms:created>
  <dcterms:modified xsi:type="dcterms:W3CDTF">2022-09-08T11:12:00Z</dcterms:modified>
</cp:coreProperties>
</file>