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F5" w:rsidRPr="000819F5" w:rsidRDefault="000819F5" w:rsidP="005F651F">
      <w:pPr>
        <w:ind w:right="3414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0819F5" w:rsidRPr="000819F5" w:rsidRDefault="000819F5" w:rsidP="005F651F">
      <w:pPr>
        <w:suppressAutoHyphens/>
        <w:ind w:right="3414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0819F5" w:rsidRPr="000819F5" w:rsidRDefault="000819F5" w:rsidP="005F651F">
      <w:pPr>
        <w:suppressAutoHyphens/>
        <w:ind w:right="3414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0819F5" w:rsidRPr="000819F5" w:rsidRDefault="000819F5" w:rsidP="005F651F">
      <w:pPr>
        <w:suppressAutoHyphens/>
        <w:ind w:right="3414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0819F5" w:rsidRPr="000819F5" w:rsidRDefault="000819F5" w:rsidP="005F651F">
      <w:pPr>
        <w:suppressAutoHyphens/>
        <w:ind w:right="3414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0819F5" w:rsidRPr="000819F5" w:rsidRDefault="000819F5" w:rsidP="005F651F">
      <w:pPr>
        <w:suppressAutoHyphens/>
        <w:ind w:right="-2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0819F5">
        <w:rPr>
          <w:rFonts w:eastAsia="Times New Roman" w:cs="Calibri"/>
          <w:b/>
          <w:sz w:val="28"/>
          <w:szCs w:val="28"/>
          <w:lang w:eastAsia="ar-SA"/>
        </w:rPr>
        <w:t xml:space="preserve">ПОСТАНОВЛЕНИЕ № </w:t>
      </w:r>
      <w:r w:rsidR="00114A99">
        <w:rPr>
          <w:rFonts w:eastAsia="Times New Roman" w:cs="Calibri"/>
          <w:b/>
          <w:sz w:val="28"/>
          <w:szCs w:val="28"/>
          <w:lang w:eastAsia="ar-SA"/>
        </w:rPr>
        <w:t>2106</w:t>
      </w:r>
    </w:p>
    <w:p w:rsidR="000819F5" w:rsidRPr="000819F5" w:rsidRDefault="000819F5" w:rsidP="005F651F">
      <w:pPr>
        <w:suppressAutoHyphens/>
        <w:ind w:right="-2"/>
        <w:jc w:val="both"/>
        <w:rPr>
          <w:rFonts w:eastAsia="Times New Roman" w:cs="Calibri"/>
          <w:sz w:val="28"/>
          <w:szCs w:val="28"/>
          <w:lang w:eastAsia="ar-SA"/>
        </w:rPr>
      </w:pPr>
    </w:p>
    <w:p w:rsidR="000819F5" w:rsidRPr="000819F5" w:rsidRDefault="000819F5" w:rsidP="005F651F">
      <w:pPr>
        <w:suppressAutoHyphens/>
        <w:ind w:right="-2"/>
        <w:jc w:val="both"/>
        <w:rPr>
          <w:rFonts w:eastAsia="Times New Roman" w:cs="Calibri"/>
          <w:sz w:val="28"/>
          <w:szCs w:val="28"/>
          <w:lang w:eastAsia="ar-SA"/>
        </w:rPr>
      </w:pPr>
      <w:r w:rsidRPr="000819F5">
        <w:rPr>
          <w:rFonts w:eastAsia="Times New Roman" w:cs="Calibri"/>
          <w:sz w:val="28"/>
          <w:szCs w:val="28"/>
          <w:lang w:eastAsia="ar-SA"/>
        </w:rPr>
        <w:t xml:space="preserve">Принято Верховным Советом </w:t>
      </w:r>
    </w:p>
    <w:p w:rsidR="000819F5" w:rsidRPr="000819F5" w:rsidRDefault="000819F5" w:rsidP="005F651F">
      <w:pPr>
        <w:suppressAutoHyphens/>
        <w:ind w:right="-2"/>
        <w:jc w:val="both"/>
        <w:rPr>
          <w:rFonts w:eastAsia="Times New Roman" w:cs="Calibri"/>
          <w:sz w:val="28"/>
          <w:szCs w:val="28"/>
          <w:lang w:eastAsia="ar-SA"/>
        </w:rPr>
      </w:pPr>
      <w:r w:rsidRPr="000819F5">
        <w:rPr>
          <w:rFonts w:eastAsia="Times New Roman" w:cs="Calibri"/>
          <w:sz w:val="28"/>
          <w:szCs w:val="28"/>
          <w:lang w:eastAsia="ar-SA"/>
        </w:rPr>
        <w:t>Приднестровской Молдавской Республики                          26 апреля 2023 года</w:t>
      </w:r>
    </w:p>
    <w:p w:rsidR="000819F5" w:rsidRPr="000819F5" w:rsidRDefault="000819F5" w:rsidP="005F651F">
      <w:pPr>
        <w:suppressAutoHyphens/>
        <w:ind w:right="-2"/>
        <w:jc w:val="both"/>
        <w:rPr>
          <w:rFonts w:eastAsia="Times New Roman" w:cs="Calibri"/>
          <w:sz w:val="28"/>
          <w:szCs w:val="28"/>
          <w:lang w:eastAsia="ar-SA"/>
        </w:rPr>
      </w:pPr>
    </w:p>
    <w:p w:rsidR="00330B17" w:rsidRPr="00330B17" w:rsidRDefault="00330B17" w:rsidP="00C26A72">
      <w:pPr>
        <w:ind w:right="3967"/>
        <w:jc w:val="both"/>
        <w:rPr>
          <w:rFonts w:eastAsia="Times New Roman"/>
          <w:b/>
          <w:sz w:val="28"/>
          <w:szCs w:val="28"/>
        </w:rPr>
      </w:pPr>
      <w:r w:rsidRPr="00330B17">
        <w:rPr>
          <w:rFonts w:eastAsia="Times New Roman"/>
          <w:b/>
          <w:sz w:val="28"/>
          <w:szCs w:val="28"/>
        </w:rPr>
        <w:t xml:space="preserve">Об утверждении отчета </w:t>
      </w:r>
      <w:r w:rsidR="00C26A72">
        <w:rPr>
          <w:rFonts w:eastAsia="Times New Roman"/>
          <w:b/>
          <w:sz w:val="28"/>
          <w:szCs w:val="28"/>
        </w:rPr>
        <w:t>о</w:t>
      </w:r>
      <w:r w:rsidRPr="00330B17">
        <w:rPr>
          <w:rFonts w:eastAsia="Times New Roman"/>
          <w:b/>
          <w:sz w:val="28"/>
          <w:szCs w:val="28"/>
        </w:rPr>
        <w:t xml:space="preserve"> ходе </w:t>
      </w:r>
      <w:r w:rsidR="00D561F0">
        <w:rPr>
          <w:rFonts w:eastAsia="Times New Roman"/>
          <w:b/>
          <w:sz w:val="28"/>
          <w:szCs w:val="28"/>
        </w:rPr>
        <w:t>реализации</w:t>
      </w:r>
      <w:r w:rsidRPr="00330B17">
        <w:rPr>
          <w:rFonts w:eastAsia="Times New Roman"/>
          <w:b/>
          <w:sz w:val="28"/>
          <w:szCs w:val="28"/>
        </w:rPr>
        <w:t xml:space="preserve">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2021–2041 годы за 2022 год</w:t>
      </w:r>
    </w:p>
    <w:p w:rsidR="00330B17" w:rsidRPr="00330B17" w:rsidRDefault="00330B17" w:rsidP="005F651F">
      <w:pPr>
        <w:ind w:firstLine="851"/>
        <w:jc w:val="both"/>
        <w:rPr>
          <w:rFonts w:eastAsia="Times New Roman"/>
          <w:sz w:val="28"/>
          <w:szCs w:val="28"/>
        </w:rPr>
      </w:pPr>
    </w:p>
    <w:p w:rsidR="00330B17" w:rsidRPr="00330B17" w:rsidRDefault="00330B17" w:rsidP="005F651F">
      <w:pPr>
        <w:ind w:firstLine="851"/>
        <w:jc w:val="both"/>
        <w:rPr>
          <w:rFonts w:eastAsia="Times New Roman"/>
          <w:sz w:val="28"/>
          <w:szCs w:val="28"/>
        </w:rPr>
      </w:pPr>
      <w:r w:rsidRPr="00330B17">
        <w:rPr>
          <w:rFonts w:eastAsia="Times New Roman"/>
          <w:sz w:val="28"/>
          <w:szCs w:val="28"/>
        </w:rPr>
        <w:t>Рассмотрев письмо Председателя Правительства Приднестровской Молдавской Республики от 15</w:t>
      </w:r>
      <w:r w:rsidR="00F4693C">
        <w:rPr>
          <w:rFonts w:eastAsia="Times New Roman"/>
          <w:sz w:val="28"/>
          <w:szCs w:val="28"/>
        </w:rPr>
        <w:t xml:space="preserve"> марта </w:t>
      </w:r>
      <w:r w:rsidRPr="00330B17">
        <w:rPr>
          <w:rFonts w:eastAsia="Times New Roman"/>
          <w:sz w:val="28"/>
          <w:szCs w:val="28"/>
        </w:rPr>
        <w:t>2023</w:t>
      </w:r>
      <w:r w:rsidR="00F4693C">
        <w:rPr>
          <w:rFonts w:eastAsia="Times New Roman"/>
          <w:sz w:val="28"/>
          <w:szCs w:val="28"/>
        </w:rPr>
        <w:t xml:space="preserve"> года</w:t>
      </w:r>
      <w:r w:rsidRPr="00330B17">
        <w:rPr>
          <w:rFonts w:eastAsia="Times New Roman"/>
          <w:sz w:val="28"/>
          <w:szCs w:val="28"/>
        </w:rPr>
        <w:t xml:space="preserve"> </w:t>
      </w:r>
      <w:r w:rsidR="0081104A">
        <w:rPr>
          <w:rFonts w:eastAsia="Times New Roman"/>
          <w:sz w:val="28"/>
          <w:szCs w:val="28"/>
        </w:rPr>
        <w:t xml:space="preserve">№ </w:t>
      </w:r>
      <w:r w:rsidRPr="00330B17">
        <w:rPr>
          <w:rFonts w:eastAsia="Times New Roman"/>
          <w:sz w:val="28"/>
          <w:szCs w:val="28"/>
        </w:rPr>
        <w:t>01-11/755 о направлении в соответствии с пунктом 5 статьи 16-1 Закона Приднестровской Молдавской Республики «О бюджетной системе в Приднестровской Молдавской Республике» на утверждение Верховному Совету Приднестровской Молдавской Республики отчетов об исполнении в 2022 году ряда государственных целевых программ, Верховный Совет Приднестровской Молдавской Республики отмечает следующее.</w:t>
      </w:r>
    </w:p>
    <w:p w:rsidR="00330B17" w:rsidRPr="00330B17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B17">
        <w:rPr>
          <w:rFonts w:eastAsiaTheme="minorHAnsi"/>
          <w:sz w:val="28"/>
          <w:szCs w:val="28"/>
          <w:lang w:eastAsia="en-US"/>
        </w:rPr>
        <w:t xml:space="preserve">Государственная программа по восстановлению высокоствольных дубрав на землях Государственного лесного фонда Приднестровской Молдавской Республики на 2021–2041 годы (далее </w:t>
      </w:r>
      <w:r w:rsidR="00F4693C">
        <w:rPr>
          <w:rFonts w:eastAsiaTheme="minorHAnsi"/>
          <w:sz w:val="28"/>
          <w:szCs w:val="28"/>
          <w:lang w:eastAsia="en-US"/>
        </w:rPr>
        <w:t>–</w:t>
      </w:r>
      <w:r w:rsidRPr="00330B17">
        <w:rPr>
          <w:rFonts w:eastAsiaTheme="minorHAnsi"/>
          <w:sz w:val="28"/>
          <w:szCs w:val="28"/>
          <w:lang w:eastAsia="en-US"/>
        </w:rPr>
        <w:t xml:space="preserve"> Государственная программа) н</w:t>
      </w:r>
      <w:r w:rsidR="0081104A">
        <w:rPr>
          <w:rFonts w:eastAsiaTheme="minorHAnsi"/>
          <w:sz w:val="28"/>
          <w:szCs w:val="28"/>
          <w:lang w:eastAsia="en-US"/>
        </w:rPr>
        <w:t>ачала свое действие в 2021 году.</w:t>
      </w:r>
      <w:r w:rsidR="0081104A" w:rsidRPr="00330B17">
        <w:rPr>
          <w:rFonts w:eastAsiaTheme="minorHAnsi"/>
          <w:sz w:val="28"/>
          <w:szCs w:val="28"/>
          <w:lang w:eastAsia="en-US"/>
        </w:rPr>
        <w:t xml:space="preserve"> В</w:t>
      </w:r>
      <w:r w:rsidRPr="00330B17">
        <w:rPr>
          <w:rFonts w:eastAsiaTheme="minorHAnsi"/>
          <w:sz w:val="28"/>
          <w:szCs w:val="28"/>
          <w:lang w:eastAsia="en-US"/>
        </w:rPr>
        <w:t xml:space="preserve"> соответствии с данной Программой предусмотрено поэтапное пропорциональное финансирование мероприяти</w:t>
      </w:r>
      <w:r w:rsidR="00697CB2">
        <w:rPr>
          <w:rFonts w:eastAsiaTheme="minorHAnsi"/>
          <w:sz w:val="28"/>
          <w:szCs w:val="28"/>
          <w:lang w:eastAsia="en-US"/>
        </w:rPr>
        <w:t>й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Pr="00330B17">
        <w:rPr>
          <w:rFonts w:eastAsiaTheme="minorHAnsi"/>
          <w:sz w:val="28"/>
          <w:szCs w:val="28"/>
          <w:lang w:eastAsia="en-US"/>
        </w:rPr>
        <w:t xml:space="preserve"> направленных на </w:t>
      </w:r>
      <w:proofErr w:type="spellStart"/>
      <w:r w:rsidRPr="00330B17">
        <w:rPr>
          <w:rFonts w:eastAsiaTheme="minorHAnsi"/>
          <w:sz w:val="28"/>
          <w:szCs w:val="28"/>
          <w:lang w:eastAsia="en-US"/>
        </w:rPr>
        <w:t>лесовосстановление</w:t>
      </w:r>
      <w:proofErr w:type="spellEnd"/>
      <w:r w:rsidRPr="00330B17">
        <w:rPr>
          <w:rFonts w:eastAsiaTheme="minorHAnsi"/>
          <w:sz w:val="28"/>
          <w:szCs w:val="28"/>
          <w:lang w:eastAsia="en-US"/>
        </w:rPr>
        <w:t xml:space="preserve"> коренных лесов на территории Приднестровской Молдавской Республики.</w:t>
      </w:r>
    </w:p>
    <w:p w:rsidR="00330B17" w:rsidRPr="00F4693C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действующей редакцией Государственной программы р</w:t>
      </w:r>
      <w:r w:rsidRPr="00330B17">
        <w:rPr>
          <w:rFonts w:eastAsiaTheme="minorHAnsi"/>
          <w:sz w:val="28"/>
          <w:szCs w:val="28"/>
          <w:lang w:eastAsia="en-US"/>
        </w:rPr>
        <w:t>еализацию Государственной программы осуществля</w:t>
      </w:r>
      <w:r w:rsidR="0081104A">
        <w:rPr>
          <w:rFonts w:eastAsiaTheme="minorHAnsi"/>
          <w:sz w:val="28"/>
          <w:szCs w:val="28"/>
          <w:lang w:eastAsia="en-US"/>
        </w:rPr>
        <w:t>ю</w:t>
      </w:r>
      <w:r w:rsidRPr="00330B17">
        <w:rPr>
          <w:rFonts w:eastAsiaTheme="minorHAnsi"/>
          <w:sz w:val="28"/>
          <w:szCs w:val="28"/>
          <w:lang w:eastAsia="en-US"/>
        </w:rPr>
        <w:t xml:space="preserve">т </w:t>
      </w:r>
      <w:r w:rsidRPr="00F4693C">
        <w:rPr>
          <w:rFonts w:eastAsiaTheme="minorHAnsi"/>
          <w:sz w:val="28"/>
          <w:szCs w:val="28"/>
          <w:lang w:eastAsia="en-US"/>
        </w:rPr>
        <w:t>Министерство сельского хозяйства и природных ресурсов Приднестровской Молдавской Республики и государственное унитарное предприятие «Приднестровье-лес», однако в соответствии с представленной информацией реализаци</w:t>
      </w:r>
      <w:r w:rsidR="0081104A">
        <w:rPr>
          <w:rFonts w:eastAsiaTheme="minorHAnsi"/>
          <w:sz w:val="28"/>
          <w:szCs w:val="28"/>
          <w:lang w:eastAsia="en-US"/>
        </w:rPr>
        <w:t>я</w:t>
      </w:r>
      <w:r w:rsidRPr="00F4693C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697CB2">
        <w:rPr>
          <w:rFonts w:eastAsiaTheme="minorHAnsi"/>
          <w:sz w:val="28"/>
          <w:szCs w:val="28"/>
          <w:lang w:eastAsia="en-US"/>
        </w:rPr>
        <w:t>,</w:t>
      </w:r>
      <w:r w:rsidRPr="00F4693C">
        <w:rPr>
          <w:rFonts w:eastAsiaTheme="minorHAnsi"/>
          <w:sz w:val="28"/>
          <w:szCs w:val="28"/>
          <w:lang w:eastAsia="en-US"/>
        </w:rPr>
        <w:t xml:space="preserve"> предусмотренных Государственной программой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Pr="00F4693C">
        <w:rPr>
          <w:rFonts w:eastAsiaTheme="minorHAnsi"/>
          <w:sz w:val="28"/>
          <w:szCs w:val="28"/>
          <w:lang w:eastAsia="en-US"/>
        </w:rPr>
        <w:t xml:space="preserve"> осуществлял</w:t>
      </w:r>
      <w:r w:rsidR="0081104A">
        <w:rPr>
          <w:rFonts w:eastAsiaTheme="minorHAnsi"/>
          <w:sz w:val="28"/>
          <w:szCs w:val="28"/>
          <w:lang w:eastAsia="en-US"/>
        </w:rPr>
        <w:t>а</w:t>
      </w:r>
      <w:r w:rsidRPr="00F4693C">
        <w:rPr>
          <w:rFonts w:eastAsiaTheme="minorHAnsi"/>
          <w:sz w:val="28"/>
          <w:szCs w:val="28"/>
          <w:lang w:eastAsia="en-US"/>
        </w:rPr>
        <w:t xml:space="preserve">сь Управлением лесных ресурсов Государственной службы экологического контроля и охраны окружающей среды Приднестровской Молдавской Республики. </w:t>
      </w:r>
    </w:p>
    <w:p w:rsidR="00330B17" w:rsidRPr="00330B17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93C">
        <w:rPr>
          <w:rFonts w:eastAsiaTheme="minorHAnsi"/>
          <w:sz w:val="28"/>
          <w:szCs w:val="28"/>
          <w:lang w:eastAsia="en-US"/>
        </w:rPr>
        <w:t>Так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Pr="00F4693C">
        <w:rPr>
          <w:rFonts w:eastAsiaTheme="minorHAnsi"/>
          <w:sz w:val="28"/>
          <w:szCs w:val="28"/>
          <w:lang w:eastAsia="en-US"/>
        </w:rPr>
        <w:t xml:space="preserve"> в соответствии с Государственной программой в 2021 году планировалось приобретение механизмов и техники на сумму </w:t>
      </w:r>
      <w:r w:rsidR="0081104A">
        <w:rPr>
          <w:rFonts w:eastAsiaTheme="minorHAnsi"/>
          <w:sz w:val="28"/>
          <w:szCs w:val="28"/>
          <w:lang w:eastAsia="en-US"/>
        </w:rPr>
        <w:br/>
      </w:r>
      <w:r w:rsidRPr="00F4693C">
        <w:rPr>
          <w:rFonts w:eastAsiaTheme="minorHAnsi"/>
          <w:sz w:val="28"/>
          <w:szCs w:val="28"/>
          <w:lang w:eastAsia="en-US"/>
        </w:rPr>
        <w:t>1</w:t>
      </w:r>
      <w:r w:rsidR="0081104A">
        <w:rPr>
          <w:rFonts w:eastAsiaTheme="minorHAnsi"/>
          <w:sz w:val="28"/>
          <w:szCs w:val="28"/>
          <w:lang w:eastAsia="en-US"/>
        </w:rPr>
        <w:t> </w:t>
      </w:r>
      <w:r w:rsidRPr="00F4693C">
        <w:rPr>
          <w:rFonts w:eastAsiaTheme="minorHAnsi"/>
          <w:sz w:val="28"/>
          <w:szCs w:val="28"/>
          <w:lang w:eastAsia="en-US"/>
        </w:rPr>
        <w:t>054</w:t>
      </w:r>
      <w:r w:rsidR="0081104A">
        <w:rPr>
          <w:rFonts w:eastAsiaTheme="minorHAnsi"/>
          <w:sz w:val="28"/>
          <w:szCs w:val="28"/>
          <w:lang w:eastAsia="en-US"/>
        </w:rPr>
        <w:t> </w:t>
      </w:r>
      <w:r w:rsidRPr="00F4693C">
        <w:rPr>
          <w:rFonts w:eastAsiaTheme="minorHAnsi"/>
          <w:sz w:val="28"/>
          <w:szCs w:val="28"/>
          <w:lang w:eastAsia="en-US"/>
        </w:rPr>
        <w:t>000</w:t>
      </w:r>
      <w:r w:rsidR="0081104A">
        <w:rPr>
          <w:rFonts w:eastAsiaTheme="minorHAnsi"/>
          <w:sz w:val="28"/>
          <w:szCs w:val="28"/>
          <w:lang w:eastAsia="en-US"/>
        </w:rPr>
        <w:t xml:space="preserve"> рублей</w:t>
      </w:r>
      <w:r w:rsidRPr="00F4693C">
        <w:rPr>
          <w:rFonts w:eastAsiaTheme="minorHAnsi"/>
          <w:sz w:val="28"/>
          <w:szCs w:val="28"/>
          <w:lang w:eastAsia="en-US"/>
        </w:rPr>
        <w:t xml:space="preserve">, а в последующие годы планировалось проведение </w:t>
      </w:r>
      <w:r w:rsidRPr="00F4693C">
        <w:rPr>
          <w:rFonts w:eastAsiaTheme="minorHAnsi"/>
          <w:sz w:val="28"/>
          <w:szCs w:val="28"/>
          <w:lang w:eastAsia="en-US"/>
        </w:rPr>
        <w:lastRenderedPageBreak/>
        <w:t>пропорциональных</w:t>
      </w:r>
      <w:r w:rsidRPr="00330B17">
        <w:rPr>
          <w:rFonts w:eastAsiaTheme="minorHAnsi"/>
          <w:sz w:val="28"/>
          <w:szCs w:val="28"/>
          <w:lang w:eastAsia="en-US"/>
        </w:rPr>
        <w:t xml:space="preserve"> лесовосстановительных работ с ежегодным финансированием в размере </w:t>
      </w:r>
      <w:r w:rsidRPr="00F4693C">
        <w:rPr>
          <w:rFonts w:eastAsiaTheme="minorHAnsi"/>
          <w:sz w:val="28"/>
          <w:szCs w:val="28"/>
          <w:lang w:eastAsia="en-US"/>
        </w:rPr>
        <w:t>1</w:t>
      </w:r>
      <w:r w:rsidR="0081104A">
        <w:rPr>
          <w:rFonts w:eastAsiaTheme="minorHAnsi"/>
          <w:sz w:val="28"/>
          <w:szCs w:val="28"/>
          <w:lang w:eastAsia="en-US"/>
        </w:rPr>
        <w:t> </w:t>
      </w:r>
      <w:r w:rsidRPr="00F4693C">
        <w:rPr>
          <w:rFonts w:eastAsiaTheme="minorHAnsi"/>
          <w:sz w:val="28"/>
          <w:szCs w:val="28"/>
          <w:lang w:eastAsia="en-US"/>
        </w:rPr>
        <w:t>080 909 рублей</w:t>
      </w:r>
      <w:r w:rsidRPr="00330B17">
        <w:rPr>
          <w:rFonts w:eastAsiaTheme="minorHAnsi"/>
          <w:sz w:val="28"/>
          <w:szCs w:val="28"/>
          <w:lang w:eastAsia="en-US"/>
        </w:rPr>
        <w:t>.</w:t>
      </w:r>
    </w:p>
    <w:p w:rsidR="00330B17" w:rsidRPr="00330B17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B17">
        <w:rPr>
          <w:rFonts w:eastAsiaTheme="minorHAnsi"/>
          <w:sz w:val="28"/>
          <w:szCs w:val="28"/>
          <w:lang w:eastAsia="en-US"/>
        </w:rPr>
        <w:t xml:space="preserve">Согласно представленной </w:t>
      </w:r>
      <w:r w:rsidR="0081104A" w:rsidRPr="00330B17">
        <w:rPr>
          <w:rFonts w:eastAsiaTheme="minorHAnsi"/>
          <w:sz w:val="28"/>
          <w:szCs w:val="28"/>
          <w:lang w:eastAsia="en-US"/>
        </w:rPr>
        <w:t xml:space="preserve">ниже </w:t>
      </w:r>
      <w:r w:rsidRPr="00330B17">
        <w:rPr>
          <w:rFonts w:eastAsiaTheme="minorHAnsi"/>
          <w:sz w:val="28"/>
          <w:szCs w:val="28"/>
          <w:lang w:eastAsia="en-US"/>
        </w:rPr>
        <w:t>таблиц</w:t>
      </w:r>
      <w:r w:rsidR="00D478A0">
        <w:rPr>
          <w:rFonts w:eastAsiaTheme="minorHAnsi"/>
          <w:sz w:val="28"/>
          <w:szCs w:val="28"/>
          <w:lang w:eastAsia="en-US"/>
        </w:rPr>
        <w:t>е</w:t>
      </w:r>
      <w:r w:rsidRPr="00330B17">
        <w:rPr>
          <w:rFonts w:eastAsiaTheme="minorHAnsi"/>
          <w:sz w:val="28"/>
          <w:szCs w:val="28"/>
          <w:lang w:eastAsia="en-US"/>
        </w:rPr>
        <w:t xml:space="preserve"> Государственной программой был</w:t>
      </w:r>
      <w:r w:rsidR="0081104A">
        <w:rPr>
          <w:rFonts w:eastAsiaTheme="minorHAnsi"/>
          <w:sz w:val="28"/>
          <w:szCs w:val="28"/>
          <w:lang w:eastAsia="en-US"/>
        </w:rPr>
        <w:t>о</w:t>
      </w:r>
      <w:r w:rsidRPr="00330B17">
        <w:rPr>
          <w:rFonts w:eastAsiaTheme="minorHAnsi"/>
          <w:sz w:val="28"/>
          <w:szCs w:val="28"/>
          <w:lang w:eastAsia="en-US"/>
        </w:rPr>
        <w:t xml:space="preserve"> определено направление расходования средств программы на приобретение следующих видов техники.</w:t>
      </w:r>
    </w:p>
    <w:p w:rsidR="00330B17" w:rsidRPr="00F4693C" w:rsidRDefault="00330B17" w:rsidP="005F651F">
      <w:pPr>
        <w:jc w:val="right"/>
        <w:rPr>
          <w:rFonts w:eastAsia="Times New Roman"/>
          <w:sz w:val="28"/>
          <w:szCs w:val="28"/>
        </w:rPr>
      </w:pPr>
      <w:r w:rsidRPr="00F4693C">
        <w:rPr>
          <w:rFonts w:eastAsia="Times New Roman"/>
          <w:sz w:val="28"/>
          <w:szCs w:val="28"/>
        </w:rPr>
        <w:t>Таблица</w:t>
      </w:r>
    </w:p>
    <w:p w:rsidR="00330B17" w:rsidRDefault="00330B17" w:rsidP="005F651F">
      <w:pPr>
        <w:jc w:val="center"/>
        <w:rPr>
          <w:rFonts w:eastAsia="Times New Roman"/>
          <w:sz w:val="28"/>
          <w:szCs w:val="28"/>
        </w:rPr>
      </w:pPr>
      <w:r w:rsidRPr="00F4693C">
        <w:rPr>
          <w:rFonts w:eastAsia="Times New Roman"/>
          <w:sz w:val="28"/>
          <w:szCs w:val="28"/>
        </w:rPr>
        <w:t>Приобретение машин и механизмов</w:t>
      </w:r>
    </w:p>
    <w:p w:rsidR="00963DFC" w:rsidRPr="00F4693C" w:rsidRDefault="00963DFC" w:rsidP="005F651F">
      <w:pPr>
        <w:jc w:val="center"/>
        <w:rPr>
          <w:rFonts w:eastAsia="Times New Roman"/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16"/>
        <w:gridCol w:w="1846"/>
        <w:gridCol w:w="1701"/>
        <w:gridCol w:w="2374"/>
      </w:tblGrid>
      <w:tr w:rsidR="00330B17" w:rsidRPr="00F4693C" w:rsidTr="004D32E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 xml:space="preserve">Стоимость </w:t>
            </w:r>
          </w:p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за единицу,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Количество, единица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Общая стоимость, руб.</w:t>
            </w:r>
          </w:p>
        </w:tc>
      </w:tr>
      <w:tr w:rsidR="00330B17" w:rsidRPr="00F4693C" w:rsidTr="004D32E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316" w:type="dxa"/>
            <w:shd w:val="clear" w:color="auto" w:fill="auto"/>
          </w:tcPr>
          <w:p w:rsidR="00330B17" w:rsidRPr="00F4693C" w:rsidRDefault="00330B17" w:rsidP="005F651F">
            <w:pPr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Трактор МТЗ-82</w:t>
            </w:r>
          </w:p>
        </w:tc>
        <w:tc>
          <w:tcPr>
            <w:tcW w:w="1843" w:type="dxa"/>
            <w:shd w:val="clear" w:color="auto" w:fill="auto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341 000</w:t>
            </w:r>
          </w:p>
        </w:tc>
        <w:tc>
          <w:tcPr>
            <w:tcW w:w="1701" w:type="dxa"/>
            <w:shd w:val="clear" w:color="auto" w:fill="auto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682 000</w:t>
            </w:r>
          </w:p>
        </w:tc>
      </w:tr>
      <w:tr w:rsidR="00330B17" w:rsidRPr="00F4693C" w:rsidTr="004D32E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316" w:type="dxa"/>
            <w:shd w:val="clear" w:color="auto" w:fill="auto"/>
          </w:tcPr>
          <w:p w:rsidR="00330B17" w:rsidRPr="00F4693C" w:rsidRDefault="00330B17" w:rsidP="005F651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F4693C">
              <w:rPr>
                <w:rFonts w:eastAsia="Times New Roman"/>
                <w:sz w:val="28"/>
                <w:szCs w:val="28"/>
              </w:rPr>
              <w:t>Мульчер</w:t>
            </w:r>
            <w:proofErr w:type="spellEnd"/>
            <w:r w:rsidRPr="00F4693C">
              <w:rPr>
                <w:rFonts w:eastAsia="Times New Roman"/>
                <w:sz w:val="28"/>
                <w:szCs w:val="28"/>
              </w:rPr>
              <w:t xml:space="preserve"> МЛ-1,5</w:t>
            </w:r>
          </w:p>
        </w:tc>
        <w:tc>
          <w:tcPr>
            <w:tcW w:w="1843" w:type="dxa"/>
            <w:shd w:val="clear" w:color="auto" w:fill="auto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77 500</w:t>
            </w:r>
          </w:p>
        </w:tc>
        <w:tc>
          <w:tcPr>
            <w:tcW w:w="1701" w:type="dxa"/>
            <w:shd w:val="clear" w:color="auto" w:fill="auto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155 000</w:t>
            </w:r>
          </w:p>
        </w:tc>
      </w:tr>
      <w:tr w:rsidR="00330B17" w:rsidRPr="00F4693C" w:rsidTr="004D32E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316" w:type="dxa"/>
            <w:shd w:val="clear" w:color="auto" w:fill="auto"/>
          </w:tcPr>
          <w:p w:rsidR="00330B17" w:rsidRPr="00F4693C" w:rsidRDefault="00330B17" w:rsidP="005F651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Механизм для понижения пней ДЭМ-121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108 500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217 000</w:t>
            </w:r>
          </w:p>
        </w:tc>
      </w:tr>
      <w:tr w:rsidR="00330B17" w:rsidRPr="00F4693C" w:rsidTr="004D32E0">
        <w:trPr>
          <w:jc w:val="center"/>
        </w:trPr>
        <w:tc>
          <w:tcPr>
            <w:tcW w:w="5810" w:type="dxa"/>
            <w:gridSpan w:val="3"/>
            <w:shd w:val="clear" w:color="auto" w:fill="auto"/>
          </w:tcPr>
          <w:p w:rsidR="00330B17" w:rsidRPr="00F4693C" w:rsidRDefault="00330B17" w:rsidP="005F651F">
            <w:pPr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330B17" w:rsidRPr="00F4693C" w:rsidRDefault="00330B17" w:rsidP="005F651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330B17" w:rsidRPr="00F4693C" w:rsidRDefault="00330B17" w:rsidP="005F651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4693C">
              <w:rPr>
                <w:rFonts w:eastAsia="Times New Roman"/>
                <w:sz w:val="28"/>
                <w:szCs w:val="28"/>
              </w:rPr>
              <w:t>1 054 000</w:t>
            </w:r>
          </w:p>
        </w:tc>
      </w:tr>
    </w:tbl>
    <w:p w:rsidR="005F651F" w:rsidRDefault="005F651F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0B17" w:rsidRPr="005F651F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B17">
        <w:rPr>
          <w:rFonts w:eastAsiaTheme="minorHAnsi"/>
          <w:sz w:val="28"/>
          <w:szCs w:val="28"/>
          <w:lang w:eastAsia="en-US"/>
        </w:rPr>
        <w:t xml:space="preserve">Вместе с </w:t>
      </w:r>
      <w:r w:rsidR="0081104A">
        <w:rPr>
          <w:rFonts w:eastAsiaTheme="minorHAnsi"/>
          <w:sz w:val="28"/>
          <w:szCs w:val="28"/>
          <w:lang w:eastAsia="en-US"/>
        </w:rPr>
        <w:t>тем</w:t>
      </w:r>
      <w:r w:rsidRPr="00330B17">
        <w:rPr>
          <w:rFonts w:eastAsiaTheme="minorHAnsi"/>
          <w:sz w:val="28"/>
          <w:szCs w:val="28"/>
          <w:lang w:eastAsia="en-US"/>
        </w:rPr>
        <w:t xml:space="preserve"> в соответствии с представленной информацией </w:t>
      </w:r>
      <w:r w:rsidR="005F651F">
        <w:rPr>
          <w:rFonts w:eastAsiaTheme="minorHAnsi"/>
          <w:sz w:val="28"/>
          <w:szCs w:val="28"/>
          <w:lang w:eastAsia="en-US"/>
        </w:rPr>
        <w:br/>
      </w:r>
      <w:r w:rsidRPr="00330B17">
        <w:rPr>
          <w:rFonts w:eastAsiaTheme="minorHAnsi"/>
          <w:sz w:val="28"/>
          <w:szCs w:val="28"/>
          <w:lang w:eastAsia="en-US"/>
        </w:rPr>
        <w:t>в 2021 году на реализацию мероприяти</w:t>
      </w:r>
      <w:r w:rsidR="00D478A0">
        <w:rPr>
          <w:rFonts w:eastAsiaTheme="minorHAnsi"/>
          <w:sz w:val="28"/>
          <w:szCs w:val="28"/>
          <w:lang w:eastAsia="en-US"/>
        </w:rPr>
        <w:t>й</w:t>
      </w:r>
      <w:r w:rsidRPr="00330B17">
        <w:rPr>
          <w:rFonts w:eastAsiaTheme="minorHAnsi"/>
          <w:sz w:val="28"/>
          <w:szCs w:val="28"/>
          <w:lang w:eastAsia="en-US"/>
        </w:rPr>
        <w:t xml:space="preserve"> Государственной программы из Республиканского </w:t>
      </w:r>
      <w:r w:rsidRPr="005F651F">
        <w:rPr>
          <w:rFonts w:eastAsiaTheme="minorHAnsi"/>
          <w:sz w:val="28"/>
          <w:szCs w:val="28"/>
          <w:lang w:eastAsia="en-US"/>
        </w:rPr>
        <w:t>экологического фонда Приднестровской Молдавской Республики было выделено 128 850</w:t>
      </w:r>
      <w:r w:rsidR="0045319C" w:rsidRPr="005F651F">
        <w:rPr>
          <w:rFonts w:eastAsiaTheme="minorHAnsi"/>
          <w:sz w:val="28"/>
          <w:szCs w:val="28"/>
          <w:lang w:eastAsia="en-US"/>
        </w:rPr>
        <w:t xml:space="preserve"> рублей,</w:t>
      </w:r>
      <w:r w:rsidRPr="005F651F">
        <w:rPr>
          <w:rFonts w:eastAsiaTheme="minorHAnsi"/>
          <w:sz w:val="28"/>
          <w:szCs w:val="28"/>
          <w:lang w:eastAsia="en-US"/>
        </w:rPr>
        <w:t xml:space="preserve"> то есть 17 </w:t>
      </w:r>
      <w:r w:rsidR="0081104A">
        <w:rPr>
          <w:rFonts w:eastAsiaTheme="minorHAnsi"/>
          <w:sz w:val="28"/>
          <w:szCs w:val="28"/>
          <w:lang w:eastAsia="en-US"/>
        </w:rPr>
        <w:t>процентов</w:t>
      </w:r>
      <w:r w:rsidRPr="005F651F">
        <w:rPr>
          <w:rFonts w:eastAsiaTheme="minorHAnsi"/>
          <w:sz w:val="28"/>
          <w:szCs w:val="28"/>
          <w:lang w:eastAsia="en-US"/>
        </w:rPr>
        <w:t xml:space="preserve"> от плана, при этом направлены данные средства были на приобретение механизма для понижения пней в количестве 1 </w:t>
      </w:r>
      <w:r w:rsidR="0081104A">
        <w:rPr>
          <w:rFonts w:eastAsiaTheme="minorHAnsi"/>
          <w:sz w:val="28"/>
          <w:szCs w:val="28"/>
          <w:lang w:eastAsia="en-US"/>
        </w:rPr>
        <w:t xml:space="preserve">(одной) </w:t>
      </w:r>
      <w:r w:rsidRPr="005F651F">
        <w:rPr>
          <w:rFonts w:eastAsiaTheme="minorHAnsi"/>
          <w:sz w:val="28"/>
          <w:szCs w:val="28"/>
          <w:lang w:eastAsia="en-US"/>
        </w:rPr>
        <w:t>единицы</w:t>
      </w:r>
      <w:r w:rsidR="0045319C" w:rsidRPr="005F651F">
        <w:rPr>
          <w:rFonts w:eastAsiaTheme="minorHAnsi"/>
          <w:sz w:val="28"/>
          <w:szCs w:val="28"/>
          <w:lang w:eastAsia="en-US"/>
        </w:rPr>
        <w:t>,</w:t>
      </w:r>
      <w:r w:rsidRPr="005F651F">
        <w:rPr>
          <w:rFonts w:eastAsiaTheme="minorHAnsi"/>
          <w:sz w:val="28"/>
          <w:szCs w:val="28"/>
          <w:lang w:eastAsia="en-US"/>
        </w:rPr>
        <w:t xml:space="preserve"> плановая стоимость которого составляла 108</w:t>
      </w:r>
      <w:r w:rsidR="0081104A">
        <w:rPr>
          <w:rFonts w:eastAsiaTheme="minorHAnsi"/>
          <w:sz w:val="28"/>
          <w:szCs w:val="28"/>
          <w:lang w:eastAsia="en-US"/>
        </w:rPr>
        <w:t> </w:t>
      </w:r>
      <w:r w:rsidRPr="005F651F">
        <w:rPr>
          <w:rFonts w:eastAsiaTheme="minorHAnsi"/>
          <w:sz w:val="28"/>
          <w:szCs w:val="28"/>
          <w:lang w:eastAsia="en-US"/>
        </w:rPr>
        <w:t>500</w:t>
      </w:r>
      <w:r w:rsidR="0081104A">
        <w:rPr>
          <w:rFonts w:eastAsiaTheme="minorHAnsi"/>
          <w:sz w:val="28"/>
          <w:szCs w:val="28"/>
          <w:lang w:eastAsia="en-US"/>
        </w:rPr>
        <w:t xml:space="preserve"> </w:t>
      </w:r>
      <w:r w:rsidRPr="005F651F">
        <w:rPr>
          <w:rFonts w:eastAsiaTheme="minorHAnsi"/>
          <w:sz w:val="28"/>
          <w:szCs w:val="28"/>
          <w:lang w:eastAsia="en-US"/>
        </w:rPr>
        <w:t>р</w:t>
      </w:r>
      <w:r w:rsidR="0045319C" w:rsidRPr="005F651F">
        <w:rPr>
          <w:rFonts w:eastAsiaTheme="minorHAnsi"/>
          <w:sz w:val="28"/>
          <w:szCs w:val="28"/>
          <w:lang w:eastAsia="en-US"/>
        </w:rPr>
        <w:t>ублей</w:t>
      </w:r>
      <w:r w:rsidR="0081104A">
        <w:rPr>
          <w:rFonts w:eastAsiaTheme="minorHAnsi"/>
          <w:sz w:val="28"/>
          <w:szCs w:val="28"/>
          <w:lang w:eastAsia="en-US"/>
        </w:rPr>
        <w:t>.</w:t>
      </w:r>
      <w:r w:rsidRPr="005F651F">
        <w:rPr>
          <w:rFonts w:eastAsiaTheme="minorHAnsi"/>
          <w:sz w:val="28"/>
          <w:szCs w:val="28"/>
          <w:lang w:eastAsia="en-US"/>
        </w:rPr>
        <w:t xml:space="preserve"> </w:t>
      </w:r>
      <w:r w:rsidR="0081104A" w:rsidRPr="005F651F">
        <w:rPr>
          <w:rFonts w:eastAsiaTheme="minorHAnsi"/>
          <w:sz w:val="28"/>
          <w:szCs w:val="28"/>
          <w:lang w:eastAsia="en-US"/>
        </w:rPr>
        <w:t>Т</w:t>
      </w:r>
      <w:r w:rsidRPr="005F651F">
        <w:rPr>
          <w:rFonts w:eastAsiaTheme="minorHAnsi"/>
          <w:sz w:val="28"/>
          <w:szCs w:val="28"/>
          <w:lang w:eastAsia="en-US"/>
        </w:rPr>
        <w:t xml:space="preserve">ут же необходимо отметить, что </w:t>
      </w:r>
      <w:r w:rsidR="0081104A">
        <w:rPr>
          <w:rFonts w:eastAsiaTheme="minorHAnsi"/>
          <w:sz w:val="28"/>
          <w:szCs w:val="28"/>
          <w:lang w:eastAsia="en-US"/>
        </w:rPr>
        <w:br/>
      </w:r>
      <w:r w:rsidRPr="005F651F">
        <w:rPr>
          <w:rFonts w:eastAsiaTheme="minorHAnsi"/>
          <w:sz w:val="28"/>
          <w:szCs w:val="28"/>
          <w:lang w:eastAsia="en-US"/>
        </w:rPr>
        <w:t>в 2022 году из Республиканского экологического фонда Приднестровской Молдавской Республики было выделено 176</w:t>
      </w:r>
      <w:r w:rsidR="005F651F">
        <w:rPr>
          <w:rFonts w:eastAsiaTheme="minorHAnsi"/>
          <w:sz w:val="28"/>
          <w:szCs w:val="28"/>
          <w:lang w:eastAsia="en-US"/>
        </w:rPr>
        <w:t> </w:t>
      </w:r>
      <w:r w:rsidRPr="005F651F">
        <w:rPr>
          <w:rFonts w:eastAsiaTheme="minorHAnsi"/>
          <w:sz w:val="28"/>
          <w:szCs w:val="28"/>
          <w:lang w:eastAsia="en-US"/>
        </w:rPr>
        <w:t>150</w:t>
      </w:r>
      <w:r w:rsidR="005F651F">
        <w:rPr>
          <w:rFonts w:eastAsiaTheme="minorHAnsi"/>
          <w:sz w:val="28"/>
          <w:szCs w:val="28"/>
          <w:lang w:eastAsia="en-US"/>
        </w:rPr>
        <w:t xml:space="preserve"> </w:t>
      </w:r>
      <w:r w:rsidRPr="005F651F">
        <w:rPr>
          <w:rFonts w:eastAsiaTheme="minorHAnsi"/>
          <w:sz w:val="28"/>
          <w:szCs w:val="28"/>
          <w:lang w:eastAsia="en-US"/>
        </w:rPr>
        <w:t>р</w:t>
      </w:r>
      <w:r w:rsidR="0045319C" w:rsidRPr="005F651F">
        <w:rPr>
          <w:rFonts w:eastAsiaTheme="minorHAnsi"/>
          <w:sz w:val="28"/>
          <w:szCs w:val="28"/>
          <w:lang w:eastAsia="en-US"/>
        </w:rPr>
        <w:t>ублей,</w:t>
      </w:r>
      <w:r w:rsidRPr="005F651F">
        <w:rPr>
          <w:rFonts w:eastAsiaTheme="minorHAnsi"/>
          <w:sz w:val="28"/>
          <w:szCs w:val="28"/>
          <w:lang w:eastAsia="en-US"/>
        </w:rPr>
        <w:t xml:space="preserve"> что составляет </w:t>
      </w:r>
      <w:r w:rsidR="0081104A">
        <w:rPr>
          <w:rFonts w:eastAsiaTheme="minorHAnsi"/>
          <w:sz w:val="28"/>
          <w:szCs w:val="28"/>
          <w:lang w:eastAsia="en-US"/>
        </w:rPr>
        <w:br/>
      </w:r>
      <w:r w:rsidRPr="005F651F">
        <w:rPr>
          <w:rFonts w:eastAsiaTheme="minorHAnsi"/>
          <w:sz w:val="28"/>
          <w:szCs w:val="28"/>
          <w:lang w:eastAsia="en-US"/>
        </w:rPr>
        <w:t>16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Pr="005F651F">
        <w:rPr>
          <w:rFonts w:eastAsiaTheme="minorHAnsi"/>
          <w:sz w:val="28"/>
          <w:szCs w:val="28"/>
          <w:lang w:eastAsia="en-US"/>
        </w:rPr>
        <w:t xml:space="preserve">3 </w:t>
      </w:r>
      <w:r w:rsidR="0081104A">
        <w:rPr>
          <w:rFonts w:eastAsiaTheme="minorHAnsi"/>
          <w:sz w:val="28"/>
          <w:szCs w:val="28"/>
          <w:lang w:eastAsia="en-US"/>
        </w:rPr>
        <w:t xml:space="preserve">процента </w:t>
      </w:r>
      <w:r w:rsidRPr="005F651F">
        <w:rPr>
          <w:rFonts w:eastAsiaTheme="minorHAnsi"/>
          <w:sz w:val="28"/>
          <w:szCs w:val="28"/>
          <w:lang w:eastAsia="en-US"/>
        </w:rPr>
        <w:t>от</w:t>
      </w:r>
      <w:r w:rsidR="0045319C" w:rsidRPr="005F651F">
        <w:rPr>
          <w:rFonts w:eastAsiaTheme="minorHAnsi"/>
          <w:sz w:val="28"/>
          <w:szCs w:val="28"/>
          <w:lang w:eastAsia="en-US"/>
        </w:rPr>
        <w:t xml:space="preserve"> объема</w:t>
      </w:r>
      <w:r w:rsidRPr="005F651F">
        <w:rPr>
          <w:rFonts w:eastAsiaTheme="minorHAnsi"/>
          <w:sz w:val="28"/>
          <w:szCs w:val="28"/>
          <w:lang w:eastAsia="en-US"/>
        </w:rPr>
        <w:t xml:space="preserve"> планового финансирования по Государственной программе</w:t>
      </w:r>
      <w:r w:rsidR="0045319C" w:rsidRPr="005F651F">
        <w:rPr>
          <w:rFonts w:eastAsiaTheme="minorHAnsi"/>
          <w:sz w:val="28"/>
          <w:szCs w:val="28"/>
          <w:lang w:eastAsia="en-US"/>
        </w:rPr>
        <w:t xml:space="preserve"> в 2022</w:t>
      </w:r>
      <w:r w:rsidR="0081104A">
        <w:rPr>
          <w:rFonts w:eastAsiaTheme="minorHAnsi"/>
          <w:sz w:val="28"/>
          <w:szCs w:val="28"/>
          <w:lang w:eastAsia="en-US"/>
        </w:rPr>
        <w:t xml:space="preserve"> </w:t>
      </w:r>
      <w:r w:rsidR="0045319C" w:rsidRPr="005F651F">
        <w:rPr>
          <w:rFonts w:eastAsiaTheme="minorHAnsi"/>
          <w:sz w:val="28"/>
          <w:szCs w:val="28"/>
          <w:lang w:eastAsia="en-US"/>
        </w:rPr>
        <w:t>году</w:t>
      </w:r>
      <w:r w:rsidRPr="005F651F">
        <w:rPr>
          <w:rFonts w:eastAsiaTheme="minorHAnsi"/>
          <w:sz w:val="28"/>
          <w:szCs w:val="28"/>
          <w:lang w:eastAsia="en-US"/>
        </w:rPr>
        <w:t xml:space="preserve">. </w:t>
      </w:r>
    </w:p>
    <w:p w:rsidR="00330B17" w:rsidRPr="005F651F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1F">
        <w:rPr>
          <w:rFonts w:eastAsiaTheme="minorHAnsi"/>
          <w:sz w:val="28"/>
          <w:szCs w:val="28"/>
          <w:lang w:eastAsia="en-US"/>
        </w:rPr>
        <w:t>В соответствии с представленным отчет</w:t>
      </w:r>
      <w:r w:rsidR="0045319C" w:rsidRPr="005F651F">
        <w:rPr>
          <w:rFonts w:eastAsiaTheme="minorHAnsi"/>
          <w:sz w:val="28"/>
          <w:szCs w:val="28"/>
          <w:lang w:eastAsia="en-US"/>
        </w:rPr>
        <w:t>о</w:t>
      </w:r>
      <w:r w:rsidRPr="005F651F">
        <w:rPr>
          <w:rFonts w:eastAsiaTheme="minorHAnsi"/>
          <w:sz w:val="28"/>
          <w:szCs w:val="28"/>
          <w:lang w:eastAsia="en-US"/>
        </w:rPr>
        <w:t xml:space="preserve">м данные средства были потрачены на приобретение машин и механизмов, а именно </w:t>
      </w:r>
      <w:proofErr w:type="spellStart"/>
      <w:r w:rsidR="00D478A0" w:rsidRPr="005F651F">
        <w:rPr>
          <w:rFonts w:eastAsiaTheme="minorHAnsi"/>
          <w:sz w:val="28"/>
          <w:szCs w:val="28"/>
          <w:lang w:eastAsia="en-US"/>
        </w:rPr>
        <w:t>м</w:t>
      </w:r>
      <w:r w:rsidRPr="005F651F">
        <w:rPr>
          <w:rFonts w:eastAsiaTheme="minorHAnsi"/>
          <w:sz w:val="28"/>
          <w:szCs w:val="28"/>
          <w:lang w:eastAsia="en-US"/>
        </w:rPr>
        <w:t>ульчера</w:t>
      </w:r>
      <w:proofErr w:type="spellEnd"/>
      <w:r w:rsidRPr="005F651F">
        <w:rPr>
          <w:rFonts w:eastAsiaTheme="minorHAnsi"/>
          <w:sz w:val="28"/>
          <w:szCs w:val="28"/>
          <w:lang w:eastAsia="en-US"/>
        </w:rPr>
        <w:t xml:space="preserve"> </w:t>
      </w:r>
      <w:r w:rsidR="005F651F">
        <w:rPr>
          <w:rFonts w:eastAsiaTheme="minorHAnsi"/>
          <w:sz w:val="28"/>
          <w:szCs w:val="28"/>
          <w:lang w:eastAsia="en-US"/>
        </w:rPr>
        <w:br/>
      </w:r>
      <w:r w:rsidRPr="005F651F">
        <w:rPr>
          <w:rFonts w:eastAsiaTheme="minorHAnsi"/>
          <w:sz w:val="28"/>
          <w:szCs w:val="28"/>
          <w:lang w:eastAsia="en-US"/>
        </w:rPr>
        <w:t>UM-</w:t>
      </w:r>
      <w:proofErr w:type="spellStart"/>
      <w:r w:rsidRPr="005F651F">
        <w:rPr>
          <w:rFonts w:eastAsiaTheme="minorHAnsi"/>
          <w:sz w:val="28"/>
          <w:szCs w:val="28"/>
          <w:lang w:eastAsia="en-US"/>
        </w:rPr>
        <w:t>Forest</w:t>
      </w:r>
      <w:proofErr w:type="spellEnd"/>
      <w:r w:rsidR="0081104A">
        <w:rPr>
          <w:rFonts w:eastAsiaTheme="minorHAnsi"/>
          <w:sz w:val="28"/>
          <w:szCs w:val="28"/>
          <w:lang w:eastAsia="en-US"/>
        </w:rPr>
        <w:t>,</w:t>
      </w:r>
      <w:r w:rsidRPr="005F651F">
        <w:rPr>
          <w:rFonts w:eastAsiaTheme="minorHAnsi"/>
          <w:sz w:val="28"/>
          <w:szCs w:val="28"/>
          <w:lang w:eastAsia="en-US"/>
        </w:rPr>
        <w:t xml:space="preserve"> притом что Государственной программой планировалось приобретение двух </w:t>
      </w:r>
      <w:proofErr w:type="spellStart"/>
      <w:r w:rsidR="00D478A0" w:rsidRPr="005F651F">
        <w:rPr>
          <w:rFonts w:eastAsiaTheme="minorHAnsi"/>
          <w:sz w:val="28"/>
          <w:szCs w:val="28"/>
          <w:lang w:eastAsia="en-US"/>
        </w:rPr>
        <w:t>м</w:t>
      </w:r>
      <w:r w:rsidRPr="005F651F">
        <w:rPr>
          <w:rFonts w:eastAsiaTheme="minorHAnsi"/>
          <w:sz w:val="28"/>
          <w:szCs w:val="28"/>
          <w:lang w:eastAsia="en-US"/>
        </w:rPr>
        <w:t>ульчеров</w:t>
      </w:r>
      <w:proofErr w:type="spellEnd"/>
      <w:r w:rsidRPr="005F651F">
        <w:rPr>
          <w:rFonts w:eastAsiaTheme="minorHAnsi"/>
          <w:sz w:val="28"/>
          <w:szCs w:val="28"/>
          <w:lang w:eastAsia="en-US"/>
        </w:rPr>
        <w:t xml:space="preserve"> МЛ-1,5 общей стоимостью 155 000 р</w:t>
      </w:r>
      <w:r w:rsidR="0045319C" w:rsidRPr="005F651F">
        <w:rPr>
          <w:rFonts w:eastAsiaTheme="minorHAnsi"/>
          <w:sz w:val="28"/>
          <w:szCs w:val="28"/>
          <w:lang w:eastAsia="en-US"/>
        </w:rPr>
        <w:t>ублей</w:t>
      </w:r>
      <w:r w:rsidRPr="005F651F">
        <w:rPr>
          <w:rFonts w:eastAsiaTheme="minorHAnsi"/>
          <w:sz w:val="28"/>
          <w:szCs w:val="28"/>
          <w:lang w:eastAsia="en-US"/>
        </w:rPr>
        <w:t>.</w:t>
      </w:r>
    </w:p>
    <w:p w:rsidR="00330B17" w:rsidRPr="005F651F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1F">
        <w:rPr>
          <w:rFonts w:eastAsiaTheme="minorHAnsi"/>
          <w:sz w:val="28"/>
          <w:szCs w:val="28"/>
          <w:lang w:eastAsia="en-US"/>
        </w:rPr>
        <w:t>Касательно проводимых мероприятий по программе необходимо</w:t>
      </w:r>
      <w:r w:rsidRPr="00330B17">
        <w:rPr>
          <w:rFonts w:eastAsiaTheme="minorHAnsi"/>
          <w:sz w:val="28"/>
          <w:szCs w:val="28"/>
          <w:lang w:eastAsia="en-US"/>
        </w:rPr>
        <w:t xml:space="preserve"> отметить, что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Pr="00330B17">
        <w:rPr>
          <w:rFonts w:eastAsiaTheme="minorHAnsi"/>
          <w:sz w:val="28"/>
          <w:szCs w:val="28"/>
          <w:lang w:eastAsia="en-US"/>
        </w:rPr>
        <w:t xml:space="preserve"> согласно отчету, в 2022 году были проведены сплошные санитарные и лесовосстановительные рубки в спелых и перестойных насаждениях дуба в Каменском, </w:t>
      </w:r>
      <w:proofErr w:type="spellStart"/>
      <w:r w:rsidRPr="00330B17">
        <w:rPr>
          <w:rFonts w:eastAsiaTheme="minorHAnsi"/>
          <w:sz w:val="28"/>
          <w:szCs w:val="28"/>
          <w:lang w:eastAsia="en-US"/>
        </w:rPr>
        <w:t>Рашковском</w:t>
      </w:r>
      <w:proofErr w:type="spellEnd"/>
      <w:r w:rsidRPr="00330B1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330B17">
        <w:rPr>
          <w:rFonts w:eastAsiaTheme="minorHAnsi"/>
          <w:sz w:val="28"/>
          <w:szCs w:val="28"/>
          <w:lang w:eastAsia="en-US"/>
        </w:rPr>
        <w:t>Дубоссарском</w:t>
      </w:r>
      <w:proofErr w:type="spellEnd"/>
      <w:r w:rsidRPr="00330B17">
        <w:rPr>
          <w:rFonts w:eastAsiaTheme="minorHAnsi"/>
          <w:sz w:val="28"/>
          <w:szCs w:val="28"/>
          <w:lang w:eastAsia="en-US"/>
        </w:rPr>
        <w:t xml:space="preserve"> лесничествах </w:t>
      </w:r>
      <w:r w:rsidR="00D478A0">
        <w:rPr>
          <w:rFonts w:eastAsiaTheme="minorHAnsi"/>
          <w:sz w:val="28"/>
          <w:szCs w:val="28"/>
          <w:lang w:eastAsia="en-US"/>
        </w:rPr>
        <w:t xml:space="preserve">государственного унитарного </w:t>
      </w:r>
      <w:r w:rsidR="005C35C4">
        <w:rPr>
          <w:rFonts w:eastAsiaTheme="minorHAnsi"/>
          <w:sz w:val="28"/>
          <w:szCs w:val="28"/>
          <w:lang w:eastAsia="en-US"/>
        </w:rPr>
        <w:t>предприятия</w:t>
      </w:r>
      <w:r w:rsidRPr="00330B17">
        <w:rPr>
          <w:rFonts w:eastAsiaTheme="minorHAnsi"/>
          <w:sz w:val="28"/>
          <w:szCs w:val="28"/>
          <w:lang w:eastAsia="en-US"/>
        </w:rPr>
        <w:t xml:space="preserve"> «Приднестровье-лес» на площади </w:t>
      </w:r>
      <w:r w:rsidRPr="005F651F">
        <w:rPr>
          <w:rFonts w:eastAsiaTheme="minorHAnsi"/>
          <w:sz w:val="28"/>
          <w:szCs w:val="28"/>
          <w:lang w:eastAsia="en-US"/>
        </w:rPr>
        <w:t>5,5 г</w:t>
      </w:r>
      <w:r w:rsidR="00D478A0">
        <w:rPr>
          <w:rFonts w:eastAsiaTheme="minorHAnsi"/>
          <w:sz w:val="28"/>
          <w:szCs w:val="28"/>
          <w:lang w:eastAsia="en-US"/>
        </w:rPr>
        <w:t>ектара</w:t>
      </w:r>
      <w:r w:rsidRPr="005F651F">
        <w:rPr>
          <w:rFonts w:eastAsiaTheme="minorHAnsi"/>
          <w:sz w:val="28"/>
          <w:szCs w:val="28"/>
          <w:lang w:eastAsia="en-US"/>
        </w:rPr>
        <w:t xml:space="preserve">, при этом данных о выходе готовой древесины </w:t>
      </w:r>
      <w:r w:rsidR="00AF3D2A" w:rsidRPr="005F651F">
        <w:rPr>
          <w:rFonts w:eastAsiaTheme="minorHAnsi"/>
          <w:sz w:val="28"/>
          <w:szCs w:val="28"/>
          <w:lang w:eastAsia="en-US"/>
        </w:rPr>
        <w:t>в отчете не представлено, а</w:t>
      </w:r>
      <w:r w:rsidRPr="005F651F">
        <w:rPr>
          <w:rFonts w:eastAsiaTheme="minorHAnsi"/>
          <w:sz w:val="28"/>
          <w:szCs w:val="28"/>
          <w:lang w:eastAsia="en-US"/>
        </w:rPr>
        <w:t xml:space="preserve"> сведени</w:t>
      </w:r>
      <w:r w:rsidR="00AF3D2A" w:rsidRPr="005F651F">
        <w:rPr>
          <w:rFonts w:eastAsiaTheme="minorHAnsi"/>
          <w:sz w:val="28"/>
          <w:szCs w:val="28"/>
          <w:lang w:eastAsia="en-US"/>
        </w:rPr>
        <w:t>я</w:t>
      </w:r>
      <w:r w:rsidRPr="005F651F">
        <w:rPr>
          <w:rFonts w:eastAsiaTheme="minorHAnsi"/>
          <w:sz w:val="28"/>
          <w:szCs w:val="28"/>
          <w:lang w:eastAsia="en-US"/>
        </w:rPr>
        <w:t xml:space="preserve"> </w:t>
      </w:r>
      <w:r w:rsidR="00AF3D2A" w:rsidRPr="005F651F">
        <w:rPr>
          <w:rFonts w:eastAsiaTheme="minorHAnsi"/>
          <w:sz w:val="28"/>
          <w:szCs w:val="28"/>
          <w:lang w:eastAsia="en-US"/>
        </w:rPr>
        <w:t>п</w:t>
      </w:r>
      <w:r w:rsidRPr="005F651F">
        <w:rPr>
          <w:rFonts w:eastAsiaTheme="minorHAnsi"/>
          <w:sz w:val="28"/>
          <w:szCs w:val="28"/>
          <w:lang w:eastAsia="en-US"/>
        </w:rPr>
        <w:t xml:space="preserve">о </w:t>
      </w:r>
      <w:r w:rsidR="00AF3D2A" w:rsidRPr="005F651F">
        <w:rPr>
          <w:rFonts w:eastAsiaTheme="minorHAnsi"/>
          <w:sz w:val="28"/>
          <w:szCs w:val="28"/>
          <w:lang w:eastAsia="en-US"/>
        </w:rPr>
        <w:t xml:space="preserve">объему выполненных работ по </w:t>
      </w:r>
      <w:r w:rsidRPr="005F651F">
        <w:rPr>
          <w:rFonts w:eastAsiaTheme="minorHAnsi"/>
          <w:sz w:val="28"/>
          <w:szCs w:val="28"/>
          <w:lang w:eastAsia="en-US"/>
        </w:rPr>
        <w:t>выдел</w:t>
      </w:r>
      <w:r w:rsidR="00AF3D2A" w:rsidRPr="005F651F">
        <w:rPr>
          <w:rFonts w:eastAsiaTheme="minorHAnsi"/>
          <w:sz w:val="28"/>
          <w:szCs w:val="28"/>
          <w:lang w:eastAsia="en-US"/>
        </w:rPr>
        <w:t>ам</w:t>
      </w:r>
      <w:r w:rsidRPr="005F651F">
        <w:rPr>
          <w:rFonts w:eastAsiaTheme="minorHAnsi"/>
          <w:sz w:val="28"/>
          <w:szCs w:val="28"/>
          <w:lang w:eastAsia="en-US"/>
        </w:rPr>
        <w:t xml:space="preserve"> </w:t>
      </w:r>
      <w:r w:rsidR="00AF3D2A" w:rsidRPr="005F651F">
        <w:rPr>
          <w:rFonts w:eastAsiaTheme="minorHAnsi"/>
          <w:sz w:val="28"/>
          <w:szCs w:val="28"/>
          <w:lang w:eastAsia="en-US"/>
        </w:rPr>
        <w:t>и локациям лесных участков представлены без сравнения с планируемым объемом работ по тем или иным массивам</w:t>
      </w:r>
      <w:r w:rsidRPr="005F651F">
        <w:rPr>
          <w:rFonts w:eastAsiaTheme="minorHAnsi"/>
          <w:sz w:val="28"/>
          <w:szCs w:val="28"/>
          <w:lang w:eastAsia="en-US"/>
        </w:rPr>
        <w:t xml:space="preserve">. </w:t>
      </w:r>
    </w:p>
    <w:p w:rsidR="00330B17" w:rsidRPr="005F651F" w:rsidRDefault="00AF3D2A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1F">
        <w:rPr>
          <w:rFonts w:eastAsiaTheme="minorHAnsi"/>
          <w:sz w:val="28"/>
          <w:szCs w:val="28"/>
          <w:lang w:eastAsia="en-US"/>
        </w:rPr>
        <w:t xml:space="preserve">Кроме того, необходимо отметить, что </w:t>
      </w:r>
      <w:r w:rsidR="00157589" w:rsidRPr="005F651F">
        <w:rPr>
          <w:rFonts w:eastAsiaTheme="minorHAnsi"/>
          <w:sz w:val="28"/>
          <w:szCs w:val="28"/>
          <w:lang w:eastAsia="en-US"/>
        </w:rPr>
        <w:t xml:space="preserve">в 2022 году </w:t>
      </w:r>
      <w:r w:rsidRPr="005F651F">
        <w:rPr>
          <w:rFonts w:eastAsiaTheme="minorHAnsi"/>
          <w:sz w:val="28"/>
          <w:szCs w:val="28"/>
          <w:lang w:eastAsia="en-US"/>
        </w:rPr>
        <w:t>о</w:t>
      </w:r>
      <w:r w:rsidR="00330B17" w:rsidRPr="005F651F">
        <w:rPr>
          <w:rFonts w:eastAsiaTheme="minorHAnsi"/>
          <w:sz w:val="28"/>
          <w:szCs w:val="28"/>
          <w:lang w:eastAsia="en-US"/>
        </w:rPr>
        <w:t>бъем работ по созданию и выращиванию лесных культур</w:t>
      </w:r>
      <w:r w:rsidR="00157589" w:rsidRPr="005F651F">
        <w:rPr>
          <w:rFonts w:eastAsiaTheme="minorHAnsi"/>
          <w:sz w:val="28"/>
          <w:szCs w:val="28"/>
          <w:lang w:eastAsia="en-US"/>
        </w:rPr>
        <w:t>,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согласно Государственной программ</w:t>
      </w:r>
      <w:r w:rsidR="0081104A">
        <w:rPr>
          <w:rFonts w:eastAsiaTheme="minorHAnsi"/>
          <w:sz w:val="28"/>
          <w:szCs w:val="28"/>
          <w:lang w:eastAsia="en-US"/>
        </w:rPr>
        <w:t>е</w:t>
      </w:r>
      <w:r w:rsidR="00157589" w:rsidRPr="005F651F">
        <w:rPr>
          <w:rFonts w:eastAsiaTheme="minorHAnsi"/>
          <w:sz w:val="28"/>
          <w:szCs w:val="28"/>
          <w:lang w:eastAsia="en-US"/>
        </w:rPr>
        <w:t>,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должен быть произведен на общей площади не менее 12,5 г</w:t>
      </w:r>
      <w:r w:rsidR="0081104A">
        <w:rPr>
          <w:rFonts w:eastAsiaTheme="minorHAnsi"/>
          <w:sz w:val="28"/>
          <w:szCs w:val="28"/>
          <w:lang w:eastAsia="en-US"/>
        </w:rPr>
        <w:t>ектар</w:t>
      </w:r>
      <w:r w:rsidR="00D478A0">
        <w:rPr>
          <w:rFonts w:eastAsiaTheme="minorHAnsi"/>
          <w:sz w:val="28"/>
          <w:szCs w:val="28"/>
          <w:lang w:eastAsia="en-US"/>
        </w:rPr>
        <w:t>а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, фактически </w:t>
      </w:r>
      <w:r w:rsidR="0041238A" w:rsidRPr="005F651F">
        <w:rPr>
          <w:rFonts w:eastAsiaTheme="minorHAnsi"/>
          <w:sz w:val="28"/>
          <w:szCs w:val="28"/>
          <w:lang w:eastAsia="en-US"/>
        </w:rPr>
        <w:t xml:space="preserve">объем работ </w:t>
      </w:r>
      <w:r w:rsidR="00330B17" w:rsidRPr="005F651F">
        <w:rPr>
          <w:rFonts w:eastAsiaTheme="minorHAnsi"/>
          <w:sz w:val="28"/>
          <w:szCs w:val="28"/>
          <w:lang w:eastAsia="en-US"/>
        </w:rPr>
        <w:t>был выполнен на площади 10,6 г</w:t>
      </w:r>
      <w:r w:rsidR="0081104A">
        <w:rPr>
          <w:rFonts w:eastAsiaTheme="minorHAnsi"/>
          <w:sz w:val="28"/>
          <w:szCs w:val="28"/>
          <w:lang w:eastAsia="en-US"/>
        </w:rPr>
        <w:t>ектар</w:t>
      </w:r>
      <w:r w:rsidR="00D478A0">
        <w:rPr>
          <w:rFonts w:eastAsiaTheme="minorHAnsi"/>
          <w:sz w:val="28"/>
          <w:szCs w:val="28"/>
          <w:lang w:eastAsia="en-US"/>
        </w:rPr>
        <w:t>а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что </w:t>
      </w:r>
      <w:r w:rsidR="00330B17" w:rsidRPr="005F651F">
        <w:rPr>
          <w:rFonts w:eastAsiaTheme="minorHAnsi"/>
          <w:sz w:val="28"/>
          <w:szCs w:val="28"/>
          <w:lang w:eastAsia="en-US"/>
        </w:rPr>
        <w:lastRenderedPageBreak/>
        <w:t>составляет</w:t>
      </w:r>
      <w:r w:rsidR="005C35C4">
        <w:rPr>
          <w:rFonts w:eastAsiaTheme="minorHAnsi"/>
          <w:sz w:val="28"/>
          <w:szCs w:val="28"/>
          <w:lang w:eastAsia="en-US"/>
        </w:rPr>
        <w:t xml:space="preserve"> 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85 </w:t>
      </w:r>
      <w:r w:rsidR="0081104A">
        <w:rPr>
          <w:rFonts w:eastAsiaTheme="minorHAnsi"/>
          <w:sz w:val="28"/>
          <w:szCs w:val="28"/>
          <w:lang w:eastAsia="en-US"/>
        </w:rPr>
        <w:t>процентов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выполнения</w:t>
      </w:r>
      <w:r w:rsidR="0041238A" w:rsidRPr="005F651F">
        <w:rPr>
          <w:rFonts w:eastAsiaTheme="minorHAnsi"/>
          <w:sz w:val="28"/>
          <w:szCs w:val="28"/>
          <w:lang w:eastAsia="en-US"/>
        </w:rPr>
        <w:t xml:space="preserve"> от планового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. </w:t>
      </w:r>
      <w:r w:rsidR="0041238A" w:rsidRPr="005F651F">
        <w:rPr>
          <w:rFonts w:eastAsiaTheme="minorHAnsi"/>
          <w:sz w:val="28"/>
          <w:szCs w:val="28"/>
          <w:lang w:eastAsia="en-US"/>
        </w:rPr>
        <w:t>При этом, с</w:t>
      </w:r>
      <w:r w:rsidR="00330B17" w:rsidRPr="005F651F">
        <w:rPr>
          <w:rFonts w:eastAsiaTheme="minorHAnsi"/>
          <w:sz w:val="28"/>
          <w:szCs w:val="28"/>
          <w:lang w:eastAsia="en-US"/>
        </w:rPr>
        <w:t>огласно отчету, причинами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невыполнения лесохозяйственным </w:t>
      </w:r>
      <w:r w:rsidR="0081104A">
        <w:rPr>
          <w:rFonts w:eastAsiaTheme="minorHAnsi"/>
          <w:sz w:val="28"/>
          <w:szCs w:val="28"/>
          <w:lang w:eastAsia="en-US"/>
        </w:rPr>
        <w:t xml:space="preserve">государственным унитарным предприятием 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«Приднестровье-лес» данных мероприятий </w:t>
      </w:r>
      <w:r w:rsidR="0081104A">
        <w:rPr>
          <w:rFonts w:eastAsiaTheme="minorHAnsi"/>
          <w:sz w:val="28"/>
          <w:szCs w:val="28"/>
          <w:lang w:eastAsia="en-US"/>
        </w:rPr>
        <w:t>стали</w:t>
      </w:r>
      <w:r w:rsidR="0041238A">
        <w:rPr>
          <w:rFonts w:eastAsiaTheme="minorHAnsi"/>
          <w:sz w:val="28"/>
          <w:szCs w:val="28"/>
          <w:lang w:eastAsia="en-US"/>
        </w:rPr>
        <w:t xml:space="preserve"> в том числе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: отсутствие достаточного количества посадочного и посевного материала (низкий урожай желудя), недостаточная механизация, дефицит трудовых ресурсов, наличие потрав культур дикими кабанами в местах с </w:t>
      </w:r>
      <w:r w:rsidR="00330B17" w:rsidRPr="005F651F">
        <w:rPr>
          <w:rFonts w:eastAsiaTheme="minorHAnsi"/>
          <w:sz w:val="28"/>
          <w:szCs w:val="28"/>
          <w:lang w:eastAsia="en-US"/>
        </w:rPr>
        <w:t>высокой плотностью.</w:t>
      </w:r>
    </w:p>
    <w:p w:rsidR="00330B17" w:rsidRPr="005F651F" w:rsidRDefault="00330B17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1F">
        <w:rPr>
          <w:rFonts w:eastAsiaTheme="minorHAnsi"/>
          <w:sz w:val="28"/>
          <w:szCs w:val="28"/>
          <w:lang w:eastAsia="en-US"/>
        </w:rPr>
        <w:t>Таким образом, в 2022 году сумма</w:t>
      </w:r>
      <w:r w:rsidR="0041238A" w:rsidRPr="005F651F">
        <w:rPr>
          <w:rFonts w:eastAsiaTheme="minorHAnsi"/>
          <w:sz w:val="28"/>
          <w:szCs w:val="28"/>
          <w:lang w:eastAsia="en-US"/>
        </w:rPr>
        <w:t xml:space="preserve"> средств,</w:t>
      </w:r>
      <w:r w:rsidRPr="005F651F">
        <w:rPr>
          <w:rFonts w:eastAsiaTheme="minorHAnsi"/>
          <w:sz w:val="28"/>
          <w:szCs w:val="28"/>
          <w:lang w:eastAsia="en-US"/>
        </w:rPr>
        <w:t xml:space="preserve"> </w:t>
      </w:r>
      <w:r w:rsidR="0041238A" w:rsidRPr="005F651F">
        <w:rPr>
          <w:rFonts w:eastAsiaTheme="minorHAnsi"/>
          <w:sz w:val="28"/>
          <w:szCs w:val="28"/>
          <w:lang w:eastAsia="en-US"/>
        </w:rPr>
        <w:t xml:space="preserve">направленных </w:t>
      </w:r>
      <w:r w:rsidRPr="005F651F">
        <w:rPr>
          <w:rFonts w:eastAsiaTheme="minorHAnsi"/>
          <w:sz w:val="28"/>
          <w:szCs w:val="28"/>
          <w:lang w:eastAsia="en-US"/>
        </w:rPr>
        <w:t>на реализацию Государственной программы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Pr="005F651F">
        <w:rPr>
          <w:rFonts w:eastAsiaTheme="minorHAnsi"/>
          <w:sz w:val="28"/>
          <w:szCs w:val="28"/>
          <w:lang w:eastAsia="en-US"/>
        </w:rPr>
        <w:t xml:space="preserve"> составила 374 772 рубля:</w:t>
      </w:r>
    </w:p>
    <w:p w:rsidR="00330B17" w:rsidRPr="005F651F" w:rsidRDefault="0081104A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из </w:t>
      </w:r>
      <w:r w:rsidRPr="005F651F">
        <w:rPr>
          <w:rFonts w:eastAsiaTheme="minorHAnsi"/>
          <w:sz w:val="28"/>
          <w:szCs w:val="28"/>
          <w:lang w:eastAsia="en-US"/>
        </w:rPr>
        <w:t>р</w:t>
      </w:r>
      <w:r w:rsidR="00330B17" w:rsidRPr="005F651F">
        <w:rPr>
          <w:rFonts w:eastAsiaTheme="minorHAnsi"/>
          <w:sz w:val="28"/>
          <w:szCs w:val="28"/>
          <w:lang w:eastAsia="en-US"/>
        </w:rPr>
        <w:t>еспубликанского бюджета (в рамках государственного заказа на оказание услуг государственного унитарного предприятия «Приднестровье-лес») –</w:t>
      </w:r>
      <w:r w:rsidR="0041238A" w:rsidRPr="005F651F">
        <w:rPr>
          <w:rFonts w:eastAsiaTheme="minorHAnsi"/>
          <w:sz w:val="28"/>
          <w:szCs w:val="28"/>
          <w:lang w:eastAsia="en-US"/>
        </w:rPr>
        <w:t xml:space="preserve"> </w:t>
      </w:r>
      <w:r w:rsidR="00330B17" w:rsidRPr="005F651F">
        <w:rPr>
          <w:rFonts w:eastAsiaTheme="minorHAnsi"/>
          <w:sz w:val="28"/>
          <w:szCs w:val="28"/>
          <w:lang w:eastAsia="en-US"/>
        </w:rPr>
        <w:t>152 674,89 руб</w:t>
      </w:r>
      <w:r w:rsidR="0041238A" w:rsidRPr="005F651F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я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; </w:t>
      </w:r>
    </w:p>
    <w:p w:rsidR="00330B17" w:rsidRPr="005F651F" w:rsidRDefault="0081104A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из средств Республиканского экологического фонда Приднестровской Молдавской Республики </w:t>
      </w:r>
      <w:r w:rsidR="0041238A" w:rsidRPr="005F651F">
        <w:rPr>
          <w:rFonts w:eastAsiaTheme="minorHAnsi"/>
          <w:sz w:val="28"/>
          <w:szCs w:val="28"/>
          <w:lang w:eastAsia="en-US"/>
        </w:rPr>
        <w:t>–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176 150 руб</w:t>
      </w:r>
      <w:r w:rsidR="0041238A" w:rsidRPr="005F651F">
        <w:rPr>
          <w:rFonts w:eastAsiaTheme="minorHAnsi"/>
          <w:sz w:val="28"/>
          <w:szCs w:val="28"/>
          <w:lang w:eastAsia="en-US"/>
        </w:rPr>
        <w:t>лей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; </w:t>
      </w:r>
    </w:p>
    <w:p w:rsidR="00330B17" w:rsidRPr="005F651F" w:rsidRDefault="0081104A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из собственных средств </w:t>
      </w:r>
      <w:r>
        <w:rPr>
          <w:rFonts w:eastAsiaTheme="minorHAnsi"/>
          <w:sz w:val="28"/>
          <w:szCs w:val="28"/>
          <w:lang w:eastAsia="en-US"/>
        </w:rPr>
        <w:t>государственного унитарного предприятия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«Приднестровье-лес»</w:t>
      </w:r>
      <w:r w:rsidR="0041238A" w:rsidRPr="005F651F">
        <w:rPr>
          <w:rFonts w:eastAsiaTheme="minorHAnsi"/>
          <w:sz w:val="28"/>
          <w:szCs w:val="28"/>
          <w:lang w:eastAsia="en-US"/>
        </w:rPr>
        <w:t xml:space="preserve"> –</w:t>
      </w:r>
      <w:r w:rsidR="00330B17" w:rsidRPr="005F651F">
        <w:rPr>
          <w:rFonts w:eastAsiaTheme="minorHAnsi"/>
          <w:sz w:val="28"/>
          <w:szCs w:val="28"/>
          <w:lang w:eastAsia="en-US"/>
        </w:rPr>
        <w:t xml:space="preserve"> 45</w:t>
      </w:r>
      <w:r>
        <w:rPr>
          <w:rFonts w:eastAsiaTheme="minorHAnsi"/>
          <w:sz w:val="28"/>
          <w:szCs w:val="28"/>
          <w:lang w:eastAsia="en-US"/>
        </w:rPr>
        <w:t> </w:t>
      </w:r>
      <w:r w:rsidR="00330B17" w:rsidRPr="005F651F">
        <w:rPr>
          <w:rFonts w:eastAsiaTheme="minorHAnsi"/>
          <w:sz w:val="28"/>
          <w:szCs w:val="28"/>
          <w:lang w:eastAsia="en-US"/>
        </w:rPr>
        <w:t>948,85 руб</w:t>
      </w:r>
      <w:r w:rsidR="0041238A" w:rsidRPr="005F651F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я</w:t>
      </w:r>
      <w:r w:rsidR="00330B17" w:rsidRPr="005F651F">
        <w:rPr>
          <w:rFonts w:eastAsiaTheme="minorHAnsi"/>
          <w:sz w:val="28"/>
          <w:szCs w:val="28"/>
          <w:lang w:eastAsia="en-US"/>
        </w:rPr>
        <w:t>.</w:t>
      </w:r>
    </w:p>
    <w:p w:rsidR="00330B17" w:rsidRDefault="0041238A" w:rsidP="005F65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1F">
        <w:rPr>
          <w:rFonts w:eastAsiaTheme="minorHAnsi"/>
          <w:sz w:val="28"/>
          <w:szCs w:val="28"/>
          <w:lang w:eastAsia="en-US"/>
        </w:rPr>
        <w:t xml:space="preserve">Подводя итог </w:t>
      </w:r>
      <w:r w:rsidR="00F47D38" w:rsidRPr="005F651F">
        <w:rPr>
          <w:rFonts w:eastAsiaTheme="minorHAnsi"/>
          <w:sz w:val="28"/>
          <w:szCs w:val="28"/>
          <w:lang w:eastAsia="en-US"/>
        </w:rPr>
        <w:t xml:space="preserve">анализа </w:t>
      </w:r>
      <w:r w:rsidRPr="005F651F">
        <w:rPr>
          <w:rFonts w:eastAsiaTheme="minorHAnsi"/>
          <w:sz w:val="28"/>
          <w:szCs w:val="28"/>
          <w:lang w:eastAsia="en-US"/>
        </w:rPr>
        <w:t>по представленному отчету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Pr="005F651F">
        <w:rPr>
          <w:rFonts w:eastAsiaTheme="minorHAnsi"/>
          <w:sz w:val="28"/>
          <w:szCs w:val="28"/>
          <w:lang w:eastAsia="en-US"/>
        </w:rPr>
        <w:t xml:space="preserve"> Верховный</w:t>
      </w:r>
      <w:r>
        <w:rPr>
          <w:rFonts w:eastAsiaTheme="minorHAnsi"/>
          <w:sz w:val="28"/>
          <w:szCs w:val="28"/>
          <w:lang w:eastAsia="en-US"/>
        </w:rPr>
        <w:t xml:space="preserve"> Совет Приднестровской Молдавской Республики обращает внимание Правительства Приднестровской Молдавской Республики на то, что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расходование денежных средств по направлениям и объемам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предусмотренным Государственной программой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долж</w:t>
      </w:r>
      <w:r w:rsidR="00D84815">
        <w:rPr>
          <w:rFonts w:eastAsiaTheme="minorHAnsi"/>
          <w:sz w:val="28"/>
          <w:szCs w:val="28"/>
          <w:lang w:eastAsia="en-US"/>
        </w:rPr>
        <w:t>н</w:t>
      </w:r>
      <w:r w:rsidR="0081104A">
        <w:rPr>
          <w:rFonts w:eastAsiaTheme="minorHAnsi"/>
          <w:sz w:val="28"/>
          <w:szCs w:val="28"/>
          <w:lang w:eastAsia="en-US"/>
        </w:rPr>
        <w:t>о</w:t>
      </w:r>
      <w:r w:rsidR="00D84815">
        <w:rPr>
          <w:rFonts w:eastAsiaTheme="minorHAnsi"/>
          <w:sz w:val="28"/>
          <w:szCs w:val="28"/>
          <w:lang w:eastAsia="en-US"/>
        </w:rPr>
        <w:t xml:space="preserve"> соответствовать направлениям и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объемам</w:t>
      </w:r>
      <w:r w:rsidR="00D84815">
        <w:rPr>
          <w:rFonts w:eastAsiaTheme="minorHAnsi"/>
          <w:sz w:val="28"/>
          <w:szCs w:val="28"/>
          <w:lang w:eastAsia="en-US"/>
        </w:rPr>
        <w:t xml:space="preserve">, 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предусмотренным действующим законодательством, </w:t>
      </w:r>
      <w:r w:rsidR="00D84815">
        <w:rPr>
          <w:rFonts w:eastAsiaTheme="minorHAnsi"/>
          <w:sz w:val="28"/>
          <w:szCs w:val="28"/>
          <w:lang w:eastAsia="en-US"/>
        </w:rPr>
        <w:t>а реализацию</w:t>
      </w:r>
      <w:r w:rsidR="00F47D38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D84815">
        <w:rPr>
          <w:rFonts w:eastAsiaTheme="minorHAnsi"/>
          <w:sz w:val="28"/>
          <w:szCs w:val="28"/>
          <w:lang w:eastAsia="en-US"/>
        </w:rPr>
        <w:t xml:space="preserve"> Государственной программы </w:t>
      </w:r>
      <w:r w:rsidR="008F2008">
        <w:rPr>
          <w:rFonts w:eastAsiaTheme="minorHAnsi"/>
          <w:sz w:val="28"/>
          <w:szCs w:val="28"/>
          <w:lang w:eastAsia="en-US"/>
        </w:rPr>
        <w:t xml:space="preserve">должны </w:t>
      </w:r>
      <w:r w:rsidR="00D84815">
        <w:rPr>
          <w:rFonts w:eastAsiaTheme="minorHAnsi"/>
          <w:sz w:val="28"/>
          <w:szCs w:val="28"/>
          <w:lang w:eastAsia="en-US"/>
        </w:rPr>
        <w:t>обеспечиват</w:t>
      </w:r>
      <w:r w:rsidR="008F2008">
        <w:rPr>
          <w:rFonts w:eastAsiaTheme="minorHAnsi"/>
          <w:sz w:val="28"/>
          <w:szCs w:val="28"/>
          <w:lang w:eastAsia="en-US"/>
        </w:rPr>
        <w:t>ь</w:t>
      </w:r>
      <w:r w:rsidR="00157589">
        <w:rPr>
          <w:rFonts w:eastAsiaTheme="minorHAnsi"/>
          <w:sz w:val="28"/>
          <w:szCs w:val="28"/>
          <w:lang w:eastAsia="en-US"/>
        </w:rPr>
        <w:t xml:space="preserve"> указанные </w:t>
      </w:r>
      <w:r w:rsidR="0081104A">
        <w:rPr>
          <w:rFonts w:eastAsiaTheme="minorHAnsi"/>
          <w:sz w:val="28"/>
          <w:szCs w:val="28"/>
          <w:lang w:eastAsia="en-US"/>
        </w:rPr>
        <w:t xml:space="preserve">в </w:t>
      </w:r>
      <w:r w:rsidR="00D84815" w:rsidRPr="00D84815">
        <w:rPr>
          <w:rFonts w:eastAsiaTheme="minorHAnsi"/>
          <w:sz w:val="28"/>
          <w:szCs w:val="28"/>
          <w:lang w:eastAsia="en-US"/>
        </w:rPr>
        <w:t>Государственной программ</w:t>
      </w:r>
      <w:r w:rsidR="0081104A">
        <w:rPr>
          <w:rFonts w:eastAsiaTheme="minorHAnsi"/>
          <w:sz w:val="28"/>
          <w:szCs w:val="28"/>
          <w:lang w:eastAsia="en-US"/>
        </w:rPr>
        <w:t>е</w:t>
      </w:r>
      <w:r w:rsidR="0081104A" w:rsidRPr="0081104A">
        <w:rPr>
          <w:rFonts w:eastAsiaTheme="minorHAnsi"/>
          <w:sz w:val="28"/>
          <w:szCs w:val="28"/>
          <w:lang w:eastAsia="en-US"/>
        </w:rPr>
        <w:t xml:space="preserve"> </w:t>
      </w:r>
      <w:r w:rsidR="0081104A" w:rsidRPr="00D84815">
        <w:rPr>
          <w:rFonts w:eastAsiaTheme="minorHAnsi"/>
          <w:sz w:val="28"/>
          <w:szCs w:val="28"/>
          <w:lang w:eastAsia="en-US"/>
        </w:rPr>
        <w:t>исполнители</w:t>
      </w:r>
      <w:r w:rsidR="00D84815">
        <w:rPr>
          <w:rFonts w:eastAsiaTheme="minorHAnsi"/>
          <w:sz w:val="28"/>
          <w:szCs w:val="28"/>
          <w:lang w:eastAsia="en-US"/>
        </w:rPr>
        <w:t xml:space="preserve">, что </w:t>
      </w:r>
      <w:r w:rsidR="00330B17" w:rsidRPr="00330B17">
        <w:rPr>
          <w:rFonts w:eastAsiaTheme="minorHAnsi"/>
          <w:sz w:val="28"/>
          <w:szCs w:val="28"/>
          <w:lang w:eastAsia="en-US"/>
        </w:rPr>
        <w:t>свидетельствует о необходимости своевременного внесения изменени</w:t>
      </w:r>
      <w:r>
        <w:rPr>
          <w:rFonts w:eastAsiaTheme="minorHAnsi"/>
          <w:sz w:val="28"/>
          <w:szCs w:val="28"/>
          <w:lang w:eastAsia="en-US"/>
        </w:rPr>
        <w:t>й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в Государственную программу в случае </w:t>
      </w:r>
      <w:r w:rsidR="00D84815">
        <w:rPr>
          <w:rFonts w:eastAsiaTheme="minorHAnsi"/>
          <w:sz w:val="28"/>
          <w:szCs w:val="28"/>
          <w:lang w:eastAsia="en-US"/>
        </w:rPr>
        <w:t xml:space="preserve">возникновения 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необходимости изменения </w:t>
      </w:r>
      <w:r w:rsidR="008F2008">
        <w:rPr>
          <w:rFonts w:eastAsiaTheme="minorHAnsi"/>
          <w:sz w:val="28"/>
          <w:szCs w:val="28"/>
          <w:lang w:eastAsia="en-US"/>
        </w:rPr>
        <w:t xml:space="preserve">распорядителей, </w:t>
      </w:r>
      <w:r w:rsidR="00330B17" w:rsidRPr="00330B17">
        <w:rPr>
          <w:rFonts w:eastAsiaTheme="minorHAnsi"/>
          <w:sz w:val="28"/>
          <w:szCs w:val="28"/>
          <w:lang w:eastAsia="en-US"/>
        </w:rPr>
        <w:t>направлени</w:t>
      </w:r>
      <w:r w:rsidR="008F2008">
        <w:rPr>
          <w:rFonts w:eastAsiaTheme="minorHAnsi"/>
          <w:sz w:val="28"/>
          <w:szCs w:val="28"/>
          <w:lang w:eastAsia="en-US"/>
        </w:rPr>
        <w:t>й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и объем</w:t>
      </w:r>
      <w:r w:rsidR="008F2008">
        <w:rPr>
          <w:rFonts w:eastAsiaTheme="minorHAnsi"/>
          <w:sz w:val="28"/>
          <w:szCs w:val="28"/>
          <w:lang w:eastAsia="en-US"/>
        </w:rPr>
        <w:t>ов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финансирования мероприятий</w:t>
      </w:r>
      <w:r w:rsidR="0081104A">
        <w:rPr>
          <w:rFonts w:eastAsiaTheme="minorHAnsi"/>
          <w:sz w:val="28"/>
          <w:szCs w:val="28"/>
          <w:lang w:eastAsia="en-US"/>
        </w:rPr>
        <w:t>,</w:t>
      </w:r>
      <w:r w:rsidR="00330B17" w:rsidRPr="00330B17">
        <w:rPr>
          <w:rFonts w:eastAsiaTheme="minorHAnsi"/>
          <w:sz w:val="28"/>
          <w:szCs w:val="28"/>
          <w:lang w:eastAsia="en-US"/>
        </w:rPr>
        <w:t xml:space="preserve"> </w:t>
      </w:r>
      <w:r w:rsidR="00D84815">
        <w:rPr>
          <w:rFonts w:eastAsiaTheme="minorHAnsi"/>
          <w:sz w:val="28"/>
          <w:szCs w:val="28"/>
          <w:lang w:eastAsia="en-US"/>
        </w:rPr>
        <w:t>предусмотренных</w:t>
      </w:r>
      <w:r w:rsidR="00330B17" w:rsidRPr="00330B17">
        <w:rPr>
          <w:rFonts w:eastAsia="Times New Roman"/>
        </w:rPr>
        <w:t xml:space="preserve"> </w:t>
      </w:r>
      <w:r w:rsidR="00330B17" w:rsidRPr="00330B17">
        <w:rPr>
          <w:rFonts w:eastAsiaTheme="minorHAnsi"/>
          <w:sz w:val="28"/>
          <w:szCs w:val="28"/>
          <w:lang w:eastAsia="en-US"/>
        </w:rPr>
        <w:t>Государственной программ</w:t>
      </w:r>
      <w:r w:rsidR="00D84815">
        <w:rPr>
          <w:rFonts w:eastAsiaTheme="minorHAnsi"/>
          <w:sz w:val="28"/>
          <w:szCs w:val="28"/>
          <w:lang w:eastAsia="en-US"/>
        </w:rPr>
        <w:t>ой</w:t>
      </w:r>
      <w:r w:rsidR="0060186E">
        <w:rPr>
          <w:rFonts w:eastAsiaTheme="minorHAnsi"/>
          <w:sz w:val="28"/>
          <w:szCs w:val="28"/>
          <w:lang w:eastAsia="en-US"/>
        </w:rPr>
        <w:t>,</w:t>
      </w:r>
      <w:r w:rsidR="006D08B8">
        <w:rPr>
          <w:rFonts w:eastAsiaTheme="minorHAnsi"/>
          <w:sz w:val="28"/>
          <w:szCs w:val="28"/>
          <w:lang w:eastAsia="en-US"/>
        </w:rPr>
        <w:t xml:space="preserve"> с учетом складывающихся экономических реалий</w:t>
      </w:r>
      <w:r w:rsidR="00330B17" w:rsidRPr="00330B17">
        <w:rPr>
          <w:rFonts w:eastAsiaTheme="minorHAnsi"/>
          <w:sz w:val="28"/>
          <w:szCs w:val="28"/>
          <w:lang w:eastAsia="en-US"/>
        </w:rPr>
        <w:t>.</w:t>
      </w:r>
    </w:p>
    <w:p w:rsidR="00D84815" w:rsidRPr="006D08B8" w:rsidRDefault="006D08B8" w:rsidP="005F651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D08B8">
        <w:rPr>
          <w:rFonts w:eastAsiaTheme="minorHAnsi"/>
          <w:sz w:val="28"/>
          <w:szCs w:val="28"/>
          <w:lang w:eastAsia="en-US"/>
        </w:rPr>
        <w:t xml:space="preserve">На основании вышеизложенного, </w:t>
      </w:r>
      <w:r w:rsidR="0006337C">
        <w:rPr>
          <w:rFonts w:eastAsiaTheme="minorHAnsi"/>
          <w:sz w:val="28"/>
          <w:szCs w:val="28"/>
          <w:lang w:eastAsia="en-US"/>
        </w:rPr>
        <w:t xml:space="preserve">в соответствии с частью второй раздела 10 Приложения к Закону Приднестровской Молдавской Республики </w:t>
      </w:r>
      <w:r w:rsidR="0006337C" w:rsidRPr="0006337C">
        <w:rPr>
          <w:rFonts w:eastAsiaTheme="minorHAnsi"/>
          <w:sz w:val="28"/>
          <w:szCs w:val="28"/>
          <w:lang w:eastAsia="en-US"/>
        </w:rPr>
        <w:t>«</w:t>
      </w:r>
      <w:r w:rsidR="0006337C" w:rsidRPr="0006337C">
        <w:rPr>
          <w:sz w:val="28"/>
          <w:szCs w:val="28"/>
        </w:rPr>
        <w:t>Об утверждении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2021–2041 годы»,</w:t>
      </w:r>
      <w:r w:rsidR="0006337C" w:rsidRPr="006D08B8">
        <w:rPr>
          <w:rFonts w:eastAsiaTheme="minorHAnsi"/>
          <w:sz w:val="28"/>
          <w:szCs w:val="28"/>
          <w:lang w:eastAsia="en-US"/>
        </w:rPr>
        <w:t xml:space="preserve"> </w:t>
      </w:r>
      <w:r w:rsidRPr="006D08B8">
        <w:rPr>
          <w:rFonts w:eastAsiaTheme="minorHAnsi"/>
          <w:sz w:val="28"/>
          <w:szCs w:val="28"/>
          <w:lang w:eastAsia="en-US"/>
        </w:rPr>
        <w:t xml:space="preserve">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6D08B8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6D08B8" w:rsidRPr="006D08B8" w:rsidRDefault="006D08B8" w:rsidP="005F651F">
      <w:pPr>
        <w:tabs>
          <w:tab w:val="left" w:pos="5103"/>
          <w:tab w:val="left" w:pos="5529"/>
        </w:tabs>
        <w:ind w:right="3259"/>
        <w:jc w:val="both"/>
        <w:rPr>
          <w:rFonts w:eastAsia="Times New Roman"/>
          <w:b/>
          <w:sz w:val="28"/>
          <w:szCs w:val="28"/>
        </w:rPr>
      </w:pPr>
    </w:p>
    <w:p w:rsidR="006D08B8" w:rsidRPr="006D08B8" w:rsidRDefault="000819F5" w:rsidP="005F651F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6D08B8" w:rsidRPr="006D08B8">
        <w:rPr>
          <w:rFonts w:eastAsia="Times New Roman"/>
          <w:sz w:val="28"/>
          <w:szCs w:val="28"/>
        </w:rPr>
        <w:t xml:space="preserve">Утвердить отчет </w:t>
      </w:r>
      <w:r w:rsidR="0060186E" w:rsidRPr="0060186E">
        <w:rPr>
          <w:rFonts w:eastAsia="Times New Roman"/>
          <w:sz w:val="28"/>
          <w:szCs w:val="28"/>
        </w:rPr>
        <w:t xml:space="preserve">о ходе </w:t>
      </w:r>
      <w:r w:rsidR="00075381">
        <w:rPr>
          <w:rFonts w:eastAsia="Times New Roman"/>
          <w:sz w:val="28"/>
          <w:szCs w:val="28"/>
        </w:rPr>
        <w:t>реализации</w:t>
      </w:r>
      <w:r w:rsidR="0060186E" w:rsidRPr="0060186E">
        <w:rPr>
          <w:rFonts w:eastAsia="Times New Roman"/>
          <w:sz w:val="28"/>
          <w:szCs w:val="28"/>
        </w:rPr>
        <w:t xml:space="preserve">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2021–2041 годы за 2022 год</w:t>
      </w:r>
      <w:r w:rsidR="006D08B8" w:rsidRPr="006D08B8">
        <w:rPr>
          <w:rFonts w:eastAsia="Times New Roman"/>
          <w:sz w:val="28"/>
          <w:szCs w:val="28"/>
        </w:rPr>
        <w:t>.</w:t>
      </w:r>
    </w:p>
    <w:p w:rsidR="006D08B8" w:rsidRDefault="006D08B8" w:rsidP="005F651F">
      <w:pPr>
        <w:ind w:firstLine="709"/>
        <w:jc w:val="both"/>
        <w:rPr>
          <w:rFonts w:eastAsia="Times New Roman"/>
          <w:sz w:val="28"/>
          <w:szCs w:val="28"/>
        </w:rPr>
      </w:pPr>
    </w:p>
    <w:p w:rsidR="00697CB2" w:rsidRPr="006D08B8" w:rsidRDefault="00697CB2" w:rsidP="005F651F">
      <w:pPr>
        <w:ind w:firstLine="709"/>
        <w:jc w:val="both"/>
        <w:rPr>
          <w:rFonts w:eastAsia="Times New Roman"/>
          <w:sz w:val="28"/>
          <w:szCs w:val="28"/>
        </w:rPr>
      </w:pPr>
    </w:p>
    <w:p w:rsidR="006D08B8" w:rsidRPr="006D08B8" w:rsidRDefault="006D08B8" w:rsidP="005F651F">
      <w:pPr>
        <w:ind w:firstLine="709"/>
        <w:jc w:val="both"/>
        <w:rPr>
          <w:rFonts w:eastAsia="Times New Roman"/>
          <w:sz w:val="28"/>
          <w:szCs w:val="28"/>
        </w:rPr>
      </w:pPr>
      <w:r w:rsidRPr="006D08B8">
        <w:rPr>
          <w:rFonts w:eastAsia="Times New Roman"/>
          <w:sz w:val="28"/>
          <w:szCs w:val="28"/>
        </w:rPr>
        <w:lastRenderedPageBreak/>
        <w:t>2. Настоящее Постановление вступает в силу со дня подписания</w:t>
      </w:r>
      <w:r w:rsidR="009A3E18">
        <w:rPr>
          <w:rFonts w:eastAsia="Times New Roman"/>
          <w:sz w:val="28"/>
          <w:szCs w:val="28"/>
        </w:rPr>
        <w:t xml:space="preserve"> и подлежит официальному опубликованию</w:t>
      </w:r>
      <w:r w:rsidRPr="006D08B8">
        <w:rPr>
          <w:rFonts w:eastAsia="Times New Roman"/>
          <w:sz w:val="28"/>
          <w:szCs w:val="28"/>
        </w:rPr>
        <w:t>.</w:t>
      </w:r>
    </w:p>
    <w:p w:rsidR="000819F5" w:rsidRDefault="000819F5" w:rsidP="005F651F">
      <w:pPr>
        <w:ind w:firstLine="709"/>
        <w:rPr>
          <w:color w:val="000000"/>
          <w:sz w:val="28"/>
          <w:szCs w:val="28"/>
        </w:rPr>
      </w:pPr>
    </w:p>
    <w:p w:rsidR="00697CB2" w:rsidRDefault="00697CB2" w:rsidP="005F651F">
      <w:pPr>
        <w:ind w:firstLine="709"/>
        <w:rPr>
          <w:color w:val="000000"/>
          <w:sz w:val="28"/>
          <w:szCs w:val="28"/>
        </w:rPr>
      </w:pPr>
    </w:p>
    <w:p w:rsidR="00697CB2" w:rsidRDefault="00697CB2" w:rsidP="005F651F">
      <w:pPr>
        <w:ind w:firstLine="709"/>
        <w:rPr>
          <w:color w:val="000000"/>
          <w:sz w:val="28"/>
          <w:szCs w:val="28"/>
        </w:rPr>
      </w:pPr>
    </w:p>
    <w:p w:rsidR="000819F5" w:rsidRPr="005D4927" w:rsidRDefault="000819F5" w:rsidP="005F651F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 xml:space="preserve">Председатель Верховного </w:t>
      </w:r>
    </w:p>
    <w:p w:rsidR="000819F5" w:rsidRPr="005D4927" w:rsidRDefault="000819F5" w:rsidP="005F651F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 xml:space="preserve">Совета Приднестровской </w:t>
      </w:r>
    </w:p>
    <w:p w:rsidR="000819F5" w:rsidRPr="005D4927" w:rsidRDefault="000819F5" w:rsidP="005F651F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>Молдавской Республики                                                          А. В. КОРШУНОВ</w:t>
      </w:r>
    </w:p>
    <w:p w:rsidR="000819F5" w:rsidRPr="005D4927" w:rsidRDefault="000819F5" w:rsidP="005F651F">
      <w:pPr>
        <w:ind w:firstLine="708"/>
        <w:jc w:val="both"/>
        <w:rPr>
          <w:sz w:val="16"/>
          <w:szCs w:val="16"/>
        </w:rPr>
      </w:pPr>
    </w:p>
    <w:p w:rsidR="000819F5" w:rsidRPr="005D4927" w:rsidRDefault="000819F5" w:rsidP="005F651F">
      <w:pPr>
        <w:jc w:val="both"/>
        <w:rPr>
          <w:sz w:val="28"/>
          <w:szCs w:val="28"/>
        </w:rPr>
      </w:pPr>
      <w:r w:rsidRPr="005D4927">
        <w:rPr>
          <w:sz w:val="28"/>
          <w:szCs w:val="28"/>
        </w:rPr>
        <w:t xml:space="preserve">г. Тирасполь </w:t>
      </w:r>
    </w:p>
    <w:p w:rsidR="000819F5" w:rsidRPr="005D4927" w:rsidRDefault="005E7D6D" w:rsidP="005F651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9F5" w:rsidRPr="005D492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bookmarkStart w:id="0" w:name="_GoBack"/>
      <w:bookmarkEnd w:id="0"/>
      <w:r w:rsidR="000819F5" w:rsidRPr="005D4927">
        <w:rPr>
          <w:sz w:val="28"/>
          <w:szCs w:val="28"/>
        </w:rPr>
        <w:t xml:space="preserve"> 2023 года</w:t>
      </w:r>
    </w:p>
    <w:p w:rsidR="000819F5" w:rsidRPr="005D4927" w:rsidRDefault="000819F5" w:rsidP="005F651F">
      <w:pPr>
        <w:jc w:val="both"/>
        <w:rPr>
          <w:b/>
          <w:sz w:val="28"/>
          <w:szCs w:val="28"/>
        </w:rPr>
      </w:pPr>
      <w:r w:rsidRPr="005D4927">
        <w:rPr>
          <w:sz w:val="28"/>
          <w:szCs w:val="28"/>
        </w:rPr>
        <w:t xml:space="preserve">№ </w:t>
      </w:r>
      <w:r w:rsidR="00114A99">
        <w:rPr>
          <w:sz w:val="28"/>
          <w:szCs w:val="28"/>
        </w:rPr>
        <w:t>2106</w:t>
      </w:r>
    </w:p>
    <w:sectPr w:rsidR="000819F5" w:rsidRPr="005D4927" w:rsidSect="005F651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3E" w:rsidRDefault="002C083E" w:rsidP="005F651F">
      <w:r>
        <w:separator/>
      </w:r>
    </w:p>
  </w:endnote>
  <w:endnote w:type="continuationSeparator" w:id="0">
    <w:p w:rsidR="002C083E" w:rsidRDefault="002C083E" w:rsidP="005F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3E" w:rsidRDefault="002C083E" w:rsidP="005F651F">
      <w:r>
        <w:separator/>
      </w:r>
    </w:p>
  </w:footnote>
  <w:footnote w:type="continuationSeparator" w:id="0">
    <w:p w:rsidR="002C083E" w:rsidRDefault="002C083E" w:rsidP="005F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838262"/>
      <w:docPartObj>
        <w:docPartGallery w:val="Page Numbers (Top of Page)"/>
        <w:docPartUnique/>
      </w:docPartObj>
    </w:sdtPr>
    <w:sdtEndPr/>
    <w:sdtContent>
      <w:p w:rsidR="005F651F" w:rsidRDefault="005F6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6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DF0"/>
    <w:multiLevelType w:val="hybridMultilevel"/>
    <w:tmpl w:val="95C07EFA"/>
    <w:lvl w:ilvl="0" w:tplc="B498D34C">
      <w:start w:val="1"/>
      <w:numFmt w:val="decimal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EA0B6A"/>
    <w:multiLevelType w:val="hybridMultilevel"/>
    <w:tmpl w:val="7F9AB186"/>
    <w:lvl w:ilvl="0" w:tplc="72A2169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2B"/>
    <w:rsid w:val="0006337C"/>
    <w:rsid w:val="00075381"/>
    <w:rsid w:val="000819F5"/>
    <w:rsid w:val="00082B7C"/>
    <w:rsid w:val="000F7EE9"/>
    <w:rsid w:val="00114A99"/>
    <w:rsid w:val="00157589"/>
    <w:rsid w:val="00166B8F"/>
    <w:rsid w:val="0025631E"/>
    <w:rsid w:val="002C083E"/>
    <w:rsid w:val="00330B17"/>
    <w:rsid w:val="0041238A"/>
    <w:rsid w:val="0045319C"/>
    <w:rsid w:val="004A4D8D"/>
    <w:rsid w:val="004D32E0"/>
    <w:rsid w:val="004F4927"/>
    <w:rsid w:val="004F7796"/>
    <w:rsid w:val="005C35C4"/>
    <w:rsid w:val="005E1CDF"/>
    <w:rsid w:val="005E7D6D"/>
    <w:rsid w:val="005F651F"/>
    <w:rsid w:val="0060186E"/>
    <w:rsid w:val="00651532"/>
    <w:rsid w:val="00697CB2"/>
    <w:rsid w:val="006D08B8"/>
    <w:rsid w:val="00724851"/>
    <w:rsid w:val="0073602B"/>
    <w:rsid w:val="00807B66"/>
    <w:rsid w:val="0081104A"/>
    <w:rsid w:val="00850ECB"/>
    <w:rsid w:val="00865DDD"/>
    <w:rsid w:val="00874B22"/>
    <w:rsid w:val="008F2008"/>
    <w:rsid w:val="00963DFC"/>
    <w:rsid w:val="009A3E18"/>
    <w:rsid w:val="00AF3D2A"/>
    <w:rsid w:val="00C26A72"/>
    <w:rsid w:val="00D045FE"/>
    <w:rsid w:val="00D478A0"/>
    <w:rsid w:val="00D561F0"/>
    <w:rsid w:val="00D84815"/>
    <w:rsid w:val="00EA242D"/>
    <w:rsid w:val="00F4693C"/>
    <w:rsid w:val="00F47D38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D99B"/>
  <w15:chartTrackingRefBased/>
  <w15:docId w15:val="{50740A3A-BB58-417C-A688-507B0A74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DD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19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65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51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65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51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Радулов Иван Дмитриевич</dc:creator>
  <cp:keywords/>
  <dc:description/>
  <cp:lastModifiedBy>Дротенко Оксана Александровна</cp:lastModifiedBy>
  <cp:revision>27</cp:revision>
  <cp:lastPrinted>2023-04-28T08:13:00Z</cp:lastPrinted>
  <dcterms:created xsi:type="dcterms:W3CDTF">2023-04-18T14:09:00Z</dcterms:created>
  <dcterms:modified xsi:type="dcterms:W3CDTF">2023-05-03T07:07:00Z</dcterms:modified>
</cp:coreProperties>
</file>