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F08" w:rsidRPr="00881766" w:rsidRDefault="00E46F08" w:rsidP="00E46F08">
      <w:pPr>
        <w:tabs>
          <w:tab w:val="left" w:pos="916"/>
          <w:tab w:val="left" w:pos="1832"/>
          <w:tab w:val="left" w:pos="2748"/>
          <w:tab w:val="left" w:pos="3664"/>
          <w:tab w:val="left" w:pos="4580"/>
          <w:tab w:val="left" w:pos="5496"/>
          <w:tab w:val="left" w:pos="6412"/>
          <w:tab w:val="left" w:pos="7328"/>
          <w:tab w:val="left" w:pos="8244"/>
          <w:tab w:val="left" w:pos="8848"/>
        </w:tabs>
        <w:ind w:left="8505"/>
        <w:rPr>
          <w:sz w:val="28"/>
          <w:szCs w:val="28"/>
        </w:rPr>
      </w:pPr>
      <w:r w:rsidRPr="00881766">
        <w:rPr>
          <w:sz w:val="28"/>
          <w:szCs w:val="28"/>
        </w:rPr>
        <w:t>«Приложение № 1</w:t>
      </w:r>
    </w:p>
    <w:p w:rsidR="00E46F08" w:rsidRDefault="00E46F08" w:rsidP="00E46F08">
      <w:pPr>
        <w:widowControl w:val="0"/>
        <w:tabs>
          <w:tab w:val="left" w:pos="916"/>
          <w:tab w:val="left" w:pos="1832"/>
          <w:tab w:val="left" w:pos="2748"/>
          <w:tab w:val="left" w:pos="3664"/>
          <w:tab w:val="left" w:pos="4580"/>
          <w:tab w:val="left" w:pos="5496"/>
          <w:tab w:val="left" w:pos="6412"/>
          <w:tab w:val="left" w:pos="7328"/>
          <w:tab w:val="left" w:pos="8244"/>
          <w:tab w:val="left" w:pos="8848"/>
        </w:tabs>
        <w:ind w:left="8505" w:right="111"/>
        <w:rPr>
          <w:rFonts w:eastAsia="Arial Unicode MS"/>
          <w:sz w:val="28"/>
          <w:szCs w:val="28"/>
          <w:u w:color="000000"/>
        </w:rPr>
      </w:pPr>
      <w:r w:rsidRPr="00881766">
        <w:rPr>
          <w:rFonts w:eastAsia="MS Mincho"/>
          <w:sz w:val="28"/>
          <w:szCs w:val="28"/>
          <w:u w:color="000000"/>
        </w:rPr>
        <w:t xml:space="preserve">к </w:t>
      </w:r>
      <w:r w:rsidRPr="00881766">
        <w:rPr>
          <w:rFonts w:eastAsia="Arial Unicode MS"/>
          <w:sz w:val="28"/>
          <w:szCs w:val="28"/>
          <w:u w:color="000000"/>
        </w:rPr>
        <w:t xml:space="preserve">Концепции бюджетной и налоговой политики </w:t>
      </w:r>
    </w:p>
    <w:p w:rsidR="00E46F08" w:rsidRDefault="00E46F08" w:rsidP="00E46F08">
      <w:pPr>
        <w:widowControl w:val="0"/>
        <w:tabs>
          <w:tab w:val="left" w:pos="916"/>
          <w:tab w:val="left" w:pos="1832"/>
          <w:tab w:val="left" w:pos="2748"/>
          <w:tab w:val="left" w:pos="3664"/>
          <w:tab w:val="left" w:pos="4580"/>
          <w:tab w:val="left" w:pos="5496"/>
          <w:tab w:val="left" w:pos="6412"/>
          <w:tab w:val="left" w:pos="7328"/>
          <w:tab w:val="left" w:pos="8244"/>
          <w:tab w:val="left" w:pos="8848"/>
        </w:tabs>
        <w:ind w:left="8505" w:right="111"/>
        <w:rPr>
          <w:rFonts w:eastAsia="Arial Unicode MS"/>
          <w:sz w:val="28"/>
          <w:szCs w:val="28"/>
          <w:u w:color="000000"/>
        </w:rPr>
      </w:pPr>
      <w:r w:rsidRPr="00881766">
        <w:rPr>
          <w:rFonts w:eastAsia="Arial Unicode MS"/>
          <w:sz w:val="28"/>
          <w:szCs w:val="28"/>
          <w:u w:color="000000"/>
        </w:rPr>
        <w:t xml:space="preserve">Приднестровской Молдавской Республики </w:t>
      </w:r>
    </w:p>
    <w:p w:rsidR="00E46F08" w:rsidRPr="00881766" w:rsidRDefault="00E46F08" w:rsidP="00E46F08">
      <w:pPr>
        <w:widowControl w:val="0"/>
        <w:tabs>
          <w:tab w:val="left" w:pos="916"/>
          <w:tab w:val="left" w:pos="1832"/>
          <w:tab w:val="left" w:pos="2748"/>
          <w:tab w:val="left" w:pos="3664"/>
          <w:tab w:val="left" w:pos="4580"/>
          <w:tab w:val="left" w:pos="5496"/>
          <w:tab w:val="left" w:pos="6412"/>
          <w:tab w:val="left" w:pos="7328"/>
          <w:tab w:val="left" w:pos="8244"/>
          <w:tab w:val="left" w:pos="8848"/>
        </w:tabs>
        <w:ind w:left="8505" w:right="111"/>
        <w:rPr>
          <w:rFonts w:eastAsia="Arial Unicode MS"/>
          <w:sz w:val="28"/>
          <w:szCs w:val="28"/>
          <w:u w:color="000000"/>
        </w:rPr>
      </w:pPr>
      <w:r w:rsidRPr="00881766">
        <w:rPr>
          <w:rFonts w:eastAsia="Arial Unicode MS"/>
          <w:sz w:val="28"/>
          <w:szCs w:val="28"/>
          <w:u w:color="000000"/>
        </w:rPr>
        <w:t>на 2024 год и среднесрочную перспективу</w:t>
      </w:r>
    </w:p>
    <w:p w:rsidR="00E46F08" w:rsidRDefault="00E46F08" w:rsidP="00E46F08">
      <w:pPr>
        <w:widowControl w:val="0"/>
        <w:tabs>
          <w:tab w:val="left" w:pos="916"/>
          <w:tab w:val="left" w:pos="1832"/>
          <w:tab w:val="left" w:pos="2748"/>
          <w:tab w:val="left" w:pos="3664"/>
          <w:tab w:val="left" w:pos="4580"/>
          <w:tab w:val="left" w:pos="5496"/>
          <w:tab w:val="left" w:pos="6412"/>
          <w:tab w:val="left" w:pos="7328"/>
          <w:tab w:val="left" w:pos="8244"/>
          <w:tab w:val="left" w:pos="8848"/>
        </w:tabs>
        <w:ind w:left="8505" w:right="-314"/>
        <w:rPr>
          <w:sz w:val="28"/>
          <w:szCs w:val="28"/>
        </w:rPr>
      </w:pPr>
    </w:p>
    <w:p w:rsidR="00E46F08" w:rsidRDefault="00E46F08" w:rsidP="00E46F08">
      <w:pPr>
        <w:widowControl w:val="0"/>
        <w:tabs>
          <w:tab w:val="left" w:pos="916"/>
          <w:tab w:val="left" w:pos="1832"/>
          <w:tab w:val="left" w:pos="2748"/>
          <w:tab w:val="left" w:pos="3664"/>
          <w:tab w:val="left" w:pos="4580"/>
          <w:tab w:val="left" w:pos="5496"/>
          <w:tab w:val="left" w:pos="6412"/>
          <w:tab w:val="left" w:pos="7328"/>
          <w:tab w:val="left" w:pos="8244"/>
          <w:tab w:val="left" w:pos="8848"/>
        </w:tabs>
        <w:ind w:left="8505" w:right="-314"/>
        <w:rPr>
          <w:sz w:val="28"/>
          <w:szCs w:val="28"/>
        </w:rPr>
      </w:pPr>
    </w:p>
    <w:p w:rsidR="00E46F08" w:rsidRPr="00881766" w:rsidRDefault="00E46F08" w:rsidP="00E46F08">
      <w:pPr>
        <w:widowControl w:val="0"/>
        <w:tabs>
          <w:tab w:val="left" w:pos="916"/>
          <w:tab w:val="left" w:pos="1832"/>
          <w:tab w:val="left" w:pos="2748"/>
          <w:tab w:val="left" w:pos="3664"/>
          <w:tab w:val="left" w:pos="4580"/>
          <w:tab w:val="left" w:pos="5496"/>
          <w:tab w:val="left" w:pos="6412"/>
          <w:tab w:val="left" w:pos="7328"/>
          <w:tab w:val="left" w:pos="8244"/>
          <w:tab w:val="left" w:pos="8848"/>
        </w:tabs>
        <w:ind w:left="8505" w:right="-314"/>
        <w:rPr>
          <w:sz w:val="28"/>
          <w:szCs w:val="28"/>
        </w:rPr>
      </w:pPr>
    </w:p>
    <w:p w:rsidR="00E46F08" w:rsidRDefault="00E46F08" w:rsidP="00E46F08">
      <w:pPr>
        <w:tabs>
          <w:tab w:val="left" w:pos="916"/>
          <w:tab w:val="left" w:pos="1832"/>
          <w:tab w:val="left" w:pos="2748"/>
          <w:tab w:val="left" w:pos="3664"/>
          <w:tab w:val="left" w:pos="4580"/>
          <w:tab w:val="left" w:pos="5496"/>
          <w:tab w:val="left" w:pos="6412"/>
          <w:tab w:val="left" w:pos="7328"/>
          <w:tab w:val="left" w:pos="8244"/>
          <w:tab w:val="left" w:pos="8848"/>
        </w:tabs>
        <w:jc w:val="center"/>
        <w:rPr>
          <w:sz w:val="28"/>
          <w:szCs w:val="28"/>
        </w:rPr>
      </w:pPr>
      <w:r w:rsidRPr="00881766">
        <w:rPr>
          <w:sz w:val="28"/>
          <w:szCs w:val="28"/>
        </w:rPr>
        <w:t xml:space="preserve">Основные макроэкономические показатели </w:t>
      </w:r>
    </w:p>
    <w:p w:rsidR="00E46F08" w:rsidRDefault="00E46F08" w:rsidP="00E46F08">
      <w:pPr>
        <w:tabs>
          <w:tab w:val="left" w:pos="916"/>
          <w:tab w:val="left" w:pos="1832"/>
          <w:tab w:val="left" w:pos="2748"/>
          <w:tab w:val="left" w:pos="3664"/>
          <w:tab w:val="left" w:pos="4580"/>
          <w:tab w:val="left" w:pos="5496"/>
          <w:tab w:val="left" w:pos="6412"/>
          <w:tab w:val="left" w:pos="7328"/>
          <w:tab w:val="left" w:pos="8244"/>
          <w:tab w:val="left" w:pos="8848"/>
        </w:tabs>
        <w:jc w:val="center"/>
        <w:rPr>
          <w:sz w:val="28"/>
          <w:szCs w:val="28"/>
        </w:rPr>
      </w:pPr>
      <w:r w:rsidRPr="00881766">
        <w:rPr>
          <w:sz w:val="28"/>
          <w:szCs w:val="28"/>
        </w:rPr>
        <w:t xml:space="preserve">Приднестровской Молдавской Республики </w:t>
      </w:r>
    </w:p>
    <w:p w:rsidR="00E46F08" w:rsidRPr="00881766" w:rsidRDefault="00E46F08" w:rsidP="00E46F08">
      <w:pPr>
        <w:tabs>
          <w:tab w:val="left" w:pos="916"/>
          <w:tab w:val="left" w:pos="1832"/>
          <w:tab w:val="left" w:pos="2748"/>
          <w:tab w:val="left" w:pos="3664"/>
          <w:tab w:val="left" w:pos="4580"/>
          <w:tab w:val="left" w:pos="5496"/>
          <w:tab w:val="left" w:pos="6412"/>
          <w:tab w:val="left" w:pos="7328"/>
          <w:tab w:val="left" w:pos="8244"/>
          <w:tab w:val="left" w:pos="8848"/>
        </w:tabs>
        <w:jc w:val="center"/>
        <w:rPr>
          <w:sz w:val="28"/>
          <w:szCs w:val="28"/>
        </w:rPr>
      </w:pPr>
      <w:r w:rsidRPr="00881766">
        <w:rPr>
          <w:sz w:val="28"/>
          <w:szCs w:val="28"/>
        </w:rPr>
        <w:t>за 2020</w:t>
      </w:r>
      <w:r>
        <w:rPr>
          <w:sz w:val="28"/>
          <w:szCs w:val="28"/>
        </w:rPr>
        <w:t>-</w:t>
      </w:r>
      <w:r w:rsidRPr="00881766">
        <w:rPr>
          <w:sz w:val="28"/>
          <w:szCs w:val="28"/>
        </w:rPr>
        <w:t>2022 годы и прогнозируемый период 2023</w:t>
      </w:r>
      <w:r>
        <w:rPr>
          <w:sz w:val="28"/>
          <w:szCs w:val="28"/>
        </w:rPr>
        <w:t>-</w:t>
      </w:r>
      <w:r w:rsidRPr="00881766">
        <w:rPr>
          <w:sz w:val="28"/>
          <w:szCs w:val="28"/>
        </w:rPr>
        <w:t>2026 годов</w:t>
      </w:r>
    </w:p>
    <w:p w:rsidR="00E46F08" w:rsidRPr="00881766" w:rsidRDefault="00E46F08" w:rsidP="00E46F08">
      <w:pPr>
        <w:tabs>
          <w:tab w:val="left" w:pos="916"/>
          <w:tab w:val="left" w:pos="1832"/>
          <w:tab w:val="left" w:pos="2748"/>
          <w:tab w:val="left" w:pos="3664"/>
          <w:tab w:val="left" w:pos="4580"/>
          <w:tab w:val="left" w:pos="5496"/>
          <w:tab w:val="left" w:pos="6412"/>
          <w:tab w:val="left" w:pos="7328"/>
          <w:tab w:val="left" w:pos="8244"/>
          <w:tab w:val="left" w:pos="8848"/>
        </w:tabs>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4078"/>
        <w:gridCol w:w="1382"/>
        <w:gridCol w:w="1064"/>
        <w:gridCol w:w="1134"/>
        <w:gridCol w:w="1055"/>
        <w:gridCol w:w="13"/>
        <w:gridCol w:w="1003"/>
        <w:gridCol w:w="1414"/>
        <w:gridCol w:w="1315"/>
        <w:gridCol w:w="1301"/>
        <w:gridCol w:w="14"/>
      </w:tblGrid>
      <w:tr w:rsidR="00E46F08" w:rsidRPr="00881766" w:rsidTr="007748E9">
        <w:trPr>
          <w:trHeight w:val="570"/>
        </w:trPr>
        <w:tc>
          <w:tcPr>
            <w:tcW w:w="2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881766" w:rsidRDefault="00E46F08" w:rsidP="007748E9">
            <w:pPr>
              <w:jc w:val="center"/>
              <w:rPr>
                <w:sz w:val="26"/>
                <w:szCs w:val="26"/>
                <w:lang w:eastAsia="en-US"/>
              </w:rPr>
            </w:pPr>
            <w:r w:rsidRPr="00881766">
              <w:rPr>
                <w:sz w:val="26"/>
                <w:szCs w:val="26"/>
                <w:lang w:eastAsia="en-US"/>
              </w:rPr>
              <w:t>№</w:t>
            </w:r>
          </w:p>
        </w:tc>
        <w:tc>
          <w:tcPr>
            <w:tcW w:w="14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881766" w:rsidRDefault="00E46F08" w:rsidP="007748E9">
            <w:pPr>
              <w:jc w:val="center"/>
              <w:rPr>
                <w:sz w:val="26"/>
                <w:szCs w:val="26"/>
                <w:lang w:eastAsia="en-US"/>
              </w:rPr>
            </w:pPr>
            <w:r w:rsidRPr="00881766">
              <w:rPr>
                <w:sz w:val="26"/>
                <w:szCs w:val="26"/>
                <w:lang w:eastAsia="en-US"/>
              </w:rPr>
              <w:t>Показатели</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881766" w:rsidRDefault="00E46F08" w:rsidP="007748E9">
            <w:pPr>
              <w:jc w:val="center"/>
              <w:rPr>
                <w:sz w:val="26"/>
                <w:szCs w:val="26"/>
                <w:lang w:eastAsia="en-US"/>
              </w:rPr>
            </w:pPr>
            <w:r w:rsidRPr="00881766">
              <w:rPr>
                <w:sz w:val="26"/>
                <w:szCs w:val="26"/>
                <w:lang w:eastAsia="en-US"/>
              </w:rPr>
              <w:t>Единица измерения</w:t>
            </w:r>
          </w:p>
        </w:tc>
        <w:tc>
          <w:tcPr>
            <w:tcW w:w="112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881766" w:rsidRDefault="00E46F08" w:rsidP="007748E9">
            <w:pPr>
              <w:jc w:val="center"/>
              <w:rPr>
                <w:sz w:val="26"/>
                <w:szCs w:val="26"/>
                <w:lang w:eastAsia="en-US"/>
              </w:rPr>
            </w:pPr>
            <w:r w:rsidRPr="00881766">
              <w:rPr>
                <w:sz w:val="26"/>
                <w:szCs w:val="26"/>
                <w:lang w:eastAsia="en-US"/>
              </w:rPr>
              <w:t>Фактические показатели</w:t>
            </w:r>
          </w:p>
        </w:tc>
        <w:tc>
          <w:tcPr>
            <w:tcW w:w="173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881766" w:rsidRDefault="00E46F08" w:rsidP="007748E9">
            <w:pPr>
              <w:jc w:val="center"/>
              <w:rPr>
                <w:sz w:val="26"/>
                <w:szCs w:val="26"/>
                <w:lang w:eastAsia="en-US"/>
              </w:rPr>
            </w:pPr>
            <w:r w:rsidRPr="00881766">
              <w:rPr>
                <w:sz w:val="26"/>
                <w:szCs w:val="26"/>
                <w:lang w:eastAsia="en-US"/>
              </w:rPr>
              <w:t>Прогноз</w:t>
            </w:r>
          </w:p>
        </w:tc>
      </w:tr>
      <w:tr w:rsidR="00E46F08" w:rsidRPr="00881766" w:rsidTr="007748E9">
        <w:trPr>
          <w:gridAfter w:val="1"/>
          <w:wAfter w:w="5" w:type="pct"/>
          <w:trHeight w:val="855"/>
        </w:trPr>
        <w:tc>
          <w:tcPr>
            <w:tcW w:w="27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881766" w:rsidRDefault="00E46F08" w:rsidP="007748E9">
            <w:pPr>
              <w:rPr>
                <w:sz w:val="26"/>
                <w:szCs w:val="26"/>
                <w:lang w:eastAsia="en-US"/>
              </w:rPr>
            </w:pPr>
          </w:p>
        </w:tc>
        <w:tc>
          <w:tcPr>
            <w:tcW w:w="1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881766" w:rsidRDefault="00E46F08" w:rsidP="007748E9">
            <w:pPr>
              <w:rPr>
                <w:sz w:val="26"/>
                <w:szCs w:val="26"/>
                <w:lang w:eastAsia="en-US"/>
              </w:rPr>
            </w:pPr>
          </w:p>
        </w:tc>
        <w:tc>
          <w:tcPr>
            <w:tcW w:w="4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881766" w:rsidRDefault="00E46F08" w:rsidP="007748E9">
            <w:pPr>
              <w:rPr>
                <w:sz w:val="26"/>
                <w:szCs w:val="26"/>
                <w:lang w:eastAsia="en-US"/>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881766" w:rsidRDefault="00E46F08" w:rsidP="007748E9">
            <w:pPr>
              <w:jc w:val="center"/>
              <w:rPr>
                <w:sz w:val="26"/>
                <w:szCs w:val="26"/>
                <w:lang w:eastAsia="en-US"/>
              </w:rPr>
            </w:pPr>
            <w:r w:rsidRPr="00881766">
              <w:rPr>
                <w:sz w:val="26"/>
                <w:szCs w:val="26"/>
                <w:lang w:eastAsia="en-US"/>
              </w:rPr>
              <w:t>2020 год</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881766" w:rsidRDefault="00E46F08" w:rsidP="007748E9">
            <w:pPr>
              <w:jc w:val="center"/>
              <w:rPr>
                <w:sz w:val="26"/>
                <w:szCs w:val="26"/>
                <w:lang w:eastAsia="en-US"/>
              </w:rPr>
            </w:pPr>
            <w:r w:rsidRPr="00881766">
              <w:rPr>
                <w:sz w:val="26"/>
                <w:szCs w:val="26"/>
                <w:lang w:eastAsia="en-US"/>
              </w:rPr>
              <w:t>2021 год</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881766" w:rsidRDefault="00E46F08" w:rsidP="007748E9">
            <w:pPr>
              <w:jc w:val="center"/>
              <w:rPr>
                <w:sz w:val="26"/>
                <w:szCs w:val="26"/>
                <w:lang w:eastAsia="en-US"/>
              </w:rPr>
            </w:pPr>
            <w:r w:rsidRPr="00881766">
              <w:rPr>
                <w:sz w:val="26"/>
                <w:szCs w:val="26"/>
                <w:lang w:eastAsia="en-US"/>
              </w:rPr>
              <w:t xml:space="preserve">2022 год </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881766" w:rsidRDefault="00E46F08" w:rsidP="007748E9">
            <w:pPr>
              <w:ind w:left="-62" w:right="-35"/>
              <w:jc w:val="center"/>
              <w:rPr>
                <w:sz w:val="26"/>
                <w:szCs w:val="26"/>
                <w:lang w:eastAsia="en-US"/>
              </w:rPr>
            </w:pPr>
            <w:r w:rsidRPr="00881766">
              <w:rPr>
                <w:sz w:val="26"/>
                <w:szCs w:val="26"/>
                <w:lang w:eastAsia="en-US"/>
              </w:rPr>
              <w:t>2023 год</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881766" w:rsidRDefault="00E46F08" w:rsidP="007748E9">
            <w:pPr>
              <w:ind w:left="-62" w:right="-35"/>
              <w:jc w:val="center"/>
              <w:rPr>
                <w:sz w:val="26"/>
                <w:szCs w:val="26"/>
                <w:lang w:eastAsia="en-US"/>
              </w:rPr>
            </w:pPr>
            <w:r w:rsidRPr="00881766">
              <w:rPr>
                <w:sz w:val="26"/>
                <w:szCs w:val="26"/>
                <w:lang w:eastAsia="en-US"/>
              </w:rPr>
              <w:t>2024 год</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881766" w:rsidRDefault="00E46F08" w:rsidP="007748E9">
            <w:pPr>
              <w:ind w:left="-62" w:right="-35"/>
              <w:jc w:val="center"/>
              <w:rPr>
                <w:sz w:val="26"/>
                <w:szCs w:val="26"/>
                <w:lang w:eastAsia="en-US"/>
              </w:rPr>
            </w:pPr>
            <w:r w:rsidRPr="00881766">
              <w:rPr>
                <w:sz w:val="26"/>
                <w:szCs w:val="26"/>
                <w:lang w:eastAsia="en-US"/>
              </w:rPr>
              <w:t>2025 год</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881766" w:rsidRDefault="00E46F08" w:rsidP="007748E9">
            <w:pPr>
              <w:ind w:left="-62" w:right="-35"/>
              <w:jc w:val="center"/>
              <w:rPr>
                <w:sz w:val="26"/>
                <w:szCs w:val="26"/>
                <w:lang w:eastAsia="en-US"/>
              </w:rPr>
            </w:pPr>
            <w:r w:rsidRPr="00881766">
              <w:rPr>
                <w:sz w:val="26"/>
                <w:szCs w:val="26"/>
                <w:lang w:eastAsia="en-US"/>
              </w:rPr>
              <w:t>2026 год</w:t>
            </w:r>
          </w:p>
        </w:tc>
      </w:tr>
      <w:tr w:rsidR="00E46F08" w:rsidRPr="00881766" w:rsidTr="007748E9">
        <w:trPr>
          <w:gridAfter w:val="1"/>
          <w:wAfter w:w="5" w:type="pct"/>
          <w:trHeight w:val="600"/>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jc w:val="center"/>
              <w:rPr>
                <w:lang w:eastAsia="en-US"/>
              </w:rPr>
            </w:pPr>
            <w:r w:rsidRPr="00484060">
              <w:rPr>
                <w:lang w:eastAsia="en-US"/>
              </w:rPr>
              <w:t>1.</w:t>
            </w:r>
          </w:p>
        </w:tc>
        <w:tc>
          <w:tcPr>
            <w:tcW w:w="1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rPr>
                <w:lang w:eastAsia="en-US"/>
              </w:rPr>
            </w:pPr>
            <w:r w:rsidRPr="00484060">
              <w:rPr>
                <w:lang w:eastAsia="en-US"/>
              </w:rPr>
              <w:t>Номинальный объем валового внутреннего продукта</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jc w:val="center"/>
              <w:rPr>
                <w:lang w:eastAsia="en-US"/>
              </w:rPr>
            </w:pPr>
            <w:r w:rsidRPr="00484060">
              <w:rPr>
                <w:lang w:eastAsia="en-US"/>
              </w:rPr>
              <w:t>миллионов рублей</w:t>
            </w:r>
          </w:p>
        </w:tc>
        <w:tc>
          <w:tcPr>
            <w:tcW w:w="36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14 403,2</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19 229,1</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18 248,2</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19 079,0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bottom"/>
          </w:tcPr>
          <w:p w:rsidR="00E46F08" w:rsidRPr="001213EB" w:rsidRDefault="00E46F08" w:rsidP="007748E9">
            <w:pPr>
              <w:ind w:left="-62" w:right="-35"/>
              <w:jc w:val="center"/>
              <w:rPr>
                <w:lang w:eastAsia="en-US"/>
              </w:rPr>
            </w:pPr>
            <w:r w:rsidRPr="001213EB">
              <w:rPr>
                <w:color w:val="000000"/>
              </w:rPr>
              <w:t>19 420,3</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E46F08" w:rsidRPr="001213EB" w:rsidRDefault="00E46F08" w:rsidP="007748E9">
            <w:pPr>
              <w:ind w:left="-62" w:right="-35"/>
              <w:jc w:val="center"/>
              <w:rPr>
                <w:lang w:eastAsia="en-US"/>
              </w:rPr>
            </w:pPr>
            <w:r w:rsidRPr="001213EB">
              <w:rPr>
                <w:color w:val="000000"/>
              </w:rPr>
              <w:t>20 585,5</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46F08" w:rsidRPr="001213EB" w:rsidRDefault="00E46F08" w:rsidP="007748E9">
            <w:pPr>
              <w:ind w:left="-62" w:right="-35"/>
              <w:jc w:val="center"/>
              <w:rPr>
                <w:lang w:eastAsia="en-US"/>
              </w:rPr>
            </w:pPr>
            <w:r w:rsidRPr="001213EB">
              <w:rPr>
                <w:color w:val="000000"/>
              </w:rPr>
              <w:t>21 820,6</w:t>
            </w:r>
          </w:p>
        </w:tc>
      </w:tr>
      <w:tr w:rsidR="00E46F08" w:rsidRPr="00881766" w:rsidTr="007748E9">
        <w:trPr>
          <w:gridAfter w:val="1"/>
          <w:wAfter w:w="5" w:type="pct"/>
          <w:trHeight w:val="300"/>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jc w:val="center"/>
              <w:rPr>
                <w:lang w:eastAsia="en-US"/>
              </w:rPr>
            </w:pPr>
            <w:r w:rsidRPr="00484060">
              <w:rPr>
                <w:lang w:eastAsia="en-US"/>
              </w:rPr>
              <w:t>2.</w:t>
            </w:r>
          </w:p>
        </w:tc>
        <w:tc>
          <w:tcPr>
            <w:tcW w:w="1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rPr>
                <w:lang w:eastAsia="en-US"/>
              </w:rPr>
            </w:pPr>
            <w:r w:rsidRPr="00484060">
              <w:rPr>
                <w:lang w:eastAsia="en-US"/>
              </w:rPr>
              <w:t>Реальный объем валового внутреннего продукта</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jc w:val="center"/>
              <w:rPr>
                <w:lang w:eastAsia="en-US"/>
              </w:rPr>
            </w:pPr>
            <w:r w:rsidRPr="00484060">
              <w:rPr>
                <w:lang w:eastAsia="en-US"/>
              </w:rPr>
              <w:t>миллионов рублей</w:t>
            </w:r>
          </w:p>
        </w:tc>
        <w:tc>
          <w:tcPr>
            <w:tcW w:w="36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14 108,4</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18 092,9</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16 402,9</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17 665,7</w:t>
            </w:r>
          </w:p>
        </w:tc>
        <w:tc>
          <w:tcPr>
            <w:tcW w:w="48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18 584,0</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19 699,1</w:t>
            </w:r>
          </w:p>
        </w:tc>
        <w:tc>
          <w:tcPr>
            <w:tcW w:w="447"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20 881,0</w:t>
            </w:r>
          </w:p>
        </w:tc>
      </w:tr>
      <w:tr w:rsidR="00E46F08" w:rsidRPr="00881766" w:rsidTr="007748E9">
        <w:trPr>
          <w:gridAfter w:val="1"/>
          <w:wAfter w:w="5" w:type="pct"/>
          <w:trHeight w:val="300"/>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jc w:val="center"/>
              <w:rPr>
                <w:lang w:eastAsia="en-US"/>
              </w:rPr>
            </w:pPr>
            <w:r w:rsidRPr="00484060">
              <w:rPr>
                <w:lang w:eastAsia="en-US"/>
              </w:rPr>
              <w:t>3.</w:t>
            </w:r>
          </w:p>
        </w:tc>
        <w:tc>
          <w:tcPr>
            <w:tcW w:w="1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rPr>
                <w:lang w:eastAsia="en-US"/>
              </w:rPr>
            </w:pPr>
            <w:r w:rsidRPr="00484060">
              <w:rPr>
                <w:lang w:eastAsia="en-US"/>
              </w:rPr>
              <w:t>Дефлятор валового внутреннего продукта</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jc w:val="center"/>
              <w:rPr>
                <w:lang w:eastAsia="en-US"/>
              </w:rPr>
            </w:pPr>
            <w:r w:rsidRPr="00484060">
              <w:rPr>
                <w:lang w:eastAsia="en-US"/>
              </w:rPr>
              <w:t>индекс</w:t>
            </w:r>
          </w:p>
        </w:tc>
        <w:tc>
          <w:tcPr>
            <w:tcW w:w="36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1,021</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1,063</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1,113</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1,080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1,045</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1,045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1,045</w:t>
            </w:r>
          </w:p>
        </w:tc>
      </w:tr>
      <w:tr w:rsidR="00E46F08" w:rsidRPr="00881766" w:rsidTr="007748E9">
        <w:trPr>
          <w:gridAfter w:val="1"/>
          <w:wAfter w:w="5" w:type="pct"/>
          <w:trHeight w:val="660"/>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jc w:val="center"/>
              <w:rPr>
                <w:lang w:eastAsia="en-US"/>
              </w:rPr>
            </w:pPr>
            <w:r w:rsidRPr="00484060">
              <w:rPr>
                <w:lang w:eastAsia="en-US"/>
              </w:rPr>
              <w:t>4.</w:t>
            </w:r>
          </w:p>
        </w:tc>
        <w:tc>
          <w:tcPr>
            <w:tcW w:w="1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rPr>
                <w:lang w:eastAsia="en-US"/>
              </w:rPr>
            </w:pPr>
            <w:r w:rsidRPr="00484060">
              <w:rPr>
                <w:lang w:eastAsia="en-US"/>
              </w:rPr>
              <w:t>Объем промышленного производства (в действующих ценах)</w:t>
            </w:r>
            <w:r w:rsidRPr="00484060">
              <w:rPr>
                <w:vertAlign w:val="superscript"/>
                <w:lang w:eastAsia="en-US"/>
              </w:rPr>
              <w:t>1</w:t>
            </w:r>
          </w:p>
        </w:tc>
        <w:tc>
          <w:tcPr>
            <w:tcW w:w="469" w:type="pct"/>
            <w:tcBorders>
              <w:top w:val="single" w:sz="4" w:space="0" w:color="auto"/>
              <w:left w:val="single" w:sz="4" w:space="0" w:color="auto"/>
              <w:bottom w:val="single" w:sz="4" w:space="0" w:color="auto"/>
              <w:right w:val="single" w:sz="4" w:space="0" w:color="auto"/>
            </w:tcBorders>
            <w:shd w:val="clear" w:color="auto" w:fill="auto"/>
            <w:hideMark/>
          </w:tcPr>
          <w:p w:rsidR="00E46F08" w:rsidRPr="00484060" w:rsidRDefault="00E46F08" w:rsidP="007748E9">
            <w:pPr>
              <w:jc w:val="center"/>
              <w:rPr>
                <w:lang w:eastAsia="en-US"/>
              </w:rPr>
            </w:pPr>
            <w:r w:rsidRPr="00484060">
              <w:rPr>
                <w:lang w:eastAsia="en-US"/>
              </w:rPr>
              <w:t>миллионов рублей</w:t>
            </w:r>
          </w:p>
        </w:tc>
        <w:tc>
          <w:tcPr>
            <w:tcW w:w="36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13 184,8</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17 759,2</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14 869,4</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15 385,0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15 472,3</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16 245,9</w:t>
            </w:r>
          </w:p>
        </w:tc>
        <w:tc>
          <w:tcPr>
            <w:tcW w:w="447"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17 058,2</w:t>
            </w:r>
          </w:p>
        </w:tc>
      </w:tr>
      <w:tr w:rsidR="00E46F08" w:rsidRPr="00881766" w:rsidTr="007748E9">
        <w:trPr>
          <w:gridAfter w:val="1"/>
          <w:wAfter w:w="5" w:type="pct"/>
          <w:trHeight w:val="660"/>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jc w:val="center"/>
              <w:rPr>
                <w:lang w:eastAsia="en-US"/>
              </w:rPr>
            </w:pPr>
            <w:r w:rsidRPr="00484060">
              <w:rPr>
                <w:lang w:eastAsia="en-US"/>
              </w:rPr>
              <w:t>5.</w:t>
            </w:r>
          </w:p>
        </w:tc>
        <w:tc>
          <w:tcPr>
            <w:tcW w:w="1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rPr>
                <w:lang w:eastAsia="en-US"/>
              </w:rPr>
            </w:pPr>
            <w:r w:rsidRPr="00484060">
              <w:rPr>
                <w:lang w:eastAsia="en-US"/>
              </w:rPr>
              <w:t>Объем сельскохозяйственного производства (в действующих ценах)</w:t>
            </w:r>
            <w:r w:rsidRPr="00484060">
              <w:rPr>
                <w:vertAlign w:val="superscript"/>
                <w:lang w:eastAsia="en-US"/>
              </w:rPr>
              <w:t>2</w:t>
            </w:r>
          </w:p>
        </w:tc>
        <w:tc>
          <w:tcPr>
            <w:tcW w:w="469" w:type="pct"/>
            <w:tcBorders>
              <w:top w:val="single" w:sz="4" w:space="0" w:color="auto"/>
              <w:left w:val="single" w:sz="4" w:space="0" w:color="auto"/>
              <w:bottom w:val="single" w:sz="4" w:space="0" w:color="auto"/>
              <w:right w:val="single" w:sz="4" w:space="0" w:color="auto"/>
            </w:tcBorders>
            <w:shd w:val="clear" w:color="auto" w:fill="auto"/>
            <w:hideMark/>
          </w:tcPr>
          <w:p w:rsidR="00E46F08" w:rsidRPr="00484060" w:rsidRDefault="00E46F08" w:rsidP="007748E9">
            <w:pPr>
              <w:jc w:val="center"/>
              <w:rPr>
                <w:lang w:eastAsia="en-US"/>
              </w:rPr>
            </w:pPr>
            <w:r w:rsidRPr="00484060">
              <w:rPr>
                <w:lang w:eastAsia="en-US"/>
              </w:rPr>
              <w:t>миллионов рублей</w:t>
            </w:r>
          </w:p>
        </w:tc>
        <w:tc>
          <w:tcPr>
            <w:tcW w:w="36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2 974,6</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4 630,9</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4 225,9</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4 996,9</w:t>
            </w:r>
          </w:p>
        </w:tc>
        <w:tc>
          <w:tcPr>
            <w:tcW w:w="48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5 111,2</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5 520,1</w:t>
            </w:r>
          </w:p>
        </w:tc>
        <w:tc>
          <w:tcPr>
            <w:tcW w:w="447"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5 961,7</w:t>
            </w:r>
          </w:p>
        </w:tc>
      </w:tr>
      <w:tr w:rsidR="00E46F08" w:rsidRPr="00881766" w:rsidTr="007748E9">
        <w:trPr>
          <w:gridAfter w:val="1"/>
          <w:wAfter w:w="5" w:type="pct"/>
          <w:trHeight w:val="660"/>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jc w:val="center"/>
              <w:rPr>
                <w:lang w:eastAsia="en-US"/>
              </w:rPr>
            </w:pPr>
            <w:r w:rsidRPr="00484060">
              <w:rPr>
                <w:lang w:eastAsia="en-US"/>
              </w:rPr>
              <w:t>6.</w:t>
            </w:r>
          </w:p>
        </w:tc>
        <w:tc>
          <w:tcPr>
            <w:tcW w:w="1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rPr>
                <w:lang w:eastAsia="en-US"/>
              </w:rPr>
            </w:pPr>
            <w:r w:rsidRPr="00484060">
              <w:rPr>
                <w:lang w:eastAsia="en-US"/>
              </w:rPr>
              <w:t>Инвестиции в основной капитал (в действующих ценах)</w:t>
            </w:r>
            <w:r w:rsidRPr="00484060">
              <w:rPr>
                <w:vertAlign w:val="superscript"/>
                <w:lang w:eastAsia="en-US"/>
              </w:rPr>
              <w:t>3</w:t>
            </w:r>
          </w:p>
        </w:tc>
        <w:tc>
          <w:tcPr>
            <w:tcW w:w="469" w:type="pct"/>
            <w:tcBorders>
              <w:top w:val="single" w:sz="4" w:space="0" w:color="auto"/>
              <w:left w:val="single" w:sz="4" w:space="0" w:color="auto"/>
              <w:bottom w:val="single" w:sz="4" w:space="0" w:color="auto"/>
              <w:right w:val="single" w:sz="4" w:space="0" w:color="auto"/>
            </w:tcBorders>
            <w:shd w:val="clear" w:color="auto" w:fill="auto"/>
            <w:hideMark/>
          </w:tcPr>
          <w:p w:rsidR="00E46F08" w:rsidRPr="00484060" w:rsidRDefault="00E46F08" w:rsidP="007748E9">
            <w:pPr>
              <w:jc w:val="center"/>
              <w:rPr>
                <w:lang w:eastAsia="en-US"/>
              </w:rPr>
            </w:pPr>
            <w:r w:rsidRPr="00484060">
              <w:rPr>
                <w:lang w:eastAsia="en-US"/>
              </w:rPr>
              <w:t>миллионов рублей</w:t>
            </w:r>
          </w:p>
        </w:tc>
        <w:tc>
          <w:tcPr>
            <w:tcW w:w="36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1 775,0</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2 263,8</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iCs/>
                <w:lang w:eastAsia="en-US"/>
              </w:rPr>
            </w:pPr>
            <w:r w:rsidRPr="001213EB">
              <w:rPr>
                <w:color w:val="000000"/>
              </w:rPr>
              <w:t>2 578,2</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2 415,9</w:t>
            </w:r>
          </w:p>
        </w:tc>
        <w:tc>
          <w:tcPr>
            <w:tcW w:w="48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2 272,8</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2 545,5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2 851,0</w:t>
            </w:r>
          </w:p>
        </w:tc>
      </w:tr>
      <w:tr w:rsidR="00E46F08" w:rsidRPr="00881766" w:rsidTr="007748E9">
        <w:trPr>
          <w:gridAfter w:val="1"/>
          <w:wAfter w:w="5" w:type="pct"/>
          <w:trHeight w:val="660"/>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jc w:val="center"/>
              <w:rPr>
                <w:lang w:eastAsia="en-US"/>
              </w:rPr>
            </w:pPr>
            <w:r w:rsidRPr="00484060">
              <w:rPr>
                <w:lang w:eastAsia="en-US"/>
              </w:rPr>
              <w:lastRenderedPageBreak/>
              <w:t>7.</w:t>
            </w:r>
          </w:p>
        </w:tc>
        <w:tc>
          <w:tcPr>
            <w:tcW w:w="1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rPr>
                <w:lang w:eastAsia="en-US"/>
              </w:rPr>
            </w:pPr>
            <w:r w:rsidRPr="00484060">
              <w:rPr>
                <w:lang w:eastAsia="en-US"/>
              </w:rPr>
              <w:t>Объем розничного товарооборота (в действующих ценах)</w:t>
            </w:r>
            <w:r w:rsidRPr="00484060">
              <w:rPr>
                <w:vertAlign w:val="superscript"/>
                <w:lang w:eastAsia="en-US"/>
              </w:rPr>
              <w:t>4</w:t>
            </w:r>
          </w:p>
        </w:tc>
        <w:tc>
          <w:tcPr>
            <w:tcW w:w="469" w:type="pct"/>
            <w:tcBorders>
              <w:top w:val="single" w:sz="4" w:space="0" w:color="auto"/>
              <w:left w:val="single" w:sz="4" w:space="0" w:color="auto"/>
              <w:bottom w:val="single" w:sz="4" w:space="0" w:color="auto"/>
              <w:right w:val="single" w:sz="4" w:space="0" w:color="auto"/>
            </w:tcBorders>
            <w:shd w:val="clear" w:color="auto" w:fill="auto"/>
            <w:hideMark/>
          </w:tcPr>
          <w:p w:rsidR="00E46F08" w:rsidRPr="00484060" w:rsidRDefault="00E46F08" w:rsidP="007748E9">
            <w:pPr>
              <w:jc w:val="center"/>
              <w:rPr>
                <w:lang w:eastAsia="en-US"/>
              </w:rPr>
            </w:pPr>
            <w:r w:rsidRPr="00484060">
              <w:rPr>
                <w:lang w:eastAsia="en-US"/>
              </w:rPr>
              <w:t>миллионов рублей</w:t>
            </w:r>
          </w:p>
        </w:tc>
        <w:tc>
          <w:tcPr>
            <w:tcW w:w="36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7 614,1</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9 077,4</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9 617,5</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10 649,2</w:t>
            </w:r>
          </w:p>
        </w:tc>
        <w:tc>
          <w:tcPr>
            <w:tcW w:w="48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11 193,2</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11 976,7</w:t>
            </w:r>
          </w:p>
        </w:tc>
        <w:tc>
          <w:tcPr>
            <w:tcW w:w="447"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12 815,1</w:t>
            </w:r>
          </w:p>
        </w:tc>
      </w:tr>
      <w:tr w:rsidR="00E46F08" w:rsidRPr="00881766" w:rsidTr="007748E9">
        <w:trPr>
          <w:gridAfter w:val="1"/>
          <w:wAfter w:w="5" w:type="pct"/>
          <w:trHeight w:val="300"/>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jc w:val="center"/>
              <w:rPr>
                <w:lang w:eastAsia="en-US"/>
              </w:rPr>
            </w:pPr>
            <w:r w:rsidRPr="00484060">
              <w:rPr>
                <w:lang w:eastAsia="en-US"/>
              </w:rPr>
              <w:t>8.</w:t>
            </w:r>
          </w:p>
        </w:tc>
        <w:tc>
          <w:tcPr>
            <w:tcW w:w="1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rPr>
                <w:lang w:eastAsia="en-US"/>
              </w:rPr>
            </w:pPr>
            <w:r w:rsidRPr="00484060">
              <w:rPr>
                <w:lang w:eastAsia="en-US"/>
              </w:rPr>
              <w:t>Внешнеторговый оборот</w:t>
            </w:r>
            <w:r w:rsidRPr="00484060">
              <w:rPr>
                <w:vertAlign w:val="superscript"/>
                <w:lang w:eastAsia="en-US"/>
              </w:rPr>
              <w:t>5</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jc w:val="center"/>
              <w:rPr>
                <w:lang w:eastAsia="en-US"/>
              </w:rPr>
            </w:pPr>
            <w:r w:rsidRPr="00484060">
              <w:rPr>
                <w:lang w:eastAsia="en-US"/>
              </w:rPr>
              <w:t>миллионов долларов</w:t>
            </w:r>
          </w:p>
        </w:tc>
        <w:tc>
          <w:tcPr>
            <w:tcW w:w="36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1 685,8</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2 584,9</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3 221,0</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3 265,6</w:t>
            </w:r>
          </w:p>
        </w:tc>
        <w:tc>
          <w:tcPr>
            <w:tcW w:w="48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2 991,2</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3 174,7</w:t>
            </w:r>
          </w:p>
        </w:tc>
        <w:tc>
          <w:tcPr>
            <w:tcW w:w="447"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3 369,5</w:t>
            </w:r>
          </w:p>
        </w:tc>
      </w:tr>
      <w:tr w:rsidR="00E46F08" w:rsidRPr="00881766" w:rsidTr="007748E9">
        <w:trPr>
          <w:gridAfter w:val="1"/>
          <w:wAfter w:w="5" w:type="pct"/>
          <w:trHeight w:val="480"/>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jc w:val="center"/>
              <w:rPr>
                <w:lang w:eastAsia="en-US"/>
              </w:rPr>
            </w:pPr>
            <w:r w:rsidRPr="00484060">
              <w:rPr>
                <w:lang w:eastAsia="en-US"/>
              </w:rPr>
              <w:t>9.</w:t>
            </w:r>
          </w:p>
        </w:tc>
        <w:tc>
          <w:tcPr>
            <w:tcW w:w="1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rPr>
                <w:lang w:eastAsia="en-US"/>
              </w:rPr>
            </w:pPr>
            <w:r w:rsidRPr="00484060">
              <w:rPr>
                <w:lang w:eastAsia="en-US"/>
              </w:rPr>
              <w:t>Инфляция</w:t>
            </w:r>
            <w:r w:rsidRPr="00484060">
              <w:rPr>
                <w:vertAlign w:val="superscript"/>
                <w:lang w:eastAsia="en-US"/>
              </w:rPr>
              <w:t>6</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jc w:val="center"/>
              <w:rPr>
                <w:lang w:eastAsia="en-US"/>
              </w:rPr>
            </w:pPr>
            <w:r w:rsidRPr="00484060">
              <w:rPr>
                <w:lang w:eastAsia="en-US"/>
              </w:rPr>
              <w:t>%</w:t>
            </w:r>
          </w:p>
        </w:tc>
        <w:tc>
          <w:tcPr>
            <w:tcW w:w="36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1,5</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7,4</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13,2</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8-10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5,0 (±1п.п.)</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4,5 (±1п.п.)</w:t>
            </w:r>
          </w:p>
        </w:tc>
        <w:tc>
          <w:tcPr>
            <w:tcW w:w="447"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4,0 (±1п.п.)</w:t>
            </w:r>
          </w:p>
        </w:tc>
      </w:tr>
      <w:tr w:rsidR="00E46F08" w:rsidRPr="00881766" w:rsidTr="007748E9">
        <w:trPr>
          <w:gridAfter w:val="1"/>
          <w:wAfter w:w="5" w:type="pct"/>
          <w:trHeight w:val="480"/>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jc w:val="center"/>
              <w:rPr>
                <w:lang w:eastAsia="en-US"/>
              </w:rPr>
            </w:pPr>
            <w:r w:rsidRPr="00484060">
              <w:rPr>
                <w:lang w:eastAsia="en-US"/>
              </w:rPr>
              <w:t>10.</w:t>
            </w:r>
          </w:p>
        </w:tc>
        <w:tc>
          <w:tcPr>
            <w:tcW w:w="1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rPr>
                <w:lang w:eastAsia="en-US"/>
              </w:rPr>
            </w:pPr>
            <w:r w:rsidRPr="00484060">
              <w:rPr>
                <w:lang w:eastAsia="en-US"/>
              </w:rPr>
              <w:t>Индекс цен на промышленную продукцию</w:t>
            </w:r>
            <w:r w:rsidRPr="00484060">
              <w:rPr>
                <w:vertAlign w:val="superscript"/>
                <w:lang w:eastAsia="en-US"/>
              </w:rPr>
              <w:t>6</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jc w:val="center"/>
              <w:rPr>
                <w:lang w:eastAsia="en-US"/>
              </w:rPr>
            </w:pPr>
            <w:r w:rsidRPr="00484060">
              <w:rPr>
                <w:lang w:eastAsia="en-US"/>
              </w:rPr>
              <w:t>%</w:t>
            </w:r>
          </w:p>
        </w:tc>
        <w:tc>
          <w:tcPr>
            <w:tcW w:w="36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5,0</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11,4</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11,1</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6-8</w:t>
            </w:r>
          </w:p>
        </w:tc>
        <w:tc>
          <w:tcPr>
            <w:tcW w:w="48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4,0 (±1п.п.)</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3,5 (±1п.п.)</w:t>
            </w:r>
          </w:p>
        </w:tc>
        <w:tc>
          <w:tcPr>
            <w:tcW w:w="447"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3,0 (±1п.п.)</w:t>
            </w:r>
          </w:p>
        </w:tc>
      </w:tr>
      <w:tr w:rsidR="00E46F08" w:rsidRPr="00881766" w:rsidTr="007748E9">
        <w:trPr>
          <w:gridAfter w:val="1"/>
          <w:wAfter w:w="5" w:type="pct"/>
          <w:trHeight w:val="480"/>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jc w:val="center"/>
              <w:rPr>
                <w:lang w:eastAsia="en-US"/>
              </w:rPr>
            </w:pPr>
            <w:r w:rsidRPr="00484060">
              <w:rPr>
                <w:lang w:eastAsia="en-US"/>
              </w:rPr>
              <w:t>11.</w:t>
            </w:r>
          </w:p>
        </w:tc>
        <w:tc>
          <w:tcPr>
            <w:tcW w:w="1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rPr>
                <w:lang w:eastAsia="en-US"/>
              </w:rPr>
            </w:pPr>
            <w:r w:rsidRPr="00484060">
              <w:rPr>
                <w:lang w:eastAsia="en-US"/>
              </w:rPr>
              <w:t>Доходы государственного бюджета</w:t>
            </w:r>
          </w:p>
        </w:tc>
        <w:tc>
          <w:tcPr>
            <w:tcW w:w="469" w:type="pct"/>
            <w:tcBorders>
              <w:top w:val="single" w:sz="4" w:space="0" w:color="auto"/>
              <w:left w:val="single" w:sz="4" w:space="0" w:color="auto"/>
              <w:bottom w:val="single" w:sz="4" w:space="0" w:color="auto"/>
              <w:right w:val="single" w:sz="4" w:space="0" w:color="auto"/>
            </w:tcBorders>
            <w:shd w:val="clear" w:color="auto" w:fill="auto"/>
            <w:hideMark/>
          </w:tcPr>
          <w:p w:rsidR="00E46F08" w:rsidRPr="00484060" w:rsidRDefault="00E46F08" w:rsidP="007748E9">
            <w:pPr>
              <w:jc w:val="center"/>
              <w:rPr>
                <w:lang w:eastAsia="en-US"/>
              </w:rPr>
            </w:pPr>
            <w:r w:rsidRPr="00484060">
              <w:rPr>
                <w:lang w:eastAsia="en-US"/>
              </w:rPr>
              <w:t>миллионов рублей</w:t>
            </w:r>
          </w:p>
        </w:tc>
        <w:tc>
          <w:tcPr>
            <w:tcW w:w="36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2 914,2</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196"/>
              <w:jc w:val="center"/>
              <w:rPr>
                <w:lang w:eastAsia="en-US"/>
              </w:rPr>
            </w:pPr>
            <w:r w:rsidRPr="001213EB">
              <w:rPr>
                <w:color w:val="000000"/>
              </w:rPr>
              <w:t>3 386,9</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3 568,3</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3 936,3</w:t>
            </w:r>
          </w:p>
        </w:tc>
        <w:tc>
          <w:tcPr>
            <w:tcW w:w="48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4 058,1</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4 240,7</w:t>
            </w:r>
          </w:p>
        </w:tc>
        <w:tc>
          <w:tcPr>
            <w:tcW w:w="447"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4 410,4</w:t>
            </w:r>
          </w:p>
        </w:tc>
      </w:tr>
      <w:tr w:rsidR="00E46F08" w:rsidRPr="00881766" w:rsidTr="007748E9">
        <w:trPr>
          <w:gridAfter w:val="1"/>
          <w:wAfter w:w="5" w:type="pct"/>
          <w:trHeight w:val="480"/>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jc w:val="center"/>
              <w:rPr>
                <w:lang w:eastAsia="en-US"/>
              </w:rPr>
            </w:pPr>
            <w:r w:rsidRPr="00484060">
              <w:rPr>
                <w:lang w:eastAsia="en-US"/>
              </w:rPr>
              <w:t>11.1.</w:t>
            </w:r>
          </w:p>
        </w:tc>
        <w:tc>
          <w:tcPr>
            <w:tcW w:w="1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rPr>
                <w:lang w:eastAsia="en-US"/>
              </w:rPr>
            </w:pPr>
            <w:r w:rsidRPr="00484060">
              <w:rPr>
                <w:lang w:eastAsia="en-US"/>
              </w:rPr>
              <w:t xml:space="preserve"> в том числе текущие доходы</w:t>
            </w:r>
          </w:p>
        </w:tc>
        <w:tc>
          <w:tcPr>
            <w:tcW w:w="469" w:type="pct"/>
            <w:tcBorders>
              <w:top w:val="single" w:sz="4" w:space="0" w:color="auto"/>
              <w:left w:val="single" w:sz="4" w:space="0" w:color="auto"/>
              <w:bottom w:val="single" w:sz="4" w:space="0" w:color="auto"/>
              <w:right w:val="single" w:sz="4" w:space="0" w:color="auto"/>
            </w:tcBorders>
            <w:shd w:val="clear" w:color="auto" w:fill="auto"/>
            <w:hideMark/>
          </w:tcPr>
          <w:p w:rsidR="00E46F08" w:rsidRPr="00484060" w:rsidRDefault="00E46F08" w:rsidP="007748E9">
            <w:pPr>
              <w:jc w:val="center"/>
              <w:rPr>
                <w:lang w:eastAsia="en-US"/>
              </w:rPr>
            </w:pPr>
            <w:r w:rsidRPr="00484060">
              <w:rPr>
                <w:lang w:eastAsia="en-US"/>
              </w:rPr>
              <w:t>миллионов рублей</w:t>
            </w:r>
          </w:p>
        </w:tc>
        <w:tc>
          <w:tcPr>
            <w:tcW w:w="36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2 199,5</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2 597,6</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2 866,4</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3 024,2</w:t>
            </w:r>
          </w:p>
        </w:tc>
        <w:tc>
          <w:tcPr>
            <w:tcW w:w="48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3 295,8</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3 498,8</w:t>
            </w:r>
          </w:p>
        </w:tc>
        <w:tc>
          <w:tcPr>
            <w:tcW w:w="447"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3 724,8</w:t>
            </w:r>
          </w:p>
        </w:tc>
      </w:tr>
      <w:tr w:rsidR="00E46F08" w:rsidRPr="00881766" w:rsidTr="007748E9">
        <w:trPr>
          <w:gridAfter w:val="1"/>
          <w:wAfter w:w="5" w:type="pct"/>
          <w:trHeight w:val="480"/>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jc w:val="center"/>
              <w:rPr>
                <w:lang w:eastAsia="en-US"/>
              </w:rPr>
            </w:pPr>
            <w:r w:rsidRPr="00484060">
              <w:rPr>
                <w:lang w:eastAsia="en-US"/>
              </w:rPr>
              <w:t>11.2.</w:t>
            </w:r>
          </w:p>
        </w:tc>
        <w:tc>
          <w:tcPr>
            <w:tcW w:w="1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rPr>
                <w:lang w:eastAsia="en-US"/>
              </w:rPr>
            </w:pPr>
            <w:r w:rsidRPr="00484060">
              <w:rPr>
                <w:lang w:eastAsia="en-US"/>
              </w:rPr>
              <w:t xml:space="preserve"> доходы от продажи основного капитала</w:t>
            </w:r>
          </w:p>
        </w:tc>
        <w:tc>
          <w:tcPr>
            <w:tcW w:w="469" w:type="pct"/>
            <w:tcBorders>
              <w:top w:val="single" w:sz="4" w:space="0" w:color="auto"/>
              <w:left w:val="single" w:sz="4" w:space="0" w:color="auto"/>
              <w:bottom w:val="single" w:sz="4" w:space="0" w:color="auto"/>
              <w:right w:val="single" w:sz="4" w:space="0" w:color="auto"/>
            </w:tcBorders>
            <w:shd w:val="clear" w:color="auto" w:fill="auto"/>
            <w:hideMark/>
          </w:tcPr>
          <w:p w:rsidR="00E46F08" w:rsidRPr="00484060" w:rsidRDefault="00E46F08" w:rsidP="007748E9">
            <w:pPr>
              <w:jc w:val="center"/>
              <w:rPr>
                <w:lang w:eastAsia="en-US"/>
              </w:rPr>
            </w:pPr>
            <w:r w:rsidRPr="00484060">
              <w:rPr>
                <w:lang w:eastAsia="en-US"/>
              </w:rPr>
              <w:t>миллионов рублей</w:t>
            </w:r>
          </w:p>
        </w:tc>
        <w:tc>
          <w:tcPr>
            <w:tcW w:w="36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17,6</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25,9</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56,6</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38,4</w:t>
            </w:r>
          </w:p>
        </w:tc>
        <w:tc>
          <w:tcPr>
            <w:tcW w:w="48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25,0</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25,0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25,0</w:t>
            </w:r>
          </w:p>
        </w:tc>
      </w:tr>
      <w:tr w:rsidR="00E46F08" w:rsidRPr="00881766" w:rsidTr="007748E9">
        <w:trPr>
          <w:gridAfter w:val="1"/>
          <w:wAfter w:w="5" w:type="pct"/>
          <w:trHeight w:val="480"/>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jc w:val="center"/>
              <w:rPr>
                <w:lang w:eastAsia="en-US"/>
              </w:rPr>
            </w:pPr>
            <w:r w:rsidRPr="00484060">
              <w:rPr>
                <w:lang w:eastAsia="en-US"/>
              </w:rPr>
              <w:t>12.</w:t>
            </w:r>
          </w:p>
        </w:tc>
        <w:tc>
          <w:tcPr>
            <w:tcW w:w="1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rPr>
                <w:lang w:eastAsia="en-US"/>
              </w:rPr>
            </w:pPr>
            <w:r w:rsidRPr="00484060">
              <w:rPr>
                <w:lang w:eastAsia="en-US"/>
              </w:rPr>
              <w:t>Расходы государственного бюджета</w:t>
            </w:r>
          </w:p>
        </w:tc>
        <w:tc>
          <w:tcPr>
            <w:tcW w:w="469" w:type="pct"/>
            <w:tcBorders>
              <w:top w:val="single" w:sz="4" w:space="0" w:color="auto"/>
              <w:left w:val="single" w:sz="4" w:space="0" w:color="auto"/>
              <w:bottom w:val="single" w:sz="4" w:space="0" w:color="auto"/>
              <w:right w:val="single" w:sz="4" w:space="0" w:color="auto"/>
            </w:tcBorders>
            <w:shd w:val="clear" w:color="auto" w:fill="auto"/>
            <w:hideMark/>
          </w:tcPr>
          <w:p w:rsidR="00E46F08" w:rsidRPr="00484060" w:rsidRDefault="00E46F08" w:rsidP="007748E9">
            <w:pPr>
              <w:jc w:val="center"/>
              <w:rPr>
                <w:lang w:eastAsia="en-US"/>
              </w:rPr>
            </w:pPr>
            <w:r w:rsidRPr="00484060">
              <w:rPr>
                <w:lang w:eastAsia="en-US"/>
              </w:rPr>
              <w:t>миллионов рублей</w:t>
            </w:r>
          </w:p>
        </w:tc>
        <w:tc>
          <w:tcPr>
            <w:tcW w:w="36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178"/>
              <w:jc w:val="center"/>
              <w:rPr>
                <w:lang w:eastAsia="en-US"/>
              </w:rPr>
            </w:pPr>
            <w:r w:rsidRPr="001213EB">
              <w:rPr>
                <w:color w:val="000000"/>
              </w:rPr>
              <w:t>4 765,8</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196" w:right="-99"/>
              <w:jc w:val="center"/>
              <w:rPr>
                <w:lang w:eastAsia="en-US"/>
              </w:rPr>
            </w:pPr>
            <w:r w:rsidRPr="001213EB">
              <w:rPr>
                <w:color w:val="000000"/>
              </w:rPr>
              <w:t>5 300,4</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113"/>
              <w:jc w:val="center"/>
              <w:rPr>
                <w:lang w:eastAsia="en-US"/>
              </w:rPr>
            </w:pPr>
            <w:r w:rsidRPr="001213EB">
              <w:rPr>
                <w:color w:val="000000"/>
              </w:rPr>
              <w:t>5 585,0</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6 635,6</w:t>
            </w:r>
          </w:p>
        </w:tc>
        <w:tc>
          <w:tcPr>
            <w:tcW w:w="48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6 967,4</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7 280,9</w:t>
            </w:r>
          </w:p>
        </w:tc>
        <w:tc>
          <w:tcPr>
            <w:tcW w:w="447"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7 572,1</w:t>
            </w:r>
          </w:p>
        </w:tc>
      </w:tr>
      <w:tr w:rsidR="00E46F08" w:rsidRPr="00881766" w:rsidTr="007748E9">
        <w:trPr>
          <w:gridAfter w:val="1"/>
          <w:wAfter w:w="5" w:type="pct"/>
          <w:trHeight w:val="480"/>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jc w:val="center"/>
              <w:rPr>
                <w:lang w:eastAsia="en-US"/>
              </w:rPr>
            </w:pPr>
            <w:r w:rsidRPr="00484060">
              <w:rPr>
                <w:lang w:eastAsia="en-US"/>
              </w:rPr>
              <w:t>13.</w:t>
            </w:r>
          </w:p>
        </w:tc>
        <w:tc>
          <w:tcPr>
            <w:tcW w:w="1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rPr>
                <w:lang w:eastAsia="en-US"/>
              </w:rPr>
            </w:pPr>
            <w:r w:rsidRPr="00484060">
              <w:rPr>
                <w:lang w:eastAsia="en-US"/>
              </w:rPr>
              <w:t>Дефицит государственного бюджета</w:t>
            </w:r>
          </w:p>
        </w:tc>
        <w:tc>
          <w:tcPr>
            <w:tcW w:w="469" w:type="pct"/>
            <w:tcBorders>
              <w:top w:val="single" w:sz="4" w:space="0" w:color="auto"/>
              <w:left w:val="single" w:sz="4" w:space="0" w:color="auto"/>
              <w:bottom w:val="single" w:sz="4" w:space="0" w:color="auto"/>
              <w:right w:val="single" w:sz="4" w:space="0" w:color="auto"/>
            </w:tcBorders>
            <w:shd w:val="clear" w:color="auto" w:fill="auto"/>
            <w:hideMark/>
          </w:tcPr>
          <w:p w:rsidR="00E46F08" w:rsidRPr="00484060" w:rsidRDefault="00E46F08" w:rsidP="007748E9">
            <w:pPr>
              <w:jc w:val="center"/>
              <w:rPr>
                <w:lang w:eastAsia="en-US"/>
              </w:rPr>
            </w:pPr>
            <w:r w:rsidRPr="00484060">
              <w:rPr>
                <w:lang w:eastAsia="en-US"/>
              </w:rPr>
              <w:t>миллионов рублей</w:t>
            </w:r>
          </w:p>
        </w:tc>
        <w:tc>
          <w:tcPr>
            <w:tcW w:w="36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178"/>
              <w:jc w:val="center"/>
              <w:rPr>
                <w:lang w:eastAsia="en-US"/>
              </w:rPr>
            </w:pPr>
            <w:r w:rsidRPr="001213EB">
              <w:rPr>
                <w:color w:val="000000"/>
              </w:rPr>
              <w:t>1 851,6</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196" w:right="-99"/>
              <w:jc w:val="center"/>
              <w:rPr>
                <w:lang w:eastAsia="en-US"/>
              </w:rPr>
            </w:pPr>
            <w:r w:rsidRPr="001213EB">
              <w:rPr>
                <w:color w:val="000000"/>
              </w:rPr>
              <w:t>1 913,5</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113"/>
              <w:jc w:val="center"/>
              <w:rPr>
                <w:lang w:eastAsia="en-US"/>
              </w:rPr>
            </w:pPr>
            <w:r w:rsidRPr="001213EB">
              <w:rPr>
                <w:color w:val="000000"/>
              </w:rPr>
              <w:t>2 016,7</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2 699,3</w:t>
            </w:r>
          </w:p>
        </w:tc>
        <w:tc>
          <w:tcPr>
            <w:tcW w:w="48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2 909,3</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3 040,2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3 161,8</w:t>
            </w:r>
          </w:p>
        </w:tc>
      </w:tr>
      <w:tr w:rsidR="00E46F08" w:rsidRPr="00881766" w:rsidTr="007748E9">
        <w:trPr>
          <w:gridAfter w:val="1"/>
          <w:wAfter w:w="5" w:type="pct"/>
          <w:trHeight w:val="465"/>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jc w:val="center"/>
              <w:rPr>
                <w:lang w:eastAsia="en-US"/>
              </w:rPr>
            </w:pPr>
            <w:r w:rsidRPr="00484060">
              <w:rPr>
                <w:lang w:eastAsia="en-US"/>
              </w:rPr>
              <w:t>14.</w:t>
            </w:r>
          </w:p>
        </w:tc>
        <w:tc>
          <w:tcPr>
            <w:tcW w:w="1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rPr>
                <w:lang w:eastAsia="en-US"/>
              </w:rPr>
            </w:pPr>
            <w:r w:rsidRPr="00484060">
              <w:rPr>
                <w:lang w:eastAsia="en-US"/>
              </w:rPr>
              <w:t>Налоговая нагрузка государственного бюджета на рубль объема промышленного и сельскохозяйственного производства</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jc w:val="center"/>
              <w:rPr>
                <w:lang w:eastAsia="en-US"/>
              </w:rPr>
            </w:pPr>
            <w:r w:rsidRPr="00484060">
              <w:rPr>
                <w:lang w:eastAsia="en-US"/>
              </w:rPr>
              <w:t>%</w:t>
            </w:r>
          </w:p>
        </w:tc>
        <w:tc>
          <w:tcPr>
            <w:tcW w:w="36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15,6</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13,3</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16,4</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16,5</w:t>
            </w:r>
          </w:p>
        </w:tc>
        <w:tc>
          <w:tcPr>
            <w:tcW w:w="48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17,8</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17,8</w:t>
            </w:r>
          </w:p>
        </w:tc>
        <w:tc>
          <w:tcPr>
            <w:tcW w:w="447"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17,9</w:t>
            </w:r>
          </w:p>
        </w:tc>
      </w:tr>
      <w:tr w:rsidR="00E46F08" w:rsidRPr="00881766" w:rsidTr="007748E9">
        <w:trPr>
          <w:gridAfter w:val="1"/>
          <w:wAfter w:w="5" w:type="pct"/>
          <w:trHeight w:val="465"/>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jc w:val="center"/>
              <w:rPr>
                <w:lang w:eastAsia="en-US"/>
              </w:rPr>
            </w:pPr>
            <w:r w:rsidRPr="00484060">
              <w:rPr>
                <w:lang w:eastAsia="en-US"/>
              </w:rPr>
              <w:t>15.</w:t>
            </w:r>
          </w:p>
        </w:tc>
        <w:tc>
          <w:tcPr>
            <w:tcW w:w="1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rPr>
                <w:lang w:eastAsia="en-US"/>
              </w:rPr>
            </w:pPr>
            <w:r w:rsidRPr="00484060">
              <w:rPr>
                <w:lang w:eastAsia="en-US"/>
              </w:rPr>
              <w:t xml:space="preserve">Среднесписочная численность работающих </w:t>
            </w:r>
            <w:r w:rsidRPr="00484060">
              <w:rPr>
                <w:vertAlign w:val="superscript"/>
                <w:lang w:eastAsia="en-US"/>
              </w:rPr>
              <w:t>7</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jc w:val="center"/>
              <w:rPr>
                <w:lang w:eastAsia="en-US"/>
              </w:rPr>
            </w:pPr>
            <w:r w:rsidRPr="00484060">
              <w:rPr>
                <w:lang w:eastAsia="en-US"/>
              </w:rPr>
              <w:t>тысяч человек</w:t>
            </w:r>
          </w:p>
        </w:tc>
        <w:tc>
          <w:tcPr>
            <w:tcW w:w="36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109,8</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107,8</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105,3</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105,0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104,8</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104,6</w:t>
            </w:r>
          </w:p>
        </w:tc>
        <w:tc>
          <w:tcPr>
            <w:tcW w:w="447"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104,4</w:t>
            </w:r>
          </w:p>
        </w:tc>
      </w:tr>
      <w:tr w:rsidR="00E46F08" w:rsidRPr="00881766" w:rsidTr="007748E9">
        <w:trPr>
          <w:gridAfter w:val="1"/>
          <w:wAfter w:w="5" w:type="pct"/>
          <w:trHeight w:val="300"/>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jc w:val="center"/>
              <w:rPr>
                <w:lang w:eastAsia="en-US"/>
              </w:rPr>
            </w:pPr>
            <w:r w:rsidRPr="00484060">
              <w:rPr>
                <w:lang w:eastAsia="en-US"/>
              </w:rPr>
              <w:t>16.</w:t>
            </w:r>
          </w:p>
        </w:tc>
        <w:tc>
          <w:tcPr>
            <w:tcW w:w="1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rPr>
                <w:lang w:eastAsia="en-US"/>
              </w:rPr>
            </w:pPr>
            <w:r w:rsidRPr="00484060">
              <w:rPr>
                <w:lang w:eastAsia="en-US"/>
              </w:rPr>
              <w:t>Номинальная среднемесячная заработная плата 1 (одного) работника</w:t>
            </w:r>
            <w:r w:rsidRPr="00484060">
              <w:rPr>
                <w:vertAlign w:val="superscript"/>
                <w:lang w:eastAsia="en-US"/>
              </w:rPr>
              <w:t>8</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6F08" w:rsidRPr="00484060" w:rsidRDefault="00E46F08" w:rsidP="007748E9">
            <w:pPr>
              <w:jc w:val="center"/>
              <w:rPr>
                <w:lang w:eastAsia="en-US"/>
              </w:rPr>
            </w:pPr>
            <w:r w:rsidRPr="00484060">
              <w:rPr>
                <w:lang w:eastAsia="en-US"/>
              </w:rPr>
              <w:t>рублей</w:t>
            </w:r>
          </w:p>
        </w:tc>
        <w:tc>
          <w:tcPr>
            <w:tcW w:w="36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4 858,0</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5 345,0</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jc w:val="center"/>
              <w:rPr>
                <w:lang w:eastAsia="en-US"/>
              </w:rPr>
            </w:pPr>
            <w:r w:rsidRPr="001213EB">
              <w:rPr>
                <w:color w:val="000000"/>
              </w:rPr>
              <w:t>5 599,0</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5 962,9</w:t>
            </w:r>
          </w:p>
        </w:tc>
        <w:tc>
          <w:tcPr>
            <w:tcW w:w="48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6 290,9</w:t>
            </w: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6 794,2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1213EB" w:rsidRDefault="00E46F08" w:rsidP="007748E9">
            <w:pPr>
              <w:ind w:left="-62" w:right="-35"/>
              <w:jc w:val="center"/>
              <w:rPr>
                <w:lang w:eastAsia="en-US"/>
              </w:rPr>
            </w:pPr>
            <w:r w:rsidRPr="001213EB">
              <w:rPr>
                <w:color w:val="000000"/>
              </w:rPr>
              <w:t>7 337,7</w:t>
            </w:r>
          </w:p>
        </w:tc>
      </w:tr>
    </w:tbl>
    <w:p w:rsidR="00E46F08" w:rsidRPr="00484060" w:rsidRDefault="00E46F08" w:rsidP="00E46F08">
      <w:pPr>
        <w:ind w:firstLine="709"/>
        <w:jc w:val="both"/>
        <w:rPr>
          <w:sz w:val="28"/>
          <w:szCs w:val="28"/>
        </w:rPr>
      </w:pPr>
      <w:r w:rsidRPr="00484060">
        <w:rPr>
          <w:sz w:val="28"/>
          <w:szCs w:val="28"/>
        </w:rPr>
        <w:t>Примечани</w:t>
      </w:r>
      <w:r>
        <w:rPr>
          <w:sz w:val="28"/>
          <w:szCs w:val="28"/>
        </w:rPr>
        <w:t>е</w:t>
      </w:r>
      <w:r w:rsidRPr="00484060">
        <w:rPr>
          <w:sz w:val="28"/>
          <w:szCs w:val="28"/>
        </w:rPr>
        <w:t>:</w:t>
      </w:r>
    </w:p>
    <w:p w:rsidR="00E46F08" w:rsidRPr="00484060" w:rsidRDefault="00E46F08" w:rsidP="00E46F08">
      <w:pPr>
        <w:ind w:firstLine="709"/>
        <w:jc w:val="both"/>
        <w:rPr>
          <w:sz w:val="28"/>
          <w:szCs w:val="28"/>
        </w:rPr>
      </w:pPr>
      <w:r w:rsidRPr="00484060">
        <w:rPr>
          <w:sz w:val="28"/>
          <w:szCs w:val="28"/>
        </w:rPr>
        <w:t>1 – с учетом объемов субъектов малого предпринимательства, промышленных подразделений при непромышленных организациях, уточнен Государственной службой статистики Министерства экономического развития Приднестровской Молдавской Республики;</w:t>
      </w:r>
    </w:p>
    <w:p w:rsidR="00E46F08" w:rsidRPr="00484060" w:rsidRDefault="00E46F08" w:rsidP="00E46F08">
      <w:pPr>
        <w:ind w:firstLine="709"/>
        <w:jc w:val="both"/>
        <w:rPr>
          <w:sz w:val="28"/>
          <w:szCs w:val="28"/>
        </w:rPr>
      </w:pPr>
      <w:r w:rsidRPr="00484060">
        <w:rPr>
          <w:sz w:val="28"/>
          <w:szCs w:val="28"/>
        </w:rPr>
        <w:lastRenderedPageBreak/>
        <w:t>2 – во всех категориях хозяйств, уточнен Государственной службой статистики Министерства экономического развития Приднестровской Молдавской Республики;</w:t>
      </w:r>
      <w:r w:rsidRPr="00484060">
        <w:rPr>
          <w:sz w:val="28"/>
          <w:szCs w:val="28"/>
        </w:rPr>
        <w:tab/>
      </w:r>
    </w:p>
    <w:p w:rsidR="00E46F08" w:rsidRPr="00484060" w:rsidRDefault="00E46F08" w:rsidP="00E46F08">
      <w:pPr>
        <w:ind w:firstLine="709"/>
        <w:jc w:val="both"/>
        <w:rPr>
          <w:sz w:val="28"/>
          <w:szCs w:val="28"/>
        </w:rPr>
      </w:pPr>
      <w:r w:rsidRPr="00484060">
        <w:rPr>
          <w:sz w:val="28"/>
          <w:szCs w:val="28"/>
        </w:rPr>
        <w:t>3 – с учетом объемов субъектов малого предпринимательства и индивидуальных застройщиков;</w:t>
      </w:r>
    </w:p>
    <w:p w:rsidR="00E46F08" w:rsidRPr="00484060" w:rsidRDefault="00E46F08" w:rsidP="00E46F08">
      <w:pPr>
        <w:ind w:firstLine="709"/>
        <w:jc w:val="both"/>
        <w:rPr>
          <w:sz w:val="28"/>
          <w:szCs w:val="28"/>
        </w:rPr>
      </w:pPr>
      <w:r w:rsidRPr="00484060">
        <w:rPr>
          <w:sz w:val="28"/>
          <w:szCs w:val="28"/>
        </w:rPr>
        <w:t>4 – с учетом объемов субъектов малого предпринимательства и физических лиц (2020 год);</w:t>
      </w:r>
    </w:p>
    <w:p w:rsidR="00E46F08" w:rsidRPr="00484060" w:rsidRDefault="00E46F08" w:rsidP="00E46F08">
      <w:pPr>
        <w:ind w:firstLine="709"/>
        <w:jc w:val="both"/>
        <w:rPr>
          <w:sz w:val="28"/>
          <w:szCs w:val="28"/>
        </w:rPr>
      </w:pPr>
      <w:r w:rsidRPr="00484060">
        <w:rPr>
          <w:sz w:val="28"/>
          <w:szCs w:val="28"/>
        </w:rPr>
        <w:t>5 – данные Государственного таможенного комитета Приднестровской Молдавской Республики по итогам соответствующего года;</w:t>
      </w:r>
    </w:p>
    <w:p w:rsidR="00E46F08" w:rsidRPr="00484060" w:rsidRDefault="00E46F08" w:rsidP="00E46F08">
      <w:pPr>
        <w:ind w:firstLine="709"/>
        <w:jc w:val="both"/>
        <w:rPr>
          <w:sz w:val="28"/>
          <w:szCs w:val="28"/>
        </w:rPr>
      </w:pPr>
      <w:r w:rsidRPr="00484060">
        <w:rPr>
          <w:sz w:val="28"/>
          <w:szCs w:val="28"/>
        </w:rPr>
        <w:t>6 – к декабрю предыдущего года;</w:t>
      </w:r>
      <w:r w:rsidRPr="00484060">
        <w:rPr>
          <w:sz w:val="28"/>
          <w:szCs w:val="28"/>
        </w:rPr>
        <w:tab/>
      </w:r>
    </w:p>
    <w:p w:rsidR="00E46F08" w:rsidRPr="00484060" w:rsidRDefault="00E46F08" w:rsidP="00E46F08">
      <w:pPr>
        <w:ind w:firstLine="709"/>
        <w:jc w:val="both"/>
        <w:rPr>
          <w:sz w:val="28"/>
          <w:szCs w:val="28"/>
        </w:rPr>
      </w:pPr>
      <w:r w:rsidRPr="00484060">
        <w:rPr>
          <w:sz w:val="28"/>
          <w:szCs w:val="28"/>
        </w:rPr>
        <w:t>7 – с учетом субъектов малого предпринимательства и некоммерческих организаций и без учета Министерства внутренних дел Приднестровской Молдавской Республики, Министерства государственной безопасности Приднестровской Молдавской Республики, Министерства обороны Приднестровской Молдавской Республики, Следственного комитета Приднестровской Молдавской Республики, Государственной службы охраны Приднестровской Молдавской Республики, Государственной службы исполнения наказаний Министерства юстиции Приднестровской Молдавской Республики, миротворческих сил и таможенных органов республики;</w:t>
      </w:r>
    </w:p>
    <w:p w:rsidR="00E46F08" w:rsidRPr="00484060" w:rsidRDefault="00E46F08" w:rsidP="00E46F08">
      <w:pPr>
        <w:ind w:firstLine="709"/>
        <w:jc w:val="both"/>
        <w:rPr>
          <w:sz w:val="28"/>
          <w:szCs w:val="28"/>
        </w:rPr>
      </w:pPr>
      <w:r w:rsidRPr="00484060">
        <w:rPr>
          <w:sz w:val="28"/>
          <w:szCs w:val="28"/>
        </w:rPr>
        <w:t>8 – начисленная заработная плата, с учетом субъектов малого предпринимательства и некоммерческих организаций и без учета Министерства внутренних дел Приднестровской Молдавской Республики, Министерства государственной безопасности Приднестровской Молдавской Республики, Министерства обороны Приднестровской Молдавской Республики, Следственного комитета Приднестровской Молдавской Республики, Государственной службы охраны Приднестровской Молдавской Республики, Государственной службы исполнения наказаний Министерства юстиции Приднестровской Молдавской Республики, миротворческих сил и таможенных органов республики.</w:t>
      </w:r>
    </w:p>
    <w:p w:rsidR="00E46F08" w:rsidRDefault="00E46F08" w:rsidP="00E46F08">
      <w:pPr>
        <w:rPr>
          <w:sz w:val="28"/>
          <w:szCs w:val="28"/>
        </w:rPr>
      </w:pPr>
      <w:r w:rsidRPr="00484060">
        <w:rPr>
          <w:sz w:val="28"/>
          <w:szCs w:val="28"/>
        </w:rPr>
        <w:t xml:space="preserve">В некоторых случаях расхождения обусловлены округлением числовых </w:t>
      </w:r>
      <w:r w:rsidRPr="00B530DD">
        <w:rPr>
          <w:sz w:val="28"/>
          <w:szCs w:val="28"/>
        </w:rPr>
        <w:t>значений.»</w:t>
      </w:r>
    </w:p>
    <w:p w:rsidR="00E46F08" w:rsidRPr="00881766" w:rsidRDefault="00E46F08" w:rsidP="00E46F08">
      <w:pPr>
        <w:ind w:left="8505"/>
        <w:rPr>
          <w:sz w:val="28"/>
          <w:szCs w:val="28"/>
        </w:rPr>
      </w:pPr>
      <w:r>
        <w:rPr>
          <w:sz w:val="28"/>
          <w:szCs w:val="28"/>
        </w:rPr>
        <w:br w:type="page"/>
      </w:r>
      <w:r w:rsidRPr="00881766">
        <w:rPr>
          <w:sz w:val="28"/>
          <w:szCs w:val="28"/>
        </w:rPr>
        <w:lastRenderedPageBreak/>
        <w:t>«Приложение № 2</w:t>
      </w:r>
    </w:p>
    <w:p w:rsidR="00E46F08" w:rsidRPr="00881766" w:rsidRDefault="00E46F08" w:rsidP="00E46F08">
      <w:pPr>
        <w:widowControl w:val="0"/>
        <w:ind w:left="8505" w:right="111"/>
        <w:rPr>
          <w:sz w:val="28"/>
          <w:szCs w:val="28"/>
          <w:u w:color="000000"/>
        </w:rPr>
      </w:pPr>
      <w:r w:rsidRPr="00881766">
        <w:rPr>
          <w:rFonts w:eastAsia="MS Mincho"/>
          <w:sz w:val="28"/>
          <w:szCs w:val="28"/>
          <w:u w:color="000000"/>
        </w:rPr>
        <w:t xml:space="preserve">к </w:t>
      </w:r>
      <w:r w:rsidRPr="00881766">
        <w:rPr>
          <w:rFonts w:eastAsia="Arial Unicode MS"/>
          <w:sz w:val="28"/>
          <w:szCs w:val="28"/>
          <w:u w:color="000000"/>
        </w:rPr>
        <w:t>Концепции бюджетной и налоговой политики</w:t>
      </w:r>
    </w:p>
    <w:p w:rsidR="00E46F08" w:rsidRDefault="00E46F08" w:rsidP="00E46F08">
      <w:pPr>
        <w:widowControl w:val="0"/>
        <w:ind w:left="8505" w:right="-314"/>
        <w:rPr>
          <w:sz w:val="28"/>
          <w:szCs w:val="28"/>
        </w:rPr>
      </w:pPr>
      <w:r w:rsidRPr="00881766">
        <w:rPr>
          <w:sz w:val="28"/>
          <w:szCs w:val="28"/>
        </w:rPr>
        <w:t xml:space="preserve">Приднестровской Молдавской Республики </w:t>
      </w:r>
    </w:p>
    <w:p w:rsidR="00E46F08" w:rsidRPr="00881766" w:rsidRDefault="00E46F08" w:rsidP="00E46F08">
      <w:pPr>
        <w:widowControl w:val="0"/>
        <w:ind w:left="8505" w:right="-314"/>
        <w:rPr>
          <w:sz w:val="28"/>
          <w:szCs w:val="28"/>
        </w:rPr>
      </w:pPr>
      <w:r w:rsidRPr="00881766">
        <w:rPr>
          <w:sz w:val="28"/>
          <w:szCs w:val="28"/>
        </w:rPr>
        <w:t>на 2024 год и среднесрочную перспективу</w:t>
      </w:r>
    </w:p>
    <w:p w:rsidR="00E46F08" w:rsidRDefault="00E46F08" w:rsidP="00E46F08">
      <w:pPr>
        <w:widowControl w:val="0"/>
        <w:tabs>
          <w:tab w:val="left" w:pos="916"/>
          <w:tab w:val="left" w:pos="1832"/>
          <w:tab w:val="left" w:pos="2748"/>
          <w:tab w:val="left" w:pos="3664"/>
          <w:tab w:val="left" w:pos="4580"/>
          <w:tab w:val="left" w:pos="5496"/>
          <w:tab w:val="left" w:pos="6412"/>
          <w:tab w:val="left" w:pos="7328"/>
          <w:tab w:val="left" w:pos="8244"/>
          <w:tab w:val="left" w:pos="8848"/>
        </w:tabs>
        <w:ind w:left="7088" w:right="-314"/>
        <w:rPr>
          <w:sz w:val="28"/>
          <w:szCs w:val="28"/>
        </w:rPr>
      </w:pPr>
    </w:p>
    <w:p w:rsidR="00E46F08" w:rsidRDefault="00E46F08" w:rsidP="00E46F08">
      <w:pPr>
        <w:widowControl w:val="0"/>
        <w:tabs>
          <w:tab w:val="left" w:pos="916"/>
          <w:tab w:val="left" w:pos="1832"/>
          <w:tab w:val="left" w:pos="2748"/>
          <w:tab w:val="left" w:pos="3664"/>
          <w:tab w:val="left" w:pos="4580"/>
          <w:tab w:val="left" w:pos="5496"/>
          <w:tab w:val="left" w:pos="6412"/>
          <w:tab w:val="left" w:pos="7328"/>
          <w:tab w:val="left" w:pos="8244"/>
          <w:tab w:val="left" w:pos="8848"/>
        </w:tabs>
        <w:ind w:left="7088" w:right="-314"/>
        <w:rPr>
          <w:sz w:val="28"/>
          <w:szCs w:val="28"/>
        </w:rPr>
      </w:pPr>
    </w:p>
    <w:p w:rsidR="00E46F08" w:rsidRPr="00881766" w:rsidRDefault="00E46F08" w:rsidP="00E46F08">
      <w:pPr>
        <w:widowControl w:val="0"/>
        <w:tabs>
          <w:tab w:val="left" w:pos="916"/>
          <w:tab w:val="left" w:pos="1832"/>
          <w:tab w:val="left" w:pos="2748"/>
          <w:tab w:val="left" w:pos="3664"/>
          <w:tab w:val="left" w:pos="4580"/>
          <w:tab w:val="left" w:pos="5496"/>
          <w:tab w:val="left" w:pos="6412"/>
          <w:tab w:val="left" w:pos="7328"/>
          <w:tab w:val="left" w:pos="8244"/>
          <w:tab w:val="left" w:pos="8848"/>
        </w:tabs>
        <w:ind w:left="7088" w:right="-314"/>
        <w:rPr>
          <w:sz w:val="28"/>
          <w:szCs w:val="28"/>
        </w:rPr>
      </w:pPr>
    </w:p>
    <w:p w:rsidR="00E46F08" w:rsidRDefault="00E46F08" w:rsidP="00E46F08">
      <w:pPr>
        <w:tabs>
          <w:tab w:val="left" w:pos="916"/>
          <w:tab w:val="left" w:pos="1832"/>
          <w:tab w:val="left" w:pos="2748"/>
          <w:tab w:val="left" w:pos="3664"/>
          <w:tab w:val="left" w:pos="4580"/>
          <w:tab w:val="left" w:pos="5496"/>
          <w:tab w:val="left" w:pos="6412"/>
          <w:tab w:val="left" w:pos="7328"/>
          <w:tab w:val="left" w:pos="8244"/>
          <w:tab w:val="left" w:pos="8848"/>
        </w:tabs>
        <w:jc w:val="center"/>
        <w:rPr>
          <w:sz w:val="28"/>
          <w:szCs w:val="28"/>
        </w:rPr>
      </w:pPr>
      <w:r w:rsidRPr="00881766">
        <w:rPr>
          <w:sz w:val="28"/>
          <w:szCs w:val="28"/>
        </w:rPr>
        <w:t xml:space="preserve">Налоговая нагрузка на экономику, а также отраслевая налоговая нагрузка без учета подоходного налога </w:t>
      </w:r>
    </w:p>
    <w:p w:rsidR="00E46F08" w:rsidRDefault="00E46F08" w:rsidP="00E46F08">
      <w:pPr>
        <w:tabs>
          <w:tab w:val="left" w:pos="916"/>
          <w:tab w:val="left" w:pos="1832"/>
          <w:tab w:val="left" w:pos="2748"/>
          <w:tab w:val="left" w:pos="3664"/>
          <w:tab w:val="left" w:pos="4580"/>
          <w:tab w:val="left" w:pos="5496"/>
          <w:tab w:val="left" w:pos="6412"/>
          <w:tab w:val="left" w:pos="7328"/>
          <w:tab w:val="left" w:pos="8244"/>
          <w:tab w:val="left" w:pos="8848"/>
        </w:tabs>
        <w:jc w:val="center"/>
        <w:rPr>
          <w:sz w:val="28"/>
          <w:szCs w:val="28"/>
        </w:rPr>
      </w:pPr>
      <w:r w:rsidRPr="00881766">
        <w:rPr>
          <w:sz w:val="28"/>
          <w:szCs w:val="28"/>
        </w:rPr>
        <w:t xml:space="preserve">и обязательного страхового взноса на валовую добавленную стоимость </w:t>
      </w:r>
    </w:p>
    <w:p w:rsidR="00E46F08" w:rsidRPr="00881766" w:rsidRDefault="00E46F08" w:rsidP="00E46F08">
      <w:pPr>
        <w:tabs>
          <w:tab w:val="left" w:pos="916"/>
          <w:tab w:val="left" w:pos="1832"/>
          <w:tab w:val="left" w:pos="2748"/>
          <w:tab w:val="left" w:pos="3664"/>
          <w:tab w:val="left" w:pos="4580"/>
          <w:tab w:val="left" w:pos="5496"/>
          <w:tab w:val="left" w:pos="6412"/>
          <w:tab w:val="left" w:pos="7328"/>
          <w:tab w:val="left" w:pos="8244"/>
          <w:tab w:val="left" w:pos="8848"/>
        </w:tabs>
        <w:jc w:val="center"/>
        <w:rPr>
          <w:sz w:val="28"/>
          <w:szCs w:val="28"/>
        </w:rPr>
      </w:pPr>
      <w:r w:rsidRPr="00881766">
        <w:rPr>
          <w:sz w:val="28"/>
          <w:szCs w:val="28"/>
        </w:rPr>
        <w:t xml:space="preserve">(метод Российского союза промышленников и предпринимателей) </w:t>
      </w:r>
    </w:p>
    <w:p w:rsidR="00E46F08" w:rsidRPr="00881766" w:rsidRDefault="00E46F08" w:rsidP="00E46F08">
      <w:pPr>
        <w:tabs>
          <w:tab w:val="left" w:pos="916"/>
          <w:tab w:val="left" w:pos="1832"/>
          <w:tab w:val="left" w:pos="2748"/>
          <w:tab w:val="left" w:pos="3664"/>
          <w:tab w:val="left" w:pos="4580"/>
          <w:tab w:val="left" w:pos="5496"/>
          <w:tab w:val="left" w:pos="6412"/>
          <w:tab w:val="left" w:pos="7328"/>
          <w:tab w:val="left" w:pos="8244"/>
          <w:tab w:val="left" w:pos="8848"/>
        </w:tabs>
        <w:jc w:val="center"/>
        <w:rPr>
          <w:sz w:val="28"/>
          <w:szCs w:val="28"/>
        </w:rPr>
      </w:pPr>
      <w:r w:rsidRPr="00881766">
        <w:rPr>
          <w:sz w:val="28"/>
          <w:szCs w:val="28"/>
        </w:rPr>
        <w:t>за 2018</w:t>
      </w:r>
      <w:r>
        <w:rPr>
          <w:sz w:val="28"/>
          <w:szCs w:val="28"/>
        </w:rPr>
        <w:t>-</w:t>
      </w:r>
      <w:r w:rsidRPr="00881766">
        <w:rPr>
          <w:sz w:val="28"/>
          <w:szCs w:val="28"/>
        </w:rPr>
        <w:t>2022 годы и целевые ориентиры на планируемый период</w:t>
      </w:r>
    </w:p>
    <w:p w:rsidR="00E46F08" w:rsidRPr="00B530DD" w:rsidRDefault="00E46F08" w:rsidP="00E46F08">
      <w:pPr>
        <w:tabs>
          <w:tab w:val="left" w:pos="916"/>
          <w:tab w:val="left" w:pos="1832"/>
          <w:tab w:val="left" w:pos="2748"/>
          <w:tab w:val="left" w:pos="3664"/>
          <w:tab w:val="left" w:pos="4580"/>
          <w:tab w:val="left" w:pos="5496"/>
          <w:tab w:val="left" w:pos="6412"/>
          <w:tab w:val="left" w:pos="7328"/>
          <w:tab w:val="left" w:pos="8244"/>
          <w:tab w:val="left" w:pos="8848"/>
        </w:tabs>
        <w:jc w:val="cente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559"/>
        <w:gridCol w:w="1418"/>
        <w:gridCol w:w="1417"/>
        <w:gridCol w:w="1418"/>
        <w:gridCol w:w="1417"/>
        <w:gridCol w:w="1985"/>
      </w:tblGrid>
      <w:tr w:rsidR="00E46F08" w:rsidRPr="00B530DD" w:rsidTr="007748E9">
        <w:trPr>
          <w:trHeight w:val="570"/>
        </w:trPr>
        <w:tc>
          <w:tcPr>
            <w:tcW w:w="5103" w:type="dxa"/>
            <w:tcBorders>
              <w:top w:val="single" w:sz="4" w:space="0" w:color="auto"/>
              <w:left w:val="single" w:sz="4" w:space="0" w:color="auto"/>
              <w:bottom w:val="single" w:sz="4" w:space="0" w:color="auto"/>
              <w:right w:val="single" w:sz="4" w:space="0" w:color="auto"/>
            </w:tcBorders>
            <w:noWrap/>
            <w:vAlign w:val="center"/>
            <w:hideMark/>
          </w:tcPr>
          <w:p w:rsidR="00E46F08" w:rsidRPr="00B530DD" w:rsidRDefault="00E46F08" w:rsidP="007748E9">
            <w:pPr>
              <w:jc w:val="center"/>
              <w:rPr>
                <w:lang w:eastAsia="en-US"/>
              </w:rPr>
            </w:pPr>
            <w:r w:rsidRPr="00B530DD">
              <w:rPr>
                <w:lang w:eastAsia="en-US"/>
              </w:rPr>
              <w:t>Наименование</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E46F08" w:rsidRPr="00B530DD" w:rsidRDefault="00E46F08" w:rsidP="007748E9">
            <w:pPr>
              <w:jc w:val="center"/>
              <w:rPr>
                <w:lang w:eastAsia="en-US"/>
              </w:rPr>
            </w:pPr>
            <w:r w:rsidRPr="00B530DD">
              <w:rPr>
                <w:lang w:eastAsia="en-US"/>
              </w:rPr>
              <w:t>2018 год</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46F08" w:rsidRPr="00B530DD" w:rsidRDefault="00E46F08" w:rsidP="007748E9">
            <w:pPr>
              <w:jc w:val="center"/>
              <w:rPr>
                <w:lang w:eastAsia="en-US"/>
              </w:rPr>
            </w:pPr>
            <w:r w:rsidRPr="00B530DD">
              <w:rPr>
                <w:lang w:eastAsia="en-US"/>
              </w:rPr>
              <w:t>2019 год</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46F08" w:rsidRPr="00B530DD" w:rsidRDefault="00E46F08" w:rsidP="007748E9">
            <w:pPr>
              <w:jc w:val="center"/>
              <w:rPr>
                <w:lang w:eastAsia="en-US"/>
              </w:rPr>
            </w:pPr>
            <w:r w:rsidRPr="00B530DD">
              <w:rPr>
                <w:lang w:eastAsia="en-US"/>
              </w:rPr>
              <w:t>2020 год</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46F08" w:rsidRPr="00B530DD" w:rsidRDefault="00E46F08" w:rsidP="007748E9">
            <w:pPr>
              <w:jc w:val="center"/>
              <w:rPr>
                <w:lang w:eastAsia="en-US"/>
              </w:rPr>
            </w:pPr>
            <w:r w:rsidRPr="00B530DD">
              <w:rPr>
                <w:lang w:eastAsia="en-US"/>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F08" w:rsidRPr="00B530DD" w:rsidRDefault="00E46F08" w:rsidP="007748E9">
            <w:pPr>
              <w:jc w:val="center"/>
              <w:rPr>
                <w:lang w:eastAsia="en-US"/>
              </w:rPr>
            </w:pPr>
            <w:r w:rsidRPr="00B530DD">
              <w:rPr>
                <w:lang w:eastAsia="en-US"/>
              </w:rPr>
              <w:t xml:space="preserve">2022 год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E46F08" w:rsidRPr="00B530DD" w:rsidRDefault="00E46F08" w:rsidP="007748E9">
            <w:pPr>
              <w:jc w:val="center"/>
              <w:rPr>
                <w:lang w:eastAsia="en-US"/>
              </w:rPr>
            </w:pPr>
            <w:r w:rsidRPr="00B530DD">
              <w:rPr>
                <w:lang w:eastAsia="en-US"/>
              </w:rPr>
              <w:t>Целевые ориентиры</w:t>
            </w:r>
          </w:p>
        </w:tc>
      </w:tr>
      <w:tr w:rsidR="00E46F08" w:rsidRPr="00B530DD" w:rsidTr="007748E9">
        <w:trPr>
          <w:trHeight w:val="300"/>
        </w:trPr>
        <w:tc>
          <w:tcPr>
            <w:tcW w:w="5103"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Промышленность</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23,9%</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23,4%</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21,5%</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19,4%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6F08" w:rsidRPr="00B530DD" w:rsidRDefault="00E46F08" w:rsidP="007748E9">
            <w:pPr>
              <w:jc w:val="center"/>
              <w:rPr>
                <w:lang w:eastAsia="en-US"/>
              </w:rPr>
            </w:pPr>
            <w:r w:rsidRPr="00B530DD">
              <w:rPr>
                <w:lang w:eastAsia="en-US"/>
              </w:rPr>
              <w:t>19,8%</w:t>
            </w:r>
          </w:p>
        </w:tc>
        <w:tc>
          <w:tcPr>
            <w:tcW w:w="1985"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21–22%</w:t>
            </w:r>
          </w:p>
        </w:tc>
      </w:tr>
      <w:tr w:rsidR="00E46F08" w:rsidRPr="00B530DD" w:rsidTr="007748E9">
        <w:trPr>
          <w:trHeight w:val="300"/>
        </w:trPr>
        <w:tc>
          <w:tcPr>
            <w:tcW w:w="5103"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Сельское хозяйство</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12,6%</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16,2%</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39,5%</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12,5%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6F08" w:rsidRPr="00B530DD" w:rsidRDefault="00E46F08" w:rsidP="007748E9">
            <w:pPr>
              <w:jc w:val="center"/>
              <w:rPr>
                <w:lang w:eastAsia="en-US"/>
              </w:rPr>
            </w:pPr>
            <w:r w:rsidRPr="00B530DD">
              <w:rPr>
                <w:lang w:eastAsia="en-US"/>
              </w:rPr>
              <w:t>19,6%</w:t>
            </w:r>
          </w:p>
        </w:tc>
        <w:tc>
          <w:tcPr>
            <w:tcW w:w="1985"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12–13%</w:t>
            </w:r>
          </w:p>
        </w:tc>
      </w:tr>
      <w:tr w:rsidR="00E46F08" w:rsidRPr="00B530DD" w:rsidTr="007748E9">
        <w:trPr>
          <w:trHeight w:val="300"/>
        </w:trPr>
        <w:tc>
          <w:tcPr>
            <w:tcW w:w="5103"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Транспорт</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20,7%</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20,5%</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22,3%</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21,4%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6F08" w:rsidRPr="00B530DD" w:rsidRDefault="00E46F08" w:rsidP="007748E9">
            <w:pPr>
              <w:jc w:val="center"/>
              <w:rPr>
                <w:lang w:eastAsia="en-US"/>
              </w:rPr>
            </w:pPr>
            <w:r w:rsidRPr="00B530DD">
              <w:rPr>
                <w:lang w:eastAsia="en-US"/>
              </w:rPr>
              <w:t>21,1%</w:t>
            </w:r>
          </w:p>
        </w:tc>
        <w:tc>
          <w:tcPr>
            <w:tcW w:w="1985"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22–23%</w:t>
            </w:r>
          </w:p>
        </w:tc>
      </w:tr>
      <w:tr w:rsidR="00E46F08" w:rsidRPr="00B530DD" w:rsidTr="007748E9">
        <w:trPr>
          <w:trHeight w:val="300"/>
        </w:trPr>
        <w:tc>
          <w:tcPr>
            <w:tcW w:w="5103"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Связь</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13,5%</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12,2%</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11,8%</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11,4%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6F08" w:rsidRPr="00B530DD" w:rsidRDefault="00E46F08" w:rsidP="007748E9">
            <w:pPr>
              <w:jc w:val="center"/>
              <w:rPr>
                <w:lang w:eastAsia="en-US"/>
              </w:rPr>
            </w:pPr>
            <w:r w:rsidRPr="00B530DD">
              <w:rPr>
                <w:lang w:eastAsia="en-US"/>
              </w:rPr>
              <w:t>12,9%</w:t>
            </w:r>
          </w:p>
        </w:tc>
        <w:tc>
          <w:tcPr>
            <w:tcW w:w="1985"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11–12%</w:t>
            </w:r>
          </w:p>
        </w:tc>
      </w:tr>
      <w:tr w:rsidR="00E46F08" w:rsidRPr="00B530DD" w:rsidTr="007748E9">
        <w:trPr>
          <w:trHeight w:val="300"/>
        </w:trPr>
        <w:tc>
          <w:tcPr>
            <w:tcW w:w="5103"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Строительство</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19,2%</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15,1%</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15,5%</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15,2%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6F08" w:rsidRPr="00B530DD" w:rsidRDefault="00E46F08" w:rsidP="007748E9">
            <w:pPr>
              <w:jc w:val="center"/>
              <w:rPr>
                <w:lang w:eastAsia="en-US"/>
              </w:rPr>
            </w:pPr>
            <w:r w:rsidRPr="00B530DD">
              <w:rPr>
                <w:lang w:eastAsia="en-US"/>
              </w:rPr>
              <w:t>13,8%</w:t>
            </w:r>
          </w:p>
        </w:tc>
        <w:tc>
          <w:tcPr>
            <w:tcW w:w="1985"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15–16%</w:t>
            </w:r>
          </w:p>
        </w:tc>
      </w:tr>
      <w:tr w:rsidR="00E46F08" w:rsidRPr="00B530DD" w:rsidTr="007748E9">
        <w:trPr>
          <w:trHeight w:val="300"/>
        </w:trPr>
        <w:tc>
          <w:tcPr>
            <w:tcW w:w="5103"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Торговля и общепит</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7,3%</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7,3%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7,3%</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6F08" w:rsidRPr="00B530DD" w:rsidRDefault="00E46F08" w:rsidP="007748E9">
            <w:pPr>
              <w:jc w:val="center"/>
              <w:rPr>
                <w:lang w:eastAsia="en-US"/>
              </w:rPr>
            </w:pPr>
            <w:r w:rsidRPr="00B530DD">
              <w:rPr>
                <w:lang w:eastAsia="en-US"/>
              </w:rPr>
              <w:t>6,7%</w:t>
            </w:r>
          </w:p>
        </w:tc>
        <w:tc>
          <w:tcPr>
            <w:tcW w:w="1985"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7–7,5%</w:t>
            </w:r>
          </w:p>
        </w:tc>
      </w:tr>
      <w:tr w:rsidR="00E46F08" w:rsidRPr="00B530DD" w:rsidTr="007748E9">
        <w:trPr>
          <w:trHeight w:val="300"/>
        </w:trPr>
        <w:tc>
          <w:tcPr>
            <w:tcW w:w="5103"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Операции с недвижимостью</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22,3%</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28,6%</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26,7%</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19,0%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6F08" w:rsidRPr="00B530DD" w:rsidRDefault="00E46F08" w:rsidP="007748E9">
            <w:pPr>
              <w:jc w:val="center"/>
              <w:rPr>
                <w:lang w:eastAsia="en-US"/>
              </w:rPr>
            </w:pPr>
            <w:r w:rsidRPr="00B530DD">
              <w:rPr>
                <w:lang w:eastAsia="en-US"/>
              </w:rPr>
              <w:t>16,0%</w:t>
            </w:r>
          </w:p>
        </w:tc>
        <w:tc>
          <w:tcPr>
            <w:tcW w:w="1985"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18–19%</w:t>
            </w:r>
          </w:p>
        </w:tc>
      </w:tr>
      <w:tr w:rsidR="00E46F08" w:rsidRPr="00B530DD" w:rsidTr="007748E9">
        <w:trPr>
          <w:trHeight w:val="300"/>
        </w:trPr>
        <w:tc>
          <w:tcPr>
            <w:tcW w:w="5103"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Жилищно-коммунальное хозяйство</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19,5%</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17,9%</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16,9%</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17,0%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6F08" w:rsidRPr="00B530DD" w:rsidRDefault="00E46F08" w:rsidP="007748E9">
            <w:pPr>
              <w:jc w:val="center"/>
              <w:rPr>
                <w:lang w:eastAsia="en-US"/>
              </w:rPr>
            </w:pPr>
            <w:r w:rsidRPr="00B530DD">
              <w:rPr>
                <w:lang w:eastAsia="en-US"/>
              </w:rPr>
              <w:t>16,6%</w:t>
            </w:r>
          </w:p>
        </w:tc>
        <w:tc>
          <w:tcPr>
            <w:tcW w:w="1985"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17–18%</w:t>
            </w:r>
          </w:p>
        </w:tc>
      </w:tr>
      <w:tr w:rsidR="00E46F08" w:rsidRPr="00B530DD" w:rsidTr="007748E9">
        <w:trPr>
          <w:trHeight w:val="300"/>
        </w:trPr>
        <w:tc>
          <w:tcPr>
            <w:tcW w:w="5103"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Непроизводственные виды бытового обслуживания</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19,3%</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16,2%</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13,4%</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14,5%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6F08" w:rsidRPr="00B530DD" w:rsidRDefault="00E46F08" w:rsidP="007748E9">
            <w:pPr>
              <w:jc w:val="center"/>
              <w:rPr>
                <w:lang w:eastAsia="en-US"/>
              </w:rPr>
            </w:pPr>
            <w:r w:rsidRPr="00B530DD">
              <w:rPr>
                <w:lang w:eastAsia="en-US"/>
              </w:rPr>
              <w:t>13,9%</w:t>
            </w:r>
          </w:p>
        </w:tc>
        <w:tc>
          <w:tcPr>
            <w:tcW w:w="1985"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14–15%</w:t>
            </w:r>
          </w:p>
        </w:tc>
      </w:tr>
      <w:tr w:rsidR="00E46F08" w:rsidRPr="00B530DD" w:rsidTr="007748E9">
        <w:trPr>
          <w:trHeight w:val="300"/>
        </w:trPr>
        <w:tc>
          <w:tcPr>
            <w:tcW w:w="5103"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Здравоохранение и социальное обеспечение</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14,7%</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13,9%</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15,5%</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12,4%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6F08" w:rsidRPr="00B530DD" w:rsidRDefault="00E46F08" w:rsidP="007748E9">
            <w:pPr>
              <w:jc w:val="center"/>
              <w:rPr>
                <w:lang w:eastAsia="en-US"/>
              </w:rPr>
            </w:pPr>
            <w:r w:rsidRPr="00B530DD">
              <w:rPr>
                <w:lang w:eastAsia="en-US"/>
              </w:rPr>
              <w:t>14,0%</w:t>
            </w:r>
          </w:p>
        </w:tc>
        <w:tc>
          <w:tcPr>
            <w:tcW w:w="1985"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12–13%</w:t>
            </w:r>
          </w:p>
        </w:tc>
      </w:tr>
      <w:tr w:rsidR="00E46F08" w:rsidRPr="00B530DD" w:rsidTr="007748E9">
        <w:trPr>
          <w:trHeight w:val="300"/>
        </w:trPr>
        <w:tc>
          <w:tcPr>
            <w:tcW w:w="5103"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Прочие виды</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5,5%</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6,6%</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8,9%</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31,6%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6F08" w:rsidRPr="00B530DD" w:rsidRDefault="00E46F08" w:rsidP="007748E9">
            <w:pPr>
              <w:jc w:val="center"/>
              <w:rPr>
                <w:lang w:eastAsia="en-US"/>
              </w:rPr>
            </w:pPr>
            <w:r w:rsidRPr="00B530DD">
              <w:rPr>
                <w:lang w:eastAsia="en-US"/>
              </w:rPr>
              <w:t>9,4%</w:t>
            </w:r>
          </w:p>
        </w:tc>
        <w:tc>
          <w:tcPr>
            <w:tcW w:w="1985"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lang w:eastAsia="en-US"/>
              </w:rPr>
            </w:pPr>
            <w:r w:rsidRPr="00B530DD">
              <w:rPr>
                <w:lang w:eastAsia="en-US"/>
              </w:rPr>
              <w:t>9–10%</w:t>
            </w:r>
          </w:p>
        </w:tc>
      </w:tr>
      <w:tr w:rsidR="00E46F08" w:rsidRPr="00B530DD" w:rsidTr="007748E9">
        <w:trPr>
          <w:trHeight w:val="300"/>
        </w:trPr>
        <w:tc>
          <w:tcPr>
            <w:tcW w:w="5103"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bCs/>
                <w:lang w:eastAsia="en-US"/>
              </w:rPr>
            </w:pPr>
            <w:r w:rsidRPr="00B530DD">
              <w:rPr>
                <w:bCs/>
                <w:lang w:eastAsia="en-US"/>
              </w:rPr>
              <w:t>Всего (среднеотраслевой показатель)</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bCs/>
                <w:lang w:eastAsia="en-US"/>
              </w:rPr>
            </w:pPr>
            <w:r w:rsidRPr="00B530DD">
              <w:rPr>
                <w:bCs/>
                <w:lang w:eastAsia="en-US"/>
              </w:rPr>
              <w:t>11,9%</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bCs/>
                <w:lang w:eastAsia="en-US"/>
              </w:rPr>
            </w:pPr>
            <w:r w:rsidRPr="00B530DD">
              <w:rPr>
                <w:bCs/>
                <w:lang w:eastAsia="en-US"/>
              </w:rPr>
              <w:t>11,9%</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bCs/>
                <w:lang w:eastAsia="en-US"/>
              </w:rPr>
            </w:pPr>
            <w:r w:rsidRPr="00B530DD">
              <w:rPr>
                <w:bCs/>
                <w:lang w:eastAsia="en-US"/>
              </w:rPr>
              <w:t>11,9%</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bCs/>
                <w:lang w:eastAsia="en-US"/>
              </w:rPr>
            </w:pPr>
            <w:r w:rsidRPr="00B530DD">
              <w:rPr>
                <w:bCs/>
                <w:lang w:eastAsia="en-US"/>
              </w:rPr>
              <w:t>11,4%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6F08" w:rsidRPr="00B530DD" w:rsidRDefault="00E46F08" w:rsidP="007748E9">
            <w:pPr>
              <w:jc w:val="center"/>
              <w:rPr>
                <w:bCs/>
                <w:lang w:eastAsia="en-US"/>
              </w:rPr>
            </w:pPr>
            <w:r w:rsidRPr="00B530DD">
              <w:rPr>
                <w:bCs/>
                <w:lang w:eastAsia="en-US"/>
              </w:rPr>
              <w:t>11,1%</w:t>
            </w:r>
          </w:p>
        </w:tc>
        <w:tc>
          <w:tcPr>
            <w:tcW w:w="1985"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jc w:val="center"/>
              <w:rPr>
                <w:bCs/>
                <w:lang w:eastAsia="en-US"/>
              </w:rPr>
            </w:pPr>
            <w:r w:rsidRPr="00B530DD">
              <w:rPr>
                <w:bCs/>
                <w:lang w:eastAsia="en-US"/>
              </w:rPr>
              <w:t>11–12%</w:t>
            </w:r>
          </w:p>
        </w:tc>
      </w:tr>
      <w:tr w:rsidR="00E46F08" w:rsidRPr="00B530DD" w:rsidTr="007748E9">
        <w:trPr>
          <w:trHeight w:val="300"/>
        </w:trPr>
        <w:tc>
          <w:tcPr>
            <w:tcW w:w="5103" w:type="dxa"/>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bCs/>
                <w:lang w:eastAsia="en-US"/>
              </w:rPr>
            </w:pPr>
            <w:r w:rsidRPr="00B530DD">
              <w:rPr>
                <w:bCs/>
                <w:lang w:eastAsia="en-US"/>
              </w:rPr>
              <w:t xml:space="preserve">Налоговая нагрузка в целом на экономику (процент совокупного объема налогов, пошлин и сборов к валовому внутреннему продукту)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E46F08" w:rsidRPr="00B530DD" w:rsidRDefault="00E46F08" w:rsidP="007748E9">
            <w:pPr>
              <w:jc w:val="center"/>
              <w:rPr>
                <w:bCs/>
                <w:lang w:eastAsia="en-US"/>
              </w:rPr>
            </w:pPr>
            <w:r w:rsidRPr="00B530DD">
              <w:rPr>
                <w:bCs/>
                <w:lang w:eastAsia="en-US"/>
              </w:rPr>
              <w:t>28,3%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46F08" w:rsidRPr="00B530DD" w:rsidRDefault="00E46F08" w:rsidP="007748E9">
            <w:pPr>
              <w:jc w:val="center"/>
              <w:rPr>
                <w:bCs/>
                <w:lang w:eastAsia="en-US"/>
              </w:rPr>
            </w:pPr>
            <w:r w:rsidRPr="00B530DD">
              <w:rPr>
                <w:bCs/>
                <w:lang w:eastAsia="en-US"/>
              </w:rPr>
              <w:t>27,9%</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E46F08" w:rsidRPr="00B530DD" w:rsidRDefault="00E46F08" w:rsidP="007748E9">
            <w:pPr>
              <w:jc w:val="center"/>
              <w:rPr>
                <w:bCs/>
                <w:lang w:eastAsia="en-US"/>
              </w:rPr>
            </w:pPr>
            <w:r w:rsidRPr="00B530DD">
              <w:rPr>
                <w:bCs/>
                <w:lang w:eastAsia="en-US"/>
              </w:rPr>
              <w:t>28,8%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46F08" w:rsidRPr="00B530DD" w:rsidRDefault="00E46F08" w:rsidP="007748E9">
            <w:pPr>
              <w:jc w:val="center"/>
              <w:rPr>
                <w:bCs/>
                <w:lang w:eastAsia="en-US"/>
              </w:rPr>
            </w:pPr>
            <w:r w:rsidRPr="00B530DD">
              <w:rPr>
                <w:bCs/>
                <w:lang w:eastAsia="en-US"/>
              </w:rPr>
              <w:t>24,8%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6F08" w:rsidRPr="00B530DD" w:rsidRDefault="00E46F08" w:rsidP="007748E9">
            <w:pPr>
              <w:jc w:val="center"/>
              <w:rPr>
                <w:bCs/>
                <w:lang w:eastAsia="en-US"/>
              </w:rPr>
            </w:pPr>
            <w:r w:rsidRPr="00B530DD">
              <w:rPr>
                <w:bCs/>
                <w:lang w:eastAsia="en-US"/>
              </w:rPr>
              <w:t>27,6%</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E46F08" w:rsidRPr="00B530DD" w:rsidRDefault="00E46F08" w:rsidP="007748E9">
            <w:pPr>
              <w:jc w:val="center"/>
              <w:rPr>
                <w:lang w:eastAsia="en-US"/>
              </w:rPr>
            </w:pPr>
            <w:r w:rsidRPr="00B530DD">
              <w:rPr>
                <w:lang w:eastAsia="en-US"/>
              </w:rPr>
              <w:t>29%</w:t>
            </w:r>
          </w:p>
          <w:p w:rsidR="00E46F08" w:rsidRPr="00B530DD" w:rsidRDefault="00E46F08" w:rsidP="007748E9">
            <w:pPr>
              <w:jc w:val="center"/>
              <w:rPr>
                <w:bCs/>
                <w:lang w:eastAsia="en-US"/>
              </w:rPr>
            </w:pPr>
            <w:r w:rsidRPr="00B530DD">
              <w:rPr>
                <w:lang w:eastAsia="en-US"/>
              </w:rPr>
              <w:t>(±1 процентный пункт)</w:t>
            </w:r>
          </w:p>
        </w:tc>
      </w:tr>
    </w:tbl>
    <w:p w:rsidR="00E46F08" w:rsidRPr="00881766" w:rsidRDefault="00E46F08" w:rsidP="00E46F08">
      <w:pPr>
        <w:tabs>
          <w:tab w:val="left" w:pos="916"/>
          <w:tab w:val="left" w:pos="1832"/>
          <w:tab w:val="left" w:pos="2748"/>
          <w:tab w:val="left" w:pos="3664"/>
          <w:tab w:val="left" w:pos="4580"/>
          <w:tab w:val="left" w:pos="5496"/>
          <w:tab w:val="left" w:pos="6412"/>
          <w:tab w:val="left" w:pos="7328"/>
          <w:tab w:val="left" w:pos="8244"/>
          <w:tab w:val="left" w:pos="8848"/>
        </w:tabs>
        <w:jc w:val="right"/>
      </w:pPr>
      <w:r w:rsidRPr="00881766">
        <w:t>».</w:t>
      </w:r>
    </w:p>
    <w:p w:rsidR="00E46F08" w:rsidRPr="00881766" w:rsidRDefault="00E46F08" w:rsidP="00E46F08">
      <w:pPr>
        <w:ind w:left="8505"/>
        <w:rPr>
          <w:sz w:val="28"/>
          <w:szCs w:val="28"/>
        </w:rPr>
      </w:pPr>
      <w:r w:rsidRPr="00881766">
        <w:rPr>
          <w:sz w:val="28"/>
          <w:szCs w:val="28"/>
        </w:rPr>
        <w:br w:type="page"/>
      </w:r>
      <w:r w:rsidRPr="00881766">
        <w:rPr>
          <w:sz w:val="28"/>
          <w:szCs w:val="28"/>
        </w:rPr>
        <w:lastRenderedPageBreak/>
        <w:t>«Приложение № 3</w:t>
      </w:r>
    </w:p>
    <w:p w:rsidR="00E46F08" w:rsidRPr="00881766" w:rsidRDefault="00E46F08" w:rsidP="00E46F08">
      <w:pPr>
        <w:widowControl w:val="0"/>
        <w:tabs>
          <w:tab w:val="left" w:pos="916"/>
          <w:tab w:val="left" w:pos="1832"/>
          <w:tab w:val="left" w:pos="2748"/>
          <w:tab w:val="left" w:pos="3664"/>
          <w:tab w:val="left" w:pos="4580"/>
          <w:tab w:val="left" w:pos="5496"/>
          <w:tab w:val="left" w:pos="6412"/>
          <w:tab w:val="left" w:pos="7328"/>
          <w:tab w:val="left" w:pos="8244"/>
          <w:tab w:val="left" w:pos="8848"/>
        </w:tabs>
        <w:ind w:left="8505" w:right="111"/>
        <w:rPr>
          <w:sz w:val="28"/>
          <w:szCs w:val="28"/>
          <w:u w:color="000000"/>
        </w:rPr>
      </w:pPr>
      <w:r w:rsidRPr="00881766">
        <w:rPr>
          <w:rFonts w:eastAsia="MS Mincho"/>
          <w:sz w:val="28"/>
          <w:szCs w:val="28"/>
          <w:u w:color="000000"/>
        </w:rPr>
        <w:t xml:space="preserve">к </w:t>
      </w:r>
      <w:r w:rsidRPr="00881766">
        <w:rPr>
          <w:rFonts w:eastAsia="Arial Unicode MS"/>
          <w:sz w:val="28"/>
          <w:szCs w:val="28"/>
          <w:u w:color="000000"/>
        </w:rPr>
        <w:t>Концепции бюджетной</w:t>
      </w:r>
      <w:r>
        <w:rPr>
          <w:rFonts w:eastAsia="Arial Unicode MS"/>
          <w:sz w:val="28"/>
          <w:szCs w:val="28"/>
          <w:u w:color="000000"/>
        </w:rPr>
        <w:t xml:space="preserve"> </w:t>
      </w:r>
      <w:r w:rsidRPr="00881766">
        <w:rPr>
          <w:rFonts w:eastAsia="Arial Unicode MS"/>
          <w:sz w:val="28"/>
          <w:szCs w:val="28"/>
          <w:u w:color="000000"/>
        </w:rPr>
        <w:t>и налоговой политики</w:t>
      </w:r>
    </w:p>
    <w:p w:rsidR="00E46F08" w:rsidRDefault="00E46F08" w:rsidP="00E46F08">
      <w:pPr>
        <w:widowControl w:val="0"/>
        <w:tabs>
          <w:tab w:val="left" w:pos="916"/>
          <w:tab w:val="left" w:pos="1832"/>
          <w:tab w:val="left" w:pos="2748"/>
          <w:tab w:val="left" w:pos="3664"/>
          <w:tab w:val="left" w:pos="4580"/>
          <w:tab w:val="left" w:pos="5496"/>
          <w:tab w:val="left" w:pos="6412"/>
          <w:tab w:val="left" w:pos="7328"/>
          <w:tab w:val="left" w:pos="8244"/>
          <w:tab w:val="left" w:pos="8848"/>
        </w:tabs>
        <w:ind w:left="8505" w:right="-314"/>
        <w:rPr>
          <w:sz w:val="28"/>
          <w:szCs w:val="28"/>
        </w:rPr>
      </w:pPr>
      <w:r w:rsidRPr="00881766">
        <w:rPr>
          <w:sz w:val="28"/>
          <w:szCs w:val="28"/>
        </w:rPr>
        <w:t xml:space="preserve">Приднестровской Молдавской Республики </w:t>
      </w:r>
    </w:p>
    <w:p w:rsidR="00E46F08" w:rsidRPr="00881766" w:rsidRDefault="00E46F08" w:rsidP="00E46F08">
      <w:pPr>
        <w:widowControl w:val="0"/>
        <w:tabs>
          <w:tab w:val="left" w:pos="916"/>
          <w:tab w:val="left" w:pos="1832"/>
          <w:tab w:val="left" w:pos="2748"/>
          <w:tab w:val="left" w:pos="3664"/>
          <w:tab w:val="left" w:pos="4580"/>
          <w:tab w:val="left" w:pos="5496"/>
          <w:tab w:val="left" w:pos="6412"/>
          <w:tab w:val="left" w:pos="7328"/>
          <w:tab w:val="left" w:pos="8244"/>
          <w:tab w:val="left" w:pos="8848"/>
        </w:tabs>
        <w:ind w:left="8505" w:right="-314"/>
        <w:rPr>
          <w:sz w:val="28"/>
          <w:szCs w:val="28"/>
        </w:rPr>
      </w:pPr>
      <w:r w:rsidRPr="00881766">
        <w:rPr>
          <w:sz w:val="28"/>
          <w:szCs w:val="28"/>
        </w:rPr>
        <w:t>на 2024 год и среднесрочную перспективу</w:t>
      </w:r>
    </w:p>
    <w:p w:rsidR="00E46F08" w:rsidRPr="00B530DD" w:rsidRDefault="00E46F08" w:rsidP="00E46F08">
      <w:pPr>
        <w:widowControl w:val="0"/>
        <w:tabs>
          <w:tab w:val="left" w:pos="916"/>
          <w:tab w:val="left" w:pos="1832"/>
          <w:tab w:val="left" w:pos="2748"/>
          <w:tab w:val="left" w:pos="3664"/>
          <w:tab w:val="left" w:pos="4580"/>
          <w:tab w:val="left" w:pos="5496"/>
          <w:tab w:val="left" w:pos="6412"/>
          <w:tab w:val="left" w:pos="7328"/>
          <w:tab w:val="left" w:pos="8244"/>
          <w:tab w:val="left" w:pos="8848"/>
        </w:tabs>
        <w:ind w:left="7088" w:right="-314"/>
        <w:rPr>
          <w:sz w:val="28"/>
          <w:szCs w:val="28"/>
        </w:rPr>
      </w:pPr>
    </w:p>
    <w:p w:rsidR="00E46F08" w:rsidRPr="00B530DD" w:rsidRDefault="00E46F08" w:rsidP="00E46F08">
      <w:pPr>
        <w:widowControl w:val="0"/>
        <w:tabs>
          <w:tab w:val="left" w:pos="916"/>
          <w:tab w:val="left" w:pos="1832"/>
          <w:tab w:val="left" w:pos="2748"/>
          <w:tab w:val="left" w:pos="3664"/>
          <w:tab w:val="left" w:pos="4580"/>
          <w:tab w:val="left" w:pos="5496"/>
          <w:tab w:val="left" w:pos="6412"/>
          <w:tab w:val="left" w:pos="7328"/>
          <w:tab w:val="left" w:pos="8244"/>
          <w:tab w:val="left" w:pos="8848"/>
        </w:tabs>
        <w:ind w:left="7088" w:right="-314"/>
        <w:rPr>
          <w:sz w:val="28"/>
          <w:szCs w:val="28"/>
        </w:rPr>
      </w:pPr>
    </w:p>
    <w:p w:rsidR="00E46F08" w:rsidRPr="00B530DD" w:rsidRDefault="00E46F08" w:rsidP="00E46F08">
      <w:pPr>
        <w:widowControl w:val="0"/>
        <w:tabs>
          <w:tab w:val="left" w:pos="916"/>
          <w:tab w:val="left" w:pos="1832"/>
          <w:tab w:val="left" w:pos="2748"/>
          <w:tab w:val="left" w:pos="3664"/>
          <w:tab w:val="left" w:pos="4580"/>
          <w:tab w:val="left" w:pos="5496"/>
          <w:tab w:val="left" w:pos="6412"/>
          <w:tab w:val="left" w:pos="7328"/>
          <w:tab w:val="left" w:pos="8244"/>
          <w:tab w:val="left" w:pos="8848"/>
        </w:tabs>
        <w:ind w:left="7088" w:right="-314"/>
        <w:rPr>
          <w:sz w:val="28"/>
          <w:szCs w:val="28"/>
        </w:rPr>
      </w:pPr>
    </w:p>
    <w:p w:rsidR="00E46F08" w:rsidRDefault="00E46F08" w:rsidP="00E46F08">
      <w:pPr>
        <w:tabs>
          <w:tab w:val="left" w:pos="916"/>
          <w:tab w:val="left" w:pos="1832"/>
          <w:tab w:val="left" w:pos="2748"/>
          <w:tab w:val="left" w:pos="3664"/>
          <w:tab w:val="left" w:pos="4580"/>
          <w:tab w:val="left" w:pos="5496"/>
          <w:tab w:val="left" w:pos="6412"/>
          <w:tab w:val="left" w:pos="7328"/>
          <w:tab w:val="left" w:pos="8244"/>
          <w:tab w:val="left" w:pos="8848"/>
        </w:tabs>
        <w:jc w:val="center"/>
        <w:rPr>
          <w:sz w:val="28"/>
          <w:szCs w:val="28"/>
        </w:rPr>
      </w:pPr>
      <w:r w:rsidRPr="00881766">
        <w:rPr>
          <w:sz w:val="28"/>
          <w:szCs w:val="28"/>
        </w:rPr>
        <w:t xml:space="preserve">Отраслевая налоговая нагрузка в разрезе видов налогов </w:t>
      </w:r>
    </w:p>
    <w:p w:rsidR="00E46F08" w:rsidRDefault="00E46F08" w:rsidP="00E46F08">
      <w:pPr>
        <w:tabs>
          <w:tab w:val="left" w:pos="916"/>
          <w:tab w:val="left" w:pos="1832"/>
          <w:tab w:val="left" w:pos="2748"/>
          <w:tab w:val="left" w:pos="3664"/>
          <w:tab w:val="left" w:pos="4580"/>
          <w:tab w:val="left" w:pos="5496"/>
          <w:tab w:val="left" w:pos="6412"/>
          <w:tab w:val="left" w:pos="7328"/>
          <w:tab w:val="left" w:pos="8244"/>
          <w:tab w:val="left" w:pos="8848"/>
        </w:tabs>
        <w:jc w:val="center"/>
        <w:rPr>
          <w:sz w:val="28"/>
          <w:szCs w:val="28"/>
        </w:rPr>
      </w:pPr>
      <w:r w:rsidRPr="00881766">
        <w:rPr>
          <w:sz w:val="28"/>
          <w:szCs w:val="28"/>
        </w:rPr>
        <w:t xml:space="preserve">на валовую добавленную стоимость </w:t>
      </w:r>
    </w:p>
    <w:p w:rsidR="00E46F08" w:rsidRPr="00881766" w:rsidRDefault="00E46F08" w:rsidP="00E46F08">
      <w:pPr>
        <w:tabs>
          <w:tab w:val="left" w:pos="916"/>
          <w:tab w:val="left" w:pos="1832"/>
          <w:tab w:val="left" w:pos="2748"/>
          <w:tab w:val="left" w:pos="3664"/>
          <w:tab w:val="left" w:pos="4580"/>
          <w:tab w:val="left" w:pos="5496"/>
          <w:tab w:val="left" w:pos="6412"/>
          <w:tab w:val="left" w:pos="7328"/>
          <w:tab w:val="left" w:pos="8244"/>
          <w:tab w:val="left" w:pos="8848"/>
        </w:tabs>
        <w:jc w:val="center"/>
        <w:rPr>
          <w:sz w:val="28"/>
          <w:szCs w:val="28"/>
        </w:rPr>
      </w:pPr>
      <w:r w:rsidRPr="00881766">
        <w:rPr>
          <w:sz w:val="28"/>
          <w:szCs w:val="28"/>
        </w:rPr>
        <w:t>за 2019</w:t>
      </w:r>
      <w:r>
        <w:rPr>
          <w:sz w:val="28"/>
          <w:szCs w:val="28"/>
        </w:rPr>
        <w:t>-</w:t>
      </w:r>
      <w:r w:rsidRPr="00881766">
        <w:rPr>
          <w:sz w:val="28"/>
          <w:szCs w:val="28"/>
        </w:rPr>
        <w:t>2022 годы и целевые ориентиры на планируемый период</w:t>
      </w:r>
    </w:p>
    <w:p w:rsidR="00E46F08" w:rsidRPr="00B530DD" w:rsidRDefault="00E46F08" w:rsidP="00E46F08">
      <w:pPr>
        <w:tabs>
          <w:tab w:val="left" w:pos="916"/>
          <w:tab w:val="left" w:pos="1832"/>
          <w:tab w:val="left" w:pos="2748"/>
          <w:tab w:val="left" w:pos="3664"/>
          <w:tab w:val="left" w:pos="4580"/>
          <w:tab w:val="left" w:pos="5496"/>
          <w:tab w:val="left" w:pos="6412"/>
          <w:tab w:val="left" w:pos="7328"/>
          <w:tab w:val="left" w:pos="8244"/>
          <w:tab w:val="left" w:pos="8848"/>
        </w:tabs>
        <w:jc w:val="center"/>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3"/>
        <w:gridCol w:w="1511"/>
        <w:gridCol w:w="1511"/>
        <w:gridCol w:w="1511"/>
        <w:gridCol w:w="1677"/>
        <w:gridCol w:w="2117"/>
      </w:tblGrid>
      <w:tr w:rsidR="00E46F08" w:rsidRPr="00B530DD" w:rsidTr="007748E9">
        <w:trPr>
          <w:trHeight w:val="397"/>
        </w:trPr>
        <w:tc>
          <w:tcPr>
            <w:tcW w:w="2140" w:type="pct"/>
            <w:vMerge w:val="restart"/>
            <w:tcBorders>
              <w:top w:val="single" w:sz="4" w:space="0" w:color="auto"/>
              <w:left w:val="single" w:sz="4" w:space="0" w:color="auto"/>
              <w:bottom w:val="single" w:sz="4" w:space="0" w:color="auto"/>
              <w:right w:val="single" w:sz="4" w:space="0" w:color="auto"/>
            </w:tcBorders>
            <w:noWrap/>
            <w:vAlign w:val="center"/>
            <w:hideMark/>
          </w:tcPr>
          <w:p w:rsidR="00E46F08" w:rsidRPr="00B530DD" w:rsidRDefault="00E46F08" w:rsidP="007748E9">
            <w:pPr>
              <w:jc w:val="center"/>
              <w:rPr>
                <w:lang w:eastAsia="en-US"/>
              </w:rPr>
            </w:pPr>
            <w:r w:rsidRPr="00B530DD">
              <w:rPr>
                <w:lang w:eastAsia="en-US"/>
              </w:rPr>
              <w:t xml:space="preserve">Наименование </w:t>
            </w:r>
          </w:p>
        </w:tc>
        <w:tc>
          <w:tcPr>
            <w:tcW w:w="2860" w:type="pct"/>
            <w:gridSpan w:val="5"/>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Налог на доходы организаций к валовой добавленной стоимости</w:t>
            </w:r>
          </w:p>
        </w:tc>
      </w:tr>
      <w:tr w:rsidR="00E46F08" w:rsidRPr="00B530DD" w:rsidTr="007748E9">
        <w:trPr>
          <w:trHeight w:val="227"/>
        </w:trPr>
        <w:tc>
          <w:tcPr>
            <w:tcW w:w="2140" w:type="pct"/>
            <w:vMerge/>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rPr>
                <w:lang w:eastAsia="en-US"/>
              </w:rPr>
            </w:pPr>
          </w:p>
        </w:tc>
        <w:tc>
          <w:tcPr>
            <w:tcW w:w="519"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2019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2020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2021 год</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46F08" w:rsidRPr="00B530DD" w:rsidRDefault="00E46F08" w:rsidP="007748E9">
            <w:pPr>
              <w:jc w:val="center"/>
              <w:rPr>
                <w:lang w:eastAsia="en-US"/>
              </w:rPr>
            </w:pPr>
            <w:r w:rsidRPr="00B530DD">
              <w:rPr>
                <w:lang w:eastAsia="en-US"/>
              </w:rPr>
              <w:t xml:space="preserve">2022 год </w:t>
            </w:r>
          </w:p>
        </w:tc>
        <w:tc>
          <w:tcPr>
            <w:tcW w:w="728"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Целевые ориентиры</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Промышленность</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10,9%</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10,1%</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9,1%</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bottom"/>
          </w:tcPr>
          <w:p w:rsidR="00E46F08" w:rsidRPr="00B530DD" w:rsidRDefault="00E46F08" w:rsidP="007748E9">
            <w:pPr>
              <w:jc w:val="center"/>
              <w:rPr>
                <w:lang w:eastAsia="en-US"/>
              </w:rPr>
            </w:pPr>
            <w:r w:rsidRPr="00B530DD">
              <w:rPr>
                <w:lang w:eastAsia="en-US"/>
              </w:rPr>
              <w:t>9,5%</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9–10%</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Сельское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0,9%</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3,5%</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1,0%</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bottom"/>
          </w:tcPr>
          <w:p w:rsidR="00E46F08" w:rsidRPr="00B530DD" w:rsidRDefault="00E46F08" w:rsidP="007748E9">
            <w:pPr>
              <w:jc w:val="center"/>
              <w:rPr>
                <w:lang w:eastAsia="en-US"/>
              </w:rPr>
            </w:pPr>
            <w:r w:rsidRPr="00B530DD">
              <w:rPr>
                <w:lang w:eastAsia="en-US"/>
              </w:rPr>
              <w:t>1,8%</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2–3%</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Транспорт</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8,6%</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8,8%</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8,0%</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bottom"/>
          </w:tcPr>
          <w:p w:rsidR="00E46F08" w:rsidRPr="00B530DD" w:rsidRDefault="00E46F08" w:rsidP="007748E9">
            <w:pPr>
              <w:jc w:val="center"/>
              <w:rPr>
                <w:lang w:eastAsia="en-US"/>
              </w:rPr>
            </w:pPr>
            <w:r w:rsidRPr="00B530DD">
              <w:rPr>
                <w:lang w:eastAsia="en-US"/>
              </w:rPr>
              <w:t>8,0%</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8–10%</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Связь</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5,2%</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5,0%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4,6%</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bottom"/>
          </w:tcPr>
          <w:p w:rsidR="00E46F08" w:rsidRPr="00B530DD" w:rsidRDefault="00E46F08" w:rsidP="007748E9">
            <w:pPr>
              <w:jc w:val="center"/>
              <w:rPr>
                <w:lang w:eastAsia="en-US"/>
              </w:rPr>
            </w:pPr>
            <w:r w:rsidRPr="00B530DD">
              <w:rPr>
                <w:lang w:eastAsia="en-US"/>
              </w:rPr>
              <w:t>5,0%</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4–5%</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Строительство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8,2%</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6,6%</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7,6%</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bottom"/>
          </w:tcPr>
          <w:p w:rsidR="00E46F08" w:rsidRPr="00B530DD" w:rsidRDefault="00E46F08" w:rsidP="007748E9">
            <w:pPr>
              <w:jc w:val="center"/>
              <w:rPr>
                <w:lang w:eastAsia="en-US"/>
              </w:rPr>
            </w:pPr>
            <w:r w:rsidRPr="00B530DD">
              <w:rPr>
                <w:lang w:eastAsia="en-US"/>
              </w:rPr>
              <w:t>7,2%</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7–8%</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Торговля и общепит</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2,6%</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2,6%</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2,7%</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bottom"/>
          </w:tcPr>
          <w:p w:rsidR="00E46F08" w:rsidRPr="00B530DD" w:rsidRDefault="00E46F08" w:rsidP="007748E9">
            <w:pPr>
              <w:jc w:val="center"/>
              <w:rPr>
                <w:lang w:eastAsia="en-US"/>
              </w:rPr>
            </w:pPr>
            <w:r w:rsidRPr="00B530DD">
              <w:rPr>
                <w:lang w:eastAsia="en-US"/>
              </w:rPr>
              <w:t>2,7%</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2–3%</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Операции с недвижимостью</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13,1%</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9,5%</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8,2%</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bottom"/>
          </w:tcPr>
          <w:p w:rsidR="00E46F08" w:rsidRPr="00B530DD" w:rsidRDefault="00E46F08" w:rsidP="007748E9">
            <w:pPr>
              <w:jc w:val="center"/>
              <w:rPr>
                <w:lang w:eastAsia="en-US"/>
              </w:rPr>
            </w:pPr>
            <w:r w:rsidRPr="00B530DD">
              <w:rPr>
                <w:lang w:eastAsia="en-US"/>
              </w:rPr>
              <w:t>6,9%</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7–9%</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Жилищно-коммунальное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4,6%</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3,7%</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4,0%</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bottom"/>
          </w:tcPr>
          <w:p w:rsidR="00E46F08" w:rsidRPr="00B530DD" w:rsidRDefault="00E46F08" w:rsidP="007748E9">
            <w:pPr>
              <w:jc w:val="center"/>
              <w:rPr>
                <w:lang w:eastAsia="en-US"/>
              </w:rPr>
            </w:pPr>
            <w:r w:rsidRPr="00B530DD">
              <w:rPr>
                <w:lang w:eastAsia="en-US"/>
              </w:rPr>
              <w:t>4,0%</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3–4%</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Непроизводственные виды бытового обслуживания</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5,6%</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4,4%</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5,1%</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bottom"/>
          </w:tcPr>
          <w:p w:rsidR="00E46F08" w:rsidRPr="00B530DD" w:rsidRDefault="00E46F08" w:rsidP="007748E9">
            <w:pPr>
              <w:jc w:val="center"/>
              <w:rPr>
                <w:lang w:eastAsia="en-US"/>
              </w:rPr>
            </w:pPr>
            <w:r w:rsidRPr="00B530DD">
              <w:rPr>
                <w:lang w:eastAsia="en-US"/>
              </w:rPr>
              <w:t>4,7%</w:t>
            </w:r>
          </w:p>
        </w:tc>
        <w:tc>
          <w:tcPr>
            <w:tcW w:w="728"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4–5%</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Здравоохранение и социальное обеспечение</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5,5%</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5,9%</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5,2%</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bottom"/>
          </w:tcPr>
          <w:p w:rsidR="00E46F08" w:rsidRPr="00B530DD" w:rsidRDefault="00E46F08" w:rsidP="007748E9">
            <w:pPr>
              <w:jc w:val="center"/>
              <w:rPr>
                <w:lang w:eastAsia="en-US"/>
              </w:rPr>
            </w:pPr>
            <w:r w:rsidRPr="00B530DD">
              <w:rPr>
                <w:lang w:eastAsia="en-US"/>
              </w:rPr>
              <w:t>5,2%</w:t>
            </w:r>
          </w:p>
        </w:tc>
        <w:tc>
          <w:tcPr>
            <w:tcW w:w="728"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5–6%</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Прочие виды</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2,6%</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3,7%</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18,8%</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bottom"/>
          </w:tcPr>
          <w:p w:rsidR="00E46F08" w:rsidRPr="00B530DD" w:rsidRDefault="00E46F08" w:rsidP="007748E9">
            <w:pPr>
              <w:jc w:val="center"/>
              <w:rPr>
                <w:lang w:eastAsia="en-US"/>
              </w:rPr>
            </w:pPr>
            <w:r w:rsidRPr="00B530DD">
              <w:rPr>
                <w:lang w:eastAsia="en-US"/>
              </w:rPr>
              <w:t>5,3%</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6–7%</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b/>
                <w:bCs/>
                <w:lang w:eastAsia="en-US"/>
              </w:rPr>
            </w:pPr>
            <w:r w:rsidRPr="00B530DD">
              <w:rPr>
                <w:bCs/>
                <w:lang w:eastAsia="en-US"/>
              </w:rPr>
              <w:t>Всего (среднеотраслевой показатель)</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bCs/>
                <w:lang w:eastAsia="en-US"/>
              </w:rPr>
            </w:pPr>
            <w:r w:rsidRPr="00B530DD">
              <w:rPr>
                <w:bCs/>
                <w:lang w:eastAsia="en-US"/>
              </w:rPr>
              <w:t>4,8%</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bCs/>
                <w:lang w:eastAsia="en-US"/>
              </w:rPr>
            </w:pPr>
            <w:r w:rsidRPr="00B530DD">
              <w:rPr>
                <w:bCs/>
                <w:lang w:eastAsia="en-US"/>
              </w:rPr>
              <w:t>4,7%</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bCs/>
                <w:lang w:eastAsia="en-US"/>
              </w:rPr>
            </w:pPr>
            <w:r w:rsidRPr="00B530DD">
              <w:rPr>
                <w:bCs/>
                <w:lang w:eastAsia="en-US"/>
              </w:rPr>
              <w:t>4,6%</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bCs/>
                <w:lang w:eastAsia="en-US"/>
              </w:rPr>
            </w:pPr>
            <w:r w:rsidRPr="00B530DD">
              <w:rPr>
                <w:bCs/>
                <w:lang w:eastAsia="en-US"/>
              </w:rPr>
              <w:t>4,6%</w:t>
            </w:r>
          </w:p>
        </w:tc>
        <w:tc>
          <w:tcPr>
            <w:tcW w:w="728" w:type="pct"/>
            <w:tcBorders>
              <w:top w:val="single" w:sz="4" w:space="0" w:color="auto"/>
              <w:left w:val="single" w:sz="4" w:space="0" w:color="auto"/>
              <w:bottom w:val="single" w:sz="4" w:space="0" w:color="auto"/>
              <w:right w:val="single" w:sz="4" w:space="0" w:color="auto"/>
            </w:tcBorders>
            <w:shd w:val="clear" w:color="auto" w:fill="auto"/>
            <w:hideMark/>
          </w:tcPr>
          <w:p w:rsidR="00E46F08" w:rsidRPr="00B530DD" w:rsidRDefault="00E46F08" w:rsidP="007748E9">
            <w:pPr>
              <w:jc w:val="center"/>
              <w:rPr>
                <w:bCs/>
                <w:lang w:eastAsia="en-US"/>
              </w:rPr>
            </w:pPr>
            <w:r w:rsidRPr="00B530DD">
              <w:rPr>
                <w:bCs/>
                <w:lang w:eastAsia="en-US"/>
              </w:rPr>
              <w:t>4,5–5%</w:t>
            </w:r>
          </w:p>
        </w:tc>
      </w:tr>
    </w:tbl>
    <w:p w:rsidR="00E46F08" w:rsidRDefault="00E46F08" w:rsidP="00E46F08">
      <w:pPr>
        <w:tabs>
          <w:tab w:val="left" w:pos="916"/>
          <w:tab w:val="left" w:pos="1832"/>
          <w:tab w:val="left" w:pos="2748"/>
          <w:tab w:val="left" w:pos="3664"/>
          <w:tab w:val="left" w:pos="4580"/>
          <w:tab w:val="left" w:pos="5496"/>
          <w:tab w:val="left" w:pos="6412"/>
          <w:tab w:val="left" w:pos="7328"/>
          <w:tab w:val="left" w:pos="8244"/>
          <w:tab w:val="left" w:pos="8848"/>
        </w:tabs>
        <w:jc w:val="center"/>
        <w:rPr>
          <w:bCs/>
          <w:sz w:val="20"/>
          <w:szCs w:val="20"/>
        </w:rPr>
      </w:pPr>
    </w:p>
    <w:p w:rsidR="00E46F08" w:rsidRPr="00881766" w:rsidRDefault="00E46F08" w:rsidP="00E46F08">
      <w:pPr>
        <w:tabs>
          <w:tab w:val="left" w:pos="916"/>
          <w:tab w:val="left" w:pos="1832"/>
          <w:tab w:val="left" w:pos="2748"/>
          <w:tab w:val="left" w:pos="3664"/>
          <w:tab w:val="left" w:pos="4580"/>
          <w:tab w:val="left" w:pos="5496"/>
          <w:tab w:val="left" w:pos="6412"/>
          <w:tab w:val="left" w:pos="7328"/>
          <w:tab w:val="left" w:pos="8244"/>
          <w:tab w:val="left" w:pos="8848"/>
        </w:tabs>
        <w:jc w:val="center"/>
        <w:rPr>
          <w:bCs/>
          <w:sz w:val="20"/>
          <w:szCs w:val="20"/>
        </w:rPr>
      </w:pPr>
      <w:r>
        <w:rPr>
          <w:bCs/>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4"/>
        <w:gridCol w:w="1395"/>
        <w:gridCol w:w="1398"/>
        <w:gridCol w:w="1395"/>
        <w:gridCol w:w="1538"/>
        <w:gridCol w:w="1750"/>
      </w:tblGrid>
      <w:tr w:rsidR="00E46F08" w:rsidRPr="00B530DD" w:rsidTr="007748E9">
        <w:trPr>
          <w:trHeight w:val="397"/>
        </w:trPr>
        <w:tc>
          <w:tcPr>
            <w:tcW w:w="2433" w:type="pct"/>
            <w:vMerge w:val="restart"/>
            <w:tcBorders>
              <w:top w:val="single" w:sz="4" w:space="0" w:color="auto"/>
              <w:left w:val="single" w:sz="4" w:space="0" w:color="auto"/>
              <w:bottom w:val="single" w:sz="4" w:space="0" w:color="auto"/>
              <w:right w:val="single" w:sz="4" w:space="0" w:color="auto"/>
            </w:tcBorders>
            <w:noWrap/>
            <w:vAlign w:val="center"/>
            <w:hideMark/>
          </w:tcPr>
          <w:p w:rsidR="00E46F08" w:rsidRPr="00B530DD" w:rsidRDefault="00E46F08" w:rsidP="007748E9">
            <w:pPr>
              <w:jc w:val="center"/>
              <w:rPr>
                <w:lang w:eastAsia="en-US"/>
              </w:rPr>
            </w:pPr>
            <w:r w:rsidRPr="00B530DD">
              <w:rPr>
                <w:lang w:eastAsia="en-US"/>
              </w:rPr>
              <w:lastRenderedPageBreak/>
              <w:t xml:space="preserve">Наименование </w:t>
            </w:r>
          </w:p>
        </w:tc>
        <w:tc>
          <w:tcPr>
            <w:tcW w:w="2567" w:type="pct"/>
            <w:gridSpan w:val="5"/>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Подоходный налог физических лиц к  валовой добавленной стоимости</w:t>
            </w:r>
          </w:p>
        </w:tc>
      </w:tr>
      <w:tr w:rsidR="00E46F08" w:rsidRPr="00B530DD" w:rsidTr="007748E9">
        <w:trPr>
          <w:trHeight w:val="227"/>
        </w:trPr>
        <w:tc>
          <w:tcPr>
            <w:tcW w:w="2433" w:type="pct"/>
            <w:vMerge/>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rPr>
                <w:lang w:eastAsia="en-US"/>
              </w:rPr>
            </w:pPr>
          </w:p>
        </w:tc>
        <w:tc>
          <w:tcPr>
            <w:tcW w:w="479"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2019 год</w:t>
            </w:r>
          </w:p>
        </w:tc>
        <w:tc>
          <w:tcPr>
            <w:tcW w:w="480"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2020 год</w:t>
            </w:r>
          </w:p>
        </w:tc>
        <w:tc>
          <w:tcPr>
            <w:tcW w:w="479"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2021 год</w:t>
            </w:r>
          </w:p>
        </w:tc>
        <w:tc>
          <w:tcPr>
            <w:tcW w:w="528"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 xml:space="preserve">2022 год </w:t>
            </w:r>
          </w:p>
        </w:tc>
        <w:tc>
          <w:tcPr>
            <w:tcW w:w="601"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Целевые ориентиры</w:t>
            </w:r>
          </w:p>
        </w:tc>
      </w:tr>
      <w:tr w:rsidR="00E46F08" w:rsidRPr="00B530DD" w:rsidTr="007748E9">
        <w:trPr>
          <w:trHeight w:val="227"/>
        </w:trPr>
        <w:tc>
          <w:tcPr>
            <w:tcW w:w="2433"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Промышленность</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3,3%</w:t>
            </w:r>
          </w:p>
        </w:tc>
        <w:tc>
          <w:tcPr>
            <w:tcW w:w="480"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3,2%</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3,0%</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3,0%</w:t>
            </w:r>
          </w:p>
        </w:tc>
        <w:tc>
          <w:tcPr>
            <w:tcW w:w="601"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3–3,5%</w:t>
            </w:r>
          </w:p>
        </w:tc>
      </w:tr>
      <w:tr w:rsidR="00E46F08" w:rsidRPr="00B530DD" w:rsidTr="007748E9">
        <w:trPr>
          <w:trHeight w:val="227"/>
        </w:trPr>
        <w:tc>
          <w:tcPr>
            <w:tcW w:w="2433"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Сельское хозяйство</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2,9%</w:t>
            </w:r>
          </w:p>
        </w:tc>
        <w:tc>
          <w:tcPr>
            <w:tcW w:w="480"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10,2%</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2,2%</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3,8%</w:t>
            </w:r>
          </w:p>
        </w:tc>
        <w:tc>
          <w:tcPr>
            <w:tcW w:w="601"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2–3%</w:t>
            </w:r>
          </w:p>
        </w:tc>
      </w:tr>
      <w:tr w:rsidR="00E46F08" w:rsidRPr="00B530DD" w:rsidTr="007748E9">
        <w:trPr>
          <w:trHeight w:val="227"/>
        </w:trPr>
        <w:tc>
          <w:tcPr>
            <w:tcW w:w="2433"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Транспорт</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3,5%</w:t>
            </w:r>
          </w:p>
        </w:tc>
        <w:tc>
          <w:tcPr>
            <w:tcW w:w="480"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4,3%</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4,0%</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3,9%</w:t>
            </w:r>
          </w:p>
        </w:tc>
        <w:tc>
          <w:tcPr>
            <w:tcW w:w="601"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4–4,5%</w:t>
            </w:r>
          </w:p>
        </w:tc>
      </w:tr>
      <w:tr w:rsidR="00E46F08" w:rsidRPr="00B530DD" w:rsidTr="007748E9">
        <w:trPr>
          <w:trHeight w:val="227"/>
        </w:trPr>
        <w:tc>
          <w:tcPr>
            <w:tcW w:w="2433"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Связь</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2,9%</w:t>
            </w:r>
          </w:p>
        </w:tc>
        <w:tc>
          <w:tcPr>
            <w:tcW w:w="480"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2,9%</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3,0%</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3,5%</w:t>
            </w:r>
          </w:p>
        </w:tc>
        <w:tc>
          <w:tcPr>
            <w:tcW w:w="601"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3–3,5%</w:t>
            </w:r>
          </w:p>
        </w:tc>
      </w:tr>
      <w:tr w:rsidR="00E46F08" w:rsidRPr="00B530DD" w:rsidTr="007748E9">
        <w:trPr>
          <w:trHeight w:val="227"/>
        </w:trPr>
        <w:tc>
          <w:tcPr>
            <w:tcW w:w="2433"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Строительство</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2,6%</w:t>
            </w:r>
          </w:p>
        </w:tc>
        <w:tc>
          <w:tcPr>
            <w:tcW w:w="480"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2,2%</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2,8%</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2,7%</w:t>
            </w:r>
          </w:p>
        </w:tc>
        <w:tc>
          <w:tcPr>
            <w:tcW w:w="601"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2,5–3%</w:t>
            </w:r>
          </w:p>
        </w:tc>
      </w:tr>
      <w:tr w:rsidR="00E46F08" w:rsidRPr="00B530DD" w:rsidTr="007748E9">
        <w:trPr>
          <w:trHeight w:val="227"/>
        </w:trPr>
        <w:tc>
          <w:tcPr>
            <w:tcW w:w="2433"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Торговля и общепит</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0,3%</w:t>
            </w:r>
          </w:p>
        </w:tc>
        <w:tc>
          <w:tcPr>
            <w:tcW w:w="480"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0,4%</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0,3%</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0,3%</w:t>
            </w:r>
          </w:p>
        </w:tc>
        <w:tc>
          <w:tcPr>
            <w:tcW w:w="601"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0,3–0,4%</w:t>
            </w:r>
          </w:p>
        </w:tc>
      </w:tr>
      <w:tr w:rsidR="00E46F08" w:rsidRPr="00B530DD" w:rsidTr="007748E9">
        <w:trPr>
          <w:trHeight w:val="227"/>
        </w:trPr>
        <w:tc>
          <w:tcPr>
            <w:tcW w:w="2433"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Операции с недвижимостью</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4,0%</w:t>
            </w:r>
          </w:p>
        </w:tc>
        <w:tc>
          <w:tcPr>
            <w:tcW w:w="480"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2,8%</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2,8%</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3,2%</w:t>
            </w:r>
          </w:p>
        </w:tc>
        <w:tc>
          <w:tcPr>
            <w:tcW w:w="601"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2,7–3%</w:t>
            </w:r>
          </w:p>
        </w:tc>
      </w:tr>
      <w:tr w:rsidR="00E46F08" w:rsidRPr="00B530DD" w:rsidTr="007748E9">
        <w:trPr>
          <w:trHeight w:val="227"/>
        </w:trPr>
        <w:tc>
          <w:tcPr>
            <w:tcW w:w="2433"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Жилищно-коммунальное хозяйство</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3,1%</w:t>
            </w:r>
          </w:p>
        </w:tc>
        <w:tc>
          <w:tcPr>
            <w:tcW w:w="480"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3,3%</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3,3%</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3,1%</w:t>
            </w:r>
          </w:p>
        </w:tc>
        <w:tc>
          <w:tcPr>
            <w:tcW w:w="601"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3,5–4%</w:t>
            </w:r>
          </w:p>
        </w:tc>
      </w:tr>
      <w:tr w:rsidR="00E46F08" w:rsidRPr="00B530DD" w:rsidTr="007748E9">
        <w:trPr>
          <w:trHeight w:val="227"/>
        </w:trPr>
        <w:tc>
          <w:tcPr>
            <w:tcW w:w="2433"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Непроизводственные виды бытового обслуживания</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3,0%</w:t>
            </w:r>
          </w:p>
        </w:tc>
        <w:tc>
          <w:tcPr>
            <w:tcW w:w="480"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3,0%</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3,8%</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3,3%</w:t>
            </w:r>
          </w:p>
        </w:tc>
        <w:tc>
          <w:tcPr>
            <w:tcW w:w="601"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3,5–4,5%</w:t>
            </w:r>
          </w:p>
        </w:tc>
      </w:tr>
      <w:tr w:rsidR="00E46F08" w:rsidRPr="00B530DD" w:rsidTr="007748E9">
        <w:trPr>
          <w:trHeight w:val="227"/>
        </w:trPr>
        <w:tc>
          <w:tcPr>
            <w:tcW w:w="2433"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Здравоохранение и социальное обеспечение</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3,0%</w:t>
            </w:r>
          </w:p>
        </w:tc>
        <w:tc>
          <w:tcPr>
            <w:tcW w:w="480"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4,1%</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2,7%</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2,9%</w:t>
            </w:r>
          </w:p>
        </w:tc>
        <w:tc>
          <w:tcPr>
            <w:tcW w:w="601"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2,7–3%</w:t>
            </w:r>
          </w:p>
        </w:tc>
      </w:tr>
      <w:tr w:rsidR="00E46F08" w:rsidRPr="00B530DD" w:rsidTr="007748E9">
        <w:trPr>
          <w:trHeight w:val="227"/>
        </w:trPr>
        <w:tc>
          <w:tcPr>
            <w:tcW w:w="2433"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Прочие виды</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1,5%</w:t>
            </w:r>
          </w:p>
        </w:tc>
        <w:tc>
          <w:tcPr>
            <w:tcW w:w="480"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2,0%</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4,9%</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1,5%</w:t>
            </w:r>
          </w:p>
        </w:tc>
        <w:tc>
          <w:tcPr>
            <w:tcW w:w="601"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2–4%</w:t>
            </w:r>
          </w:p>
        </w:tc>
      </w:tr>
      <w:tr w:rsidR="00E46F08" w:rsidRPr="00B530DD" w:rsidTr="007748E9">
        <w:trPr>
          <w:trHeight w:val="227"/>
        </w:trPr>
        <w:tc>
          <w:tcPr>
            <w:tcW w:w="2433"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b/>
                <w:bCs/>
                <w:lang w:eastAsia="en-US"/>
              </w:rPr>
            </w:pPr>
            <w:r w:rsidRPr="00B530DD">
              <w:rPr>
                <w:bCs/>
                <w:lang w:eastAsia="en-US"/>
              </w:rPr>
              <w:t>Всего (среднеотраслевой показатель)</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bCs/>
                <w:lang w:eastAsia="en-US"/>
              </w:rPr>
            </w:pPr>
            <w:r w:rsidRPr="00B530DD">
              <w:rPr>
                <w:bCs/>
                <w:lang w:eastAsia="en-US"/>
              </w:rPr>
              <w:t>1,3%</w:t>
            </w:r>
          </w:p>
        </w:tc>
        <w:tc>
          <w:tcPr>
            <w:tcW w:w="480"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bCs/>
                <w:lang w:eastAsia="en-US"/>
              </w:rPr>
            </w:pPr>
            <w:r w:rsidRPr="00B530DD">
              <w:rPr>
                <w:bCs/>
                <w:lang w:eastAsia="en-US"/>
              </w:rPr>
              <w:t>1,5%</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bCs/>
                <w:lang w:eastAsia="en-US"/>
              </w:rPr>
            </w:pPr>
            <w:r w:rsidRPr="00B530DD">
              <w:rPr>
                <w:bCs/>
                <w:lang w:eastAsia="en-US"/>
              </w:rPr>
              <w:t>1,4%</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bCs/>
                <w:lang w:eastAsia="en-US"/>
              </w:rPr>
            </w:pPr>
            <w:r w:rsidRPr="00B530DD">
              <w:rPr>
                <w:bCs/>
                <w:lang w:eastAsia="en-US"/>
              </w:rPr>
              <w:t>1,4%</w:t>
            </w:r>
          </w:p>
        </w:tc>
        <w:tc>
          <w:tcPr>
            <w:tcW w:w="601"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bCs/>
                <w:lang w:eastAsia="en-US"/>
              </w:rPr>
            </w:pPr>
            <w:r w:rsidRPr="00B530DD">
              <w:rPr>
                <w:bCs/>
                <w:lang w:eastAsia="en-US"/>
              </w:rPr>
              <w:t>1,4–1,5%</w:t>
            </w:r>
          </w:p>
        </w:tc>
      </w:tr>
      <w:tr w:rsidR="00E46F08" w:rsidRPr="00B530DD" w:rsidTr="007748E9">
        <w:trPr>
          <w:trHeight w:val="227"/>
        </w:trPr>
        <w:tc>
          <w:tcPr>
            <w:tcW w:w="2433" w:type="pct"/>
            <w:tcBorders>
              <w:top w:val="single" w:sz="4" w:space="0" w:color="auto"/>
              <w:left w:val="nil"/>
              <w:bottom w:val="single" w:sz="4" w:space="0" w:color="auto"/>
              <w:right w:val="nil"/>
            </w:tcBorders>
            <w:noWrap/>
            <w:vAlign w:val="bottom"/>
          </w:tcPr>
          <w:p w:rsidR="00E46F08" w:rsidRPr="00B530DD" w:rsidRDefault="00E46F08" w:rsidP="007748E9">
            <w:pPr>
              <w:rPr>
                <w:bCs/>
                <w:lang w:eastAsia="en-US"/>
              </w:rPr>
            </w:pPr>
          </w:p>
        </w:tc>
        <w:tc>
          <w:tcPr>
            <w:tcW w:w="479" w:type="pct"/>
            <w:tcBorders>
              <w:top w:val="single" w:sz="4" w:space="0" w:color="auto"/>
              <w:left w:val="nil"/>
              <w:bottom w:val="single" w:sz="4" w:space="0" w:color="auto"/>
              <w:right w:val="nil"/>
            </w:tcBorders>
            <w:vAlign w:val="bottom"/>
          </w:tcPr>
          <w:p w:rsidR="00E46F08" w:rsidRPr="00B530DD" w:rsidRDefault="00E46F08" w:rsidP="007748E9">
            <w:pPr>
              <w:jc w:val="center"/>
              <w:rPr>
                <w:bCs/>
                <w:lang w:eastAsia="en-US"/>
              </w:rPr>
            </w:pPr>
          </w:p>
        </w:tc>
        <w:tc>
          <w:tcPr>
            <w:tcW w:w="480" w:type="pct"/>
            <w:tcBorders>
              <w:top w:val="single" w:sz="4" w:space="0" w:color="auto"/>
              <w:left w:val="nil"/>
              <w:bottom w:val="single" w:sz="4" w:space="0" w:color="auto"/>
              <w:right w:val="nil"/>
            </w:tcBorders>
            <w:vAlign w:val="bottom"/>
          </w:tcPr>
          <w:p w:rsidR="00E46F08" w:rsidRPr="00B530DD" w:rsidRDefault="00E46F08" w:rsidP="007748E9">
            <w:pPr>
              <w:jc w:val="center"/>
              <w:rPr>
                <w:bCs/>
                <w:lang w:eastAsia="en-US"/>
              </w:rPr>
            </w:pPr>
          </w:p>
        </w:tc>
        <w:tc>
          <w:tcPr>
            <w:tcW w:w="479" w:type="pct"/>
            <w:tcBorders>
              <w:top w:val="single" w:sz="4" w:space="0" w:color="auto"/>
              <w:left w:val="nil"/>
              <w:bottom w:val="single" w:sz="4" w:space="0" w:color="auto"/>
              <w:right w:val="nil"/>
            </w:tcBorders>
            <w:vAlign w:val="bottom"/>
          </w:tcPr>
          <w:p w:rsidR="00E46F08" w:rsidRPr="00B530DD" w:rsidRDefault="00E46F08" w:rsidP="007748E9">
            <w:pPr>
              <w:jc w:val="center"/>
              <w:rPr>
                <w:bCs/>
                <w:lang w:eastAsia="en-US"/>
              </w:rPr>
            </w:pPr>
          </w:p>
        </w:tc>
        <w:tc>
          <w:tcPr>
            <w:tcW w:w="528" w:type="pct"/>
            <w:tcBorders>
              <w:top w:val="single" w:sz="4" w:space="0" w:color="auto"/>
              <w:left w:val="nil"/>
              <w:bottom w:val="single" w:sz="4" w:space="0" w:color="auto"/>
              <w:right w:val="nil"/>
            </w:tcBorders>
            <w:vAlign w:val="bottom"/>
          </w:tcPr>
          <w:p w:rsidR="00E46F08" w:rsidRPr="00B530DD" w:rsidRDefault="00E46F08" w:rsidP="007748E9">
            <w:pPr>
              <w:jc w:val="center"/>
              <w:rPr>
                <w:bCs/>
                <w:lang w:eastAsia="en-US"/>
              </w:rPr>
            </w:pPr>
          </w:p>
        </w:tc>
        <w:tc>
          <w:tcPr>
            <w:tcW w:w="601" w:type="pct"/>
            <w:tcBorders>
              <w:top w:val="single" w:sz="4" w:space="0" w:color="auto"/>
              <w:left w:val="nil"/>
              <w:bottom w:val="single" w:sz="4" w:space="0" w:color="auto"/>
              <w:right w:val="nil"/>
            </w:tcBorders>
          </w:tcPr>
          <w:p w:rsidR="00E46F08" w:rsidRPr="00B530DD" w:rsidRDefault="00E46F08" w:rsidP="007748E9">
            <w:pPr>
              <w:jc w:val="center"/>
              <w:rPr>
                <w:bCs/>
                <w:lang w:eastAsia="en-US"/>
              </w:rPr>
            </w:pPr>
          </w:p>
        </w:tc>
      </w:tr>
      <w:tr w:rsidR="00E46F08" w:rsidRPr="00B530DD" w:rsidTr="007748E9">
        <w:trPr>
          <w:trHeight w:val="397"/>
        </w:trPr>
        <w:tc>
          <w:tcPr>
            <w:tcW w:w="2433" w:type="pct"/>
            <w:vMerge w:val="restart"/>
            <w:tcBorders>
              <w:top w:val="single" w:sz="4" w:space="0" w:color="auto"/>
              <w:left w:val="single" w:sz="4" w:space="0" w:color="auto"/>
              <w:bottom w:val="single" w:sz="4" w:space="0" w:color="auto"/>
              <w:right w:val="single" w:sz="4" w:space="0" w:color="auto"/>
            </w:tcBorders>
            <w:noWrap/>
            <w:vAlign w:val="center"/>
            <w:hideMark/>
          </w:tcPr>
          <w:p w:rsidR="00E46F08" w:rsidRPr="00B530DD" w:rsidRDefault="00E46F08" w:rsidP="007748E9">
            <w:pPr>
              <w:jc w:val="center"/>
              <w:rPr>
                <w:lang w:eastAsia="en-US"/>
              </w:rPr>
            </w:pPr>
            <w:r w:rsidRPr="00B530DD">
              <w:rPr>
                <w:lang w:eastAsia="en-US"/>
              </w:rPr>
              <w:t xml:space="preserve">Наименование </w:t>
            </w:r>
          </w:p>
        </w:tc>
        <w:tc>
          <w:tcPr>
            <w:tcW w:w="2567" w:type="pct"/>
            <w:gridSpan w:val="5"/>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Единый социальный налог к валовой добавленной стоимости</w:t>
            </w:r>
          </w:p>
        </w:tc>
      </w:tr>
      <w:tr w:rsidR="00E46F08" w:rsidRPr="00B530DD" w:rsidTr="007748E9">
        <w:trPr>
          <w:trHeight w:val="227"/>
        </w:trPr>
        <w:tc>
          <w:tcPr>
            <w:tcW w:w="2433" w:type="pct"/>
            <w:vMerge/>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rPr>
                <w:lang w:eastAsia="en-US"/>
              </w:rPr>
            </w:pPr>
          </w:p>
        </w:tc>
        <w:tc>
          <w:tcPr>
            <w:tcW w:w="479"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2019 год</w:t>
            </w:r>
          </w:p>
        </w:tc>
        <w:tc>
          <w:tcPr>
            <w:tcW w:w="480"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2020 год</w:t>
            </w:r>
          </w:p>
        </w:tc>
        <w:tc>
          <w:tcPr>
            <w:tcW w:w="479"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2021 год</w:t>
            </w:r>
          </w:p>
        </w:tc>
        <w:tc>
          <w:tcPr>
            <w:tcW w:w="528"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 xml:space="preserve">2022 год </w:t>
            </w:r>
          </w:p>
        </w:tc>
        <w:tc>
          <w:tcPr>
            <w:tcW w:w="601"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Целевые ориентиры</w:t>
            </w:r>
          </w:p>
        </w:tc>
      </w:tr>
      <w:tr w:rsidR="00E46F08" w:rsidRPr="00B530DD" w:rsidTr="007748E9">
        <w:trPr>
          <w:trHeight w:val="227"/>
        </w:trPr>
        <w:tc>
          <w:tcPr>
            <w:tcW w:w="2433"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Промышленность</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8,6%</w:t>
            </w:r>
          </w:p>
        </w:tc>
        <w:tc>
          <w:tcPr>
            <w:tcW w:w="480"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8,2%</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7,2%</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7,2%</w:t>
            </w:r>
          </w:p>
        </w:tc>
        <w:tc>
          <w:tcPr>
            <w:tcW w:w="601"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7–8,5%</w:t>
            </w:r>
          </w:p>
        </w:tc>
      </w:tr>
      <w:tr w:rsidR="00E46F08" w:rsidRPr="00B530DD" w:rsidTr="007748E9">
        <w:trPr>
          <w:trHeight w:val="227"/>
        </w:trPr>
        <w:tc>
          <w:tcPr>
            <w:tcW w:w="2433"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Сельское хозяйство</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2,1%</w:t>
            </w:r>
          </w:p>
        </w:tc>
        <w:tc>
          <w:tcPr>
            <w:tcW w:w="480"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8,1%</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2,0%</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3,1%</w:t>
            </w:r>
          </w:p>
        </w:tc>
        <w:tc>
          <w:tcPr>
            <w:tcW w:w="601"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2–3%</w:t>
            </w:r>
          </w:p>
        </w:tc>
      </w:tr>
      <w:tr w:rsidR="00E46F08" w:rsidRPr="00B530DD" w:rsidTr="007748E9">
        <w:trPr>
          <w:trHeight w:val="227"/>
        </w:trPr>
        <w:tc>
          <w:tcPr>
            <w:tcW w:w="2433"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Транспорт</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9,9%</w:t>
            </w:r>
          </w:p>
        </w:tc>
        <w:tc>
          <w:tcPr>
            <w:tcW w:w="480"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11,4%</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11,4%</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11,3%</w:t>
            </w:r>
          </w:p>
        </w:tc>
        <w:tc>
          <w:tcPr>
            <w:tcW w:w="601"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10–12%</w:t>
            </w:r>
          </w:p>
        </w:tc>
      </w:tr>
      <w:tr w:rsidR="00E46F08" w:rsidRPr="00B530DD" w:rsidTr="007748E9">
        <w:trPr>
          <w:trHeight w:val="227"/>
        </w:trPr>
        <w:tc>
          <w:tcPr>
            <w:tcW w:w="2433"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Связь</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6,1%</w:t>
            </w:r>
          </w:p>
        </w:tc>
        <w:tc>
          <w:tcPr>
            <w:tcW w:w="480"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6,0%</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6,0%</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7,1%</w:t>
            </w:r>
          </w:p>
        </w:tc>
        <w:tc>
          <w:tcPr>
            <w:tcW w:w="601"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6–7%</w:t>
            </w:r>
          </w:p>
        </w:tc>
      </w:tr>
      <w:tr w:rsidR="00E46F08" w:rsidRPr="00B530DD" w:rsidTr="007748E9">
        <w:trPr>
          <w:trHeight w:val="227"/>
        </w:trPr>
        <w:tc>
          <w:tcPr>
            <w:tcW w:w="2433"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Строительство</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5,5%</w:t>
            </w:r>
          </w:p>
        </w:tc>
        <w:tc>
          <w:tcPr>
            <w:tcW w:w="480"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5,5%</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5,6%</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4,8%</w:t>
            </w:r>
          </w:p>
        </w:tc>
        <w:tc>
          <w:tcPr>
            <w:tcW w:w="601"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5,5–6%</w:t>
            </w:r>
          </w:p>
        </w:tc>
      </w:tr>
      <w:tr w:rsidR="00E46F08" w:rsidRPr="00B530DD" w:rsidTr="007748E9">
        <w:trPr>
          <w:trHeight w:val="227"/>
        </w:trPr>
        <w:tc>
          <w:tcPr>
            <w:tcW w:w="2433"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Торговля и общепит</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1,0%</w:t>
            </w:r>
          </w:p>
        </w:tc>
        <w:tc>
          <w:tcPr>
            <w:tcW w:w="480"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1,1%</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1,0%</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1,0%</w:t>
            </w:r>
          </w:p>
        </w:tc>
        <w:tc>
          <w:tcPr>
            <w:tcW w:w="601"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1–1,2%</w:t>
            </w:r>
          </w:p>
        </w:tc>
      </w:tr>
      <w:tr w:rsidR="00E46F08" w:rsidRPr="00B530DD" w:rsidTr="007748E9">
        <w:trPr>
          <w:trHeight w:val="227"/>
        </w:trPr>
        <w:tc>
          <w:tcPr>
            <w:tcW w:w="2433"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Операции с недвижимостью</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11,1%</w:t>
            </w:r>
          </w:p>
        </w:tc>
        <w:tc>
          <w:tcPr>
            <w:tcW w:w="480"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8,6%</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7,5%</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6,5%</w:t>
            </w:r>
          </w:p>
        </w:tc>
        <w:tc>
          <w:tcPr>
            <w:tcW w:w="601"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7,5–9%</w:t>
            </w:r>
          </w:p>
        </w:tc>
      </w:tr>
      <w:tr w:rsidR="00E46F08" w:rsidRPr="00B530DD" w:rsidTr="007748E9">
        <w:trPr>
          <w:trHeight w:val="227"/>
        </w:trPr>
        <w:tc>
          <w:tcPr>
            <w:tcW w:w="2433"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Жилищно-коммунальное хозяйство</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11,5%</w:t>
            </w:r>
          </w:p>
        </w:tc>
        <w:tc>
          <w:tcPr>
            <w:tcW w:w="480"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11,4%</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11,1%</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10,8%</w:t>
            </w:r>
          </w:p>
        </w:tc>
        <w:tc>
          <w:tcPr>
            <w:tcW w:w="601"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11–12,5%</w:t>
            </w:r>
          </w:p>
        </w:tc>
      </w:tr>
      <w:tr w:rsidR="00E46F08" w:rsidRPr="00B530DD" w:rsidTr="007748E9">
        <w:trPr>
          <w:trHeight w:val="227"/>
        </w:trPr>
        <w:tc>
          <w:tcPr>
            <w:tcW w:w="2433"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Непроизводственные виды бытового обслуживания</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8,7%</w:t>
            </w:r>
          </w:p>
        </w:tc>
        <w:tc>
          <w:tcPr>
            <w:tcW w:w="480"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7,2%</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7,9%</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8,0%</w:t>
            </w:r>
          </w:p>
        </w:tc>
        <w:tc>
          <w:tcPr>
            <w:tcW w:w="601"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8–9,5%</w:t>
            </w:r>
          </w:p>
        </w:tc>
      </w:tr>
      <w:tr w:rsidR="00E46F08" w:rsidRPr="00B530DD" w:rsidTr="007748E9">
        <w:trPr>
          <w:trHeight w:val="227"/>
        </w:trPr>
        <w:tc>
          <w:tcPr>
            <w:tcW w:w="2433"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Здравоохранение и социальное обеспечение</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7,9%</w:t>
            </w:r>
          </w:p>
        </w:tc>
        <w:tc>
          <w:tcPr>
            <w:tcW w:w="480"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9,0%</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6,7%</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8,1%</w:t>
            </w:r>
          </w:p>
        </w:tc>
        <w:tc>
          <w:tcPr>
            <w:tcW w:w="601"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7–9%</w:t>
            </w:r>
          </w:p>
        </w:tc>
      </w:tr>
      <w:tr w:rsidR="00E46F08" w:rsidRPr="00B530DD" w:rsidTr="007748E9">
        <w:trPr>
          <w:trHeight w:val="227"/>
        </w:trPr>
        <w:tc>
          <w:tcPr>
            <w:tcW w:w="2433"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Прочие виды</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2,9%</w:t>
            </w:r>
          </w:p>
        </w:tc>
        <w:tc>
          <w:tcPr>
            <w:tcW w:w="480"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4,1%</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9,2%</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3,1%</w:t>
            </w:r>
          </w:p>
        </w:tc>
        <w:tc>
          <w:tcPr>
            <w:tcW w:w="601"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4–9%</w:t>
            </w:r>
          </w:p>
        </w:tc>
      </w:tr>
      <w:tr w:rsidR="00E46F08" w:rsidRPr="00B530DD" w:rsidTr="007748E9">
        <w:trPr>
          <w:trHeight w:val="227"/>
        </w:trPr>
        <w:tc>
          <w:tcPr>
            <w:tcW w:w="2433"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b/>
                <w:bCs/>
                <w:lang w:eastAsia="en-US"/>
              </w:rPr>
            </w:pPr>
            <w:r w:rsidRPr="00B530DD">
              <w:rPr>
                <w:bCs/>
                <w:lang w:eastAsia="en-US"/>
              </w:rPr>
              <w:t>Всего (среднеотраслевой показатель)</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bCs/>
                <w:lang w:eastAsia="en-US"/>
              </w:rPr>
            </w:pPr>
            <w:r w:rsidRPr="00B530DD">
              <w:rPr>
                <w:bCs/>
                <w:lang w:eastAsia="en-US"/>
              </w:rPr>
              <w:t>3,5%</w:t>
            </w:r>
          </w:p>
        </w:tc>
        <w:tc>
          <w:tcPr>
            <w:tcW w:w="480"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bCs/>
                <w:lang w:eastAsia="en-US"/>
              </w:rPr>
            </w:pPr>
            <w:r w:rsidRPr="00B530DD">
              <w:rPr>
                <w:bCs/>
                <w:lang w:eastAsia="en-US"/>
              </w:rPr>
              <w:t>3,7%</w:t>
            </w:r>
          </w:p>
        </w:tc>
        <w:tc>
          <w:tcPr>
            <w:tcW w:w="47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bCs/>
                <w:lang w:eastAsia="en-US"/>
              </w:rPr>
            </w:pPr>
            <w:r w:rsidRPr="00B530DD">
              <w:rPr>
                <w:bCs/>
                <w:lang w:eastAsia="en-US"/>
              </w:rPr>
              <w:t>3,4%</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bCs/>
                <w:lang w:eastAsia="en-US"/>
              </w:rPr>
            </w:pPr>
            <w:r w:rsidRPr="00B530DD">
              <w:rPr>
                <w:bCs/>
                <w:lang w:eastAsia="en-US"/>
              </w:rPr>
              <w:t>3,3%</w:t>
            </w:r>
          </w:p>
        </w:tc>
        <w:tc>
          <w:tcPr>
            <w:tcW w:w="601"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bCs/>
                <w:lang w:eastAsia="en-US"/>
              </w:rPr>
            </w:pPr>
            <w:r w:rsidRPr="00B530DD">
              <w:rPr>
                <w:bCs/>
                <w:lang w:eastAsia="en-US"/>
              </w:rPr>
              <w:t>3,4–3,7%</w:t>
            </w:r>
          </w:p>
        </w:tc>
      </w:tr>
    </w:tbl>
    <w:p w:rsidR="00E46F08" w:rsidRPr="00B530DD" w:rsidRDefault="00E46F08" w:rsidP="00E46F08">
      <w:pPr>
        <w:tabs>
          <w:tab w:val="left" w:pos="916"/>
          <w:tab w:val="left" w:pos="1832"/>
          <w:tab w:val="left" w:pos="2748"/>
          <w:tab w:val="left" w:pos="3664"/>
          <w:tab w:val="left" w:pos="4580"/>
          <w:tab w:val="left" w:pos="5496"/>
          <w:tab w:val="left" w:pos="6412"/>
          <w:tab w:val="left" w:pos="7328"/>
          <w:tab w:val="left" w:pos="8244"/>
          <w:tab w:val="left" w:pos="8848"/>
        </w:tabs>
        <w:jc w:val="center"/>
        <w:rPr>
          <w:bCs/>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3"/>
        <w:gridCol w:w="1511"/>
        <w:gridCol w:w="1511"/>
        <w:gridCol w:w="1511"/>
        <w:gridCol w:w="1677"/>
        <w:gridCol w:w="2117"/>
      </w:tblGrid>
      <w:tr w:rsidR="00E46F08" w:rsidRPr="00B530DD" w:rsidTr="007748E9">
        <w:trPr>
          <w:trHeight w:val="397"/>
        </w:trPr>
        <w:tc>
          <w:tcPr>
            <w:tcW w:w="2140" w:type="pct"/>
            <w:vMerge w:val="restart"/>
            <w:tcBorders>
              <w:top w:val="single" w:sz="4" w:space="0" w:color="auto"/>
              <w:left w:val="single" w:sz="4" w:space="0" w:color="auto"/>
              <w:bottom w:val="single" w:sz="4" w:space="0" w:color="auto"/>
              <w:right w:val="single" w:sz="4" w:space="0" w:color="auto"/>
            </w:tcBorders>
            <w:noWrap/>
            <w:vAlign w:val="center"/>
            <w:hideMark/>
          </w:tcPr>
          <w:p w:rsidR="00E46F08" w:rsidRPr="00B530DD" w:rsidRDefault="00E46F08" w:rsidP="007748E9">
            <w:pPr>
              <w:jc w:val="center"/>
              <w:rPr>
                <w:lang w:eastAsia="en-US"/>
              </w:rPr>
            </w:pPr>
            <w:r w:rsidRPr="00B530DD">
              <w:rPr>
                <w:lang w:eastAsia="en-US"/>
              </w:rPr>
              <w:lastRenderedPageBreak/>
              <w:t xml:space="preserve">Наименование </w:t>
            </w:r>
          </w:p>
        </w:tc>
        <w:tc>
          <w:tcPr>
            <w:tcW w:w="2860" w:type="pct"/>
            <w:gridSpan w:val="5"/>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Обязательный страховой взнос к валовой добавленной стоимости</w:t>
            </w:r>
          </w:p>
        </w:tc>
      </w:tr>
      <w:tr w:rsidR="00E46F08" w:rsidRPr="00B530DD" w:rsidTr="007748E9">
        <w:trPr>
          <w:trHeight w:val="227"/>
        </w:trPr>
        <w:tc>
          <w:tcPr>
            <w:tcW w:w="2140" w:type="pct"/>
            <w:vMerge/>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rPr>
                <w:lang w:eastAsia="en-US"/>
              </w:rPr>
            </w:pPr>
          </w:p>
        </w:tc>
        <w:tc>
          <w:tcPr>
            <w:tcW w:w="519"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2019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2020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2021 год</w:t>
            </w:r>
          </w:p>
        </w:tc>
        <w:tc>
          <w:tcPr>
            <w:tcW w:w="576"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 xml:space="preserve">2022 год </w:t>
            </w:r>
          </w:p>
        </w:tc>
        <w:tc>
          <w:tcPr>
            <w:tcW w:w="728"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Целевые ориентиры</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Промышленность</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0,9%</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0,9%</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0,9–1%</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Сельское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0,8%</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3,2%</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0,7%</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1,0%</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0,7–0,8%</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Транспорт</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1,2%</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1,4%</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1,4%</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1,4%</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1,3–1,4%</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Связь</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0,7%</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0,7%</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0,7%</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0,8%</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0,7–0,8%</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Строительство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0,9%</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0,8%</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0,9%</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1,0%</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0,7–0,9%</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Торговля и общепит</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0,1%</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0,1%</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0,1%</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0,1%</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0,1%</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Операции с недвижимостью</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1,6%</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1,2%</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1,1%</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0,9%</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1–1,2%</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Жилищно-коммунальное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1,4%</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1,3%</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1,3%</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1,3%</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1,3–1,4%</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Непроизводственные виды бытового обслуживания</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1,1%</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1,1%</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1,1%</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1,1%</w:t>
            </w:r>
          </w:p>
        </w:tc>
        <w:tc>
          <w:tcPr>
            <w:tcW w:w="728"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1,1–1,2%</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Здравоохранение и социальное обеспечение</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1,1%</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0,9%</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1,2%</w:t>
            </w:r>
          </w:p>
        </w:tc>
        <w:tc>
          <w:tcPr>
            <w:tcW w:w="728"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0,8–1%</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Прочие виды</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0,7%</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1,1%</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2,5%</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0,8%</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1–2%</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b/>
                <w:bCs/>
                <w:lang w:eastAsia="en-US"/>
              </w:rPr>
            </w:pPr>
            <w:r w:rsidRPr="00B530DD">
              <w:rPr>
                <w:bCs/>
                <w:lang w:eastAsia="en-US"/>
              </w:rPr>
              <w:t>Всего (среднеотраслевой показатель)</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bCs/>
                <w:lang w:eastAsia="en-US"/>
              </w:rPr>
            </w:pPr>
            <w:r w:rsidRPr="00B530DD">
              <w:rPr>
                <w:bCs/>
                <w:lang w:eastAsia="en-US"/>
              </w:rPr>
              <w:t>0,4%</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bCs/>
                <w:lang w:eastAsia="en-US"/>
              </w:rPr>
            </w:pPr>
            <w:r w:rsidRPr="00B530DD">
              <w:rPr>
                <w:bCs/>
                <w:lang w:eastAsia="en-US"/>
              </w:rPr>
              <w:t>0,5%</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bCs/>
                <w:lang w:eastAsia="en-US"/>
              </w:rPr>
            </w:pPr>
            <w:r w:rsidRPr="00B530DD">
              <w:rPr>
                <w:bCs/>
                <w:lang w:eastAsia="en-US"/>
              </w:rPr>
              <w:t>0,4%</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bCs/>
                <w:lang w:eastAsia="en-US"/>
              </w:rPr>
            </w:pPr>
            <w:r w:rsidRPr="00B530DD">
              <w:rPr>
                <w:bCs/>
                <w:lang w:eastAsia="en-US"/>
              </w:rPr>
              <w:t>0,4%</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bCs/>
                <w:lang w:eastAsia="en-US"/>
              </w:rPr>
            </w:pPr>
            <w:r w:rsidRPr="00B530DD">
              <w:rPr>
                <w:bCs/>
                <w:lang w:eastAsia="en-US"/>
              </w:rPr>
              <w:t>0,4–0,5%</w:t>
            </w:r>
          </w:p>
        </w:tc>
      </w:tr>
    </w:tbl>
    <w:p w:rsidR="00E46F08" w:rsidRPr="00881766" w:rsidRDefault="00E46F08" w:rsidP="00E46F08">
      <w:pPr>
        <w:tabs>
          <w:tab w:val="left" w:pos="916"/>
          <w:tab w:val="left" w:pos="1832"/>
          <w:tab w:val="left" w:pos="2748"/>
          <w:tab w:val="left" w:pos="3664"/>
          <w:tab w:val="left" w:pos="4580"/>
          <w:tab w:val="left" w:pos="5496"/>
          <w:tab w:val="left" w:pos="6412"/>
          <w:tab w:val="left" w:pos="7328"/>
          <w:tab w:val="left" w:pos="8244"/>
          <w:tab w:val="left" w:pos="8848"/>
        </w:tabs>
        <w:jc w:val="center"/>
        <w:rPr>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3"/>
        <w:gridCol w:w="1511"/>
        <w:gridCol w:w="1511"/>
        <w:gridCol w:w="1511"/>
        <w:gridCol w:w="1677"/>
        <w:gridCol w:w="2117"/>
      </w:tblGrid>
      <w:tr w:rsidR="00E46F08" w:rsidRPr="00B530DD" w:rsidTr="007748E9">
        <w:trPr>
          <w:trHeight w:val="397"/>
        </w:trPr>
        <w:tc>
          <w:tcPr>
            <w:tcW w:w="2140" w:type="pct"/>
            <w:vMerge w:val="restart"/>
            <w:tcBorders>
              <w:top w:val="single" w:sz="4" w:space="0" w:color="auto"/>
              <w:left w:val="single" w:sz="4" w:space="0" w:color="auto"/>
              <w:bottom w:val="single" w:sz="4" w:space="0" w:color="auto"/>
              <w:right w:val="single" w:sz="4" w:space="0" w:color="auto"/>
            </w:tcBorders>
            <w:noWrap/>
            <w:vAlign w:val="center"/>
            <w:hideMark/>
          </w:tcPr>
          <w:p w:rsidR="00E46F08" w:rsidRPr="00B530DD" w:rsidRDefault="00E46F08" w:rsidP="007748E9">
            <w:pPr>
              <w:jc w:val="center"/>
              <w:rPr>
                <w:lang w:eastAsia="en-US"/>
              </w:rPr>
            </w:pPr>
            <w:r w:rsidRPr="00B530DD">
              <w:rPr>
                <w:lang w:eastAsia="en-US"/>
              </w:rPr>
              <w:t xml:space="preserve">Наименование </w:t>
            </w:r>
          </w:p>
        </w:tc>
        <w:tc>
          <w:tcPr>
            <w:tcW w:w="2860" w:type="pct"/>
            <w:gridSpan w:val="5"/>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Земельный налог к валовой добавленной стоимости</w:t>
            </w:r>
          </w:p>
        </w:tc>
      </w:tr>
      <w:tr w:rsidR="00E46F08" w:rsidRPr="00B530DD" w:rsidTr="007748E9">
        <w:trPr>
          <w:trHeight w:val="227"/>
        </w:trPr>
        <w:tc>
          <w:tcPr>
            <w:tcW w:w="2140" w:type="pct"/>
            <w:vMerge/>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rPr>
                <w:lang w:eastAsia="en-US"/>
              </w:rPr>
            </w:pPr>
          </w:p>
        </w:tc>
        <w:tc>
          <w:tcPr>
            <w:tcW w:w="519"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2019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2020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2021 год</w:t>
            </w:r>
          </w:p>
        </w:tc>
        <w:tc>
          <w:tcPr>
            <w:tcW w:w="576"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 xml:space="preserve">2022 год </w:t>
            </w:r>
          </w:p>
        </w:tc>
        <w:tc>
          <w:tcPr>
            <w:tcW w:w="727"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Целевые ориентиры</w:t>
            </w:r>
          </w:p>
        </w:tc>
      </w:tr>
      <w:tr w:rsidR="00E46F08" w:rsidRPr="00B530DD" w:rsidTr="007748E9">
        <w:trPr>
          <w:trHeight w:val="166"/>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Промышленность</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0,5%</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0,5%</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0,4%</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0,3%</w:t>
            </w:r>
          </w:p>
        </w:tc>
        <w:tc>
          <w:tcPr>
            <w:tcW w:w="727"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0,3–0,5%</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Сельское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4,8%</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7,1%</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2,9%</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3,3%</w:t>
            </w:r>
          </w:p>
        </w:tc>
        <w:tc>
          <w:tcPr>
            <w:tcW w:w="727"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1,5–3%</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Транспорт</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0,4%</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0,5%</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0,5%</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0,5%</w:t>
            </w:r>
          </w:p>
        </w:tc>
        <w:tc>
          <w:tcPr>
            <w:tcW w:w="727"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0,4–0,5%</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Связь</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0,1%</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0,1%</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0,1%</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0,1%</w:t>
            </w:r>
          </w:p>
        </w:tc>
        <w:tc>
          <w:tcPr>
            <w:tcW w:w="727"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0,1%</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Строительство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0,4%</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0,3%</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0,3%</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0,3%</w:t>
            </w:r>
          </w:p>
        </w:tc>
        <w:tc>
          <w:tcPr>
            <w:tcW w:w="727"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0,3–0,4%</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Торговля и общепит</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0,0%</w:t>
            </w:r>
          </w:p>
        </w:tc>
        <w:tc>
          <w:tcPr>
            <w:tcW w:w="727"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0–0,1%</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Операции с недвижимостью</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2,5%</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2,2%</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1,8%</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1,4%</w:t>
            </w:r>
          </w:p>
        </w:tc>
        <w:tc>
          <w:tcPr>
            <w:tcW w:w="727"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1–2%</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Жилищно-коммунальное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0,5%</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0,7%</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0,7%</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0,7%</w:t>
            </w:r>
          </w:p>
        </w:tc>
        <w:tc>
          <w:tcPr>
            <w:tcW w:w="727"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0,7–0,9%</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Непроизводственные виды бытового обслуживания</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0,7%</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0,7%</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0,5%</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0,2%</w:t>
            </w:r>
          </w:p>
        </w:tc>
        <w:tc>
          <w:tcPr>
            <w:tcW w:w="727"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0,5–0,7%</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Здравоохранение и социальное обеспечение</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0,0%</w:t>
            </w:r>
          </w:p>
        </w:tc>
        <w:tc>
          <w:tcPr>
            <w:tcW w:w="727"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0–0,1%</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Прочие виды</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0,1%</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0,1%</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0,3%</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0,1%</w:t>
            </w:r>
          </w:p>
        </w:tc>
        <w:tc>
          <w:tcPr>
            <w:tcW w:w="727"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0,1–0,3%</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b/>
                <w:bCs/>
                <w:lang w:eastAsia="en-US"/>
              </w:rPr>
            </w:pPr>
            <w:r w:rsidRPr="00B530DD">
              <w:rPr>
                <w:bCs/>
                <w:lang w:eastAsia="en-US"/>
              </w:rPr>
              <w:t>Всего (среднеотраслевой показатель)</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bCs/>
                <w:lang w:eastAsia="en-US"/>
              </w:rPr>
            </w:pPr>
            <w:r w:rsidRPr="00B530DD">
              <w:rPr>
                <w:bCs/>
                <w:lang w:eastAsia="en-US"/>
              </w:rPr>
              <w:t>0,3%</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bCs/>
                <w:lang w:eastAsia="en-US"/>
              </w:rPr>
            </w:pPr>
            <w:r w:rsidRPr="00B530DD">
              <w:rPr>
                <w:bCs/>
                <w:lang w:eastAsia="en-US"/>
              </w:rPr>
              <w:t>0,2%</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bCs/>
                <w:lang w:eastAsia="en-US"/>
              </w:rPr>
            </w:pPr>
            <w:r w:rsidRPr="00B530DD">
              <w:rPr>
                <w:bCs/>
                <w:lang w:eastAsia="en-US"/>
              </w:rPr>
              <w:t>0,3%</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6F08" w:rsidRPr="00B530DD" w:rsidRDefault="00E46F08" w:rsidP="007748E9">
            <w:pPr>
              <w:jc w:val="center"/>
              <w:rPr>
                <w:bCs/>
                <w:lang w:eastAsia="en-US"/>
              </w:rPr>
            </w:pPr>
            <w:r w:rsidRPr="00B530DD">
              <w:rPr>
                <w:bCs/>
                <w:lang w:eastAsia="en-US"/>
              </w:rPr>
              <w:t>0,2%</w:t>
            </w:r>
          </w:p>
        </w:tc>
        <w:tc>
          <w:tcPr>
            <w:tcW w:w="727"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bCs/>
                <w:lang w:eastAsia="en-US"/>
              </w:rPr>
            </w:pPr>
            <w:r w:rsidRPr="00B530DD">
              <w:rPr>
                <w:bCs/>
                <w:lang w:eastAsia="en-US"/>
              </w:rPr>
              <w:t>0,2–0,3%</w:t>
            </w:r>
          </w:p>
        </w:tc>
      </w:tr>
      <w:tr w:rsidR="00E46F08" w:rsidRPr="00B530DD" w:rsidTr="007748E9">
        <w:trPr>
          <w:trHeight w:val="397"/>
        </w:trPr>
        <w:tc>
          <w:tcPr>
            <w:tcW w:w="2140" w:type="pct"/>
            <w:vMerge w:val="restart"/>
            <w:tcBorders>
              <w:top w:val="single" w:sz="4" w:space="0" w:color="auto"/>
              <w:left w:val="single" w:sz="4" w:space="0" w:color="auto"/>
              <w:bottom w:val="single" w:sz="4" w:space="0" w:color="auto"/>
              <w:right w:val="single" w:sz="4" w:space="0" w:color="auto"/>
            </w:tcBorders>
            <w:noWrap/>
            <w:vAlign w:val="center"/>
            <w:hideMark/>
          </w:tcPr>
          <w:p w:rsidR="00E46F08" w:rsidRPr="00B530DD" w:rsidRDefault="00E46F08" w:rsidP="007748E9">
            <w:pPr>
              <w:jc w:val="center"/>
              <w:rPr>
                <w:lang w:eastAsia="en-US"/>
              </w:rPr>
            </w:pPr>
            <w:r w:rsidRPr="00B530DD">
              <w:rPr>
                <w:lang w:eastAsia="en-US"/>
              </w:rPr>
              <w:lastRenderedPageBreak/>
              <w:t xml:space="preserve">Наименование </w:t>
            </w:r>
          </w:p>
        </w:tc>
        <w:tc>
          <w:tcPr>
            <w:tcW w:w="2860" w:type="pct"/>
            <w:gridSpan w:val="5"/>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Акцизы к валовой добавленной стоимости</w:t>
            </w:r>
          </w:p>
        </w:tc>
      </w:tr>
      <w:tr w:rsidR="00E46F08" w:rsidRPr="00B530DD" w:rsidTr="007748E9">
        <w:trPr>
          <w:trHeight w:val="227"/>
        </w:trPr>
        <w:tc>
          <w:tcPr>
            <w:tcW w:w="2140" w:type="pct"/>
            <w:vMerge/>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rPr>
                <w:lang w:eastAsia="en-US"/>
              </w:rPr>
            </w:pPr>
          </w:p>
        </w:tc>
        <w:tc>
          <w:tcPr>
            <w:tcW w:w="519"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2019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2020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2021 год</w:t>
            </w:r>
          </w:p>
        </w:tc>
        <w:tc>
          <w:tcPr>
            <w:tcW w:w="576"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 xml:space="preserve">2022 год </w:t>
            </w:r>
          </w:p>
        </w:tc>
        <w:tc>
          <w:tcPr>
            <w:tcW w:w="727"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Целевые ориентиры</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Промышленность</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0,6%</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0,6%</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0,6%</w:t>
            </w:r>
          </w:p>
        </w:tc>
        <w:tc>
          <w:tcPr>
            <w:tcW w:w="727"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0,5–0,6%</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Сельское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0,0%</w:t>
            </w:r>
          </w:p>
        </w:tc>
        <w:tc>
          <w:tcPr>
            <w:tcW w:w="727"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0%</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Транспорт</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0,0%</w:t>
            </w:r>
          </w:p>
        </w:tc>
        <w:tc>
          <w:tcPr>
            <w:tcW w:w="727"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0%</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Связь</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0,0%</w:t>
            </w:r>
          </w:p>
        </w:tc>
        <w:tc>
          <w:tcPr>
            <w:tcW w:w="727"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0%</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Строительство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0,0%</w:t>
            </w:r>
          </w:p>
        </w:tc>
        <w:tc>
          <w:tcPr>
            <w:tcW w:w="727"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0%</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Торговля и общепит</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1,5%</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1,4%</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1,3%</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1,1%</w:t>
            </w:r>
          </w:p>
        </w:tc>
        <w:tc>
          <w:tcPr>
            <w:tcW w:w="727"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1,5–2%</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Операции с недвижимостью</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0,0%</w:t>
            </w:r>
          </w:p>
        </w:tc>
        <w:tc>
          <w:tcPr>
            <w:tcW w:w="727"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0%</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Жилищно-коммунальное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0,0%</w:t>
            </w:r>
          </w:p>
        </w:tc>
        <w:tc>
          <w:tcPr>
            <w:tcW w:w="727"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0%</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Непроизводственные виды бытового обслуживания</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0,0%</w:t>
            </w:r>
          </w:p>
        </w:tc>
        <w:tc>
          <w:tcPr>
            <w:tcW w:w="727"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Здравоохранение и социальное обеспечение</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0,0%</w:t>
            </w:r>
          </w:p>
        </w:tc>
        <w:tc>
          <w:tcPr>
            <w:tcW w:w="727"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Прочие виды</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0,0%</w:t>
            </w:r>
          </w:p>
        </w:tc>
        <w:tc>
          <w:tcPr>
            <w:tcW w:w="727"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0%</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b/>
                <w:bCs/>
                <w:lang w:eastAsia="en-US"/>
              </w:rPr>
            </w:pPr>
            <w:r w:rsidRPr="00B530DD">
              <w:rPr>
                <w:bCs/>
                <w:lang w:eastAsia="en-US"/>
              </w:rPr>
              <w:t>Всего (среднеотраслевой показатель)</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bCs/>
                <w:lang w:eastAsia="en-US"/>
              </w:rPr>
            </w:pPr>
            <w:r w:rsidRPr="00B530DD">
              <w:rPr>
                <w:bCs/>
                <w:lang w:eastAsia="en-US"/>
              </w:rPr>
              <w:t>1,1%</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bCs/>
                <w:lang w:eastAsia="en-US"/>
              </w:rPr>
            </w:pPr>
            <w:r w:rsidRPr="00B530DD">
              <w:rPr>
                <w:bCs/>
                <w:lang w:eastAsia="en-US"/>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bCs/>
                <w:lang w:eastAsia="en-US"/>
              </w:rPr>
            </w:pPr>
            <w:r w:rsidRPr="00B530DD">
              <w:rPr>
                <w:bCs/>
                <w:lang w:eastAsia="en-US"/>
              </w:rPr>
              <w:t>0,9%</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bCs/>
                <w:lang w:eastAsia="en-US"/>
              </w:rPr>
            </w:pPr>
            <w:r w:rsidRPr="00B530DD">
              <w:rPr>
                <w:bCs/>
                <w:lang w:eastAsia="en-US"/>
              </w:rPr>
              <w:t>0,8%</w:t>
            </w:r>
          </w:p>
        </w:tc>
        <w:tc>
          <w:tcPr>
            <w:tcW w:w="727"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bCs/>
                <w:lang w:eastAsia="en-US"/>
              </w:rPr>
            </w:pPr>
            <w:r w:rsidRPr="00B530DD">
              <w:rPr>
                <w:bCs/>
                <w:lang w:eastAsia="en-US"/>
              </w:rPr>
              <w:t>1–1,3%</w:t>
            </w:r>
          </w:p>
        </w:tc>
      </w:tr>
    </w:tbl>
    <w:p w:rsidR="00E46F08" w:rsidRDefault="00E46F08" w:rsidP="00E46F08">
      <w:pPr>
        <w:tabs>
          <w:tab w:val="left" w:pos="916"/>
          <w:tab w:val="left" w:pos="1832"/>
          <w:tab w:val="left" w:pos="2748"/>
          <w:tab w:val="left" w:pos="3664"/>
          <w:tab w:val="left" w:pos="4580"/>
          <w:tab w:val="left" w:pos="5496"/>
          <w:tab w:val="left" w:pos="6412"/>
          <w:tab w:val="left" w:pos="7328"/>
          <w:tab w:val="left" w:pos="8244"/>
          <w:tab w:val="left" w:pos="8848"/>
        </w:tabs>
        <w:jc w:val="center"/>
        <w:rPr>
          <w:bCs/>
          <w:sz w:val="26"/>
          <w:szCs w:val="26"/>
        </w:rPr>
      </w:pPr>
    </w:p>
    <w:p w:rsidR="00E46F08" w:rsidRPr="00881766" w:rsidRDefault="00E46F08" w:rsidP="00E46F08">
      <w:pPr>
        <w:tabs>
          <w:tab w:val="left" w:pos="916"/>
          <w:tab w:val="left" w:pos="1832"/>
          <w:tab w:val="left" w:pos="2748"/>
          <w:tab w:val="left" w:pos="3664"/>
          <w:tab w:val="left" w:pos="4580"/>
          <w:tab w:val="left" w:pos="5496"/>
          <w:tab w:val="left" w:pos="6412"/>
          <w:tab w:val="left" w:pos="7328"/>
          <w:tab w:val="left" w:pos="8244"/>
          <w:tab w:val="left" w:pos="8848"/>
        </w:tabs>
        <w:jc w:val="center"/>
        <w:rPr>
          <w:bCs/>
          <w:sz w:val="26"/>
          <w:szCs w:val="26"/>
        </w:rPr>
      </w:pPr>
      <w:r>
        <w:rPr>
          <w:bCs/>
          <w:sz w:val="26"/>
          <w:szCs w:val="2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3"/>
        <w:gridCol w:w="1511"/>
        <w:gridCol w:w="1511"/>
        <w:gridCol w:w="1511"/>
        <w:gridCol w:w="1677"/>
        <w:gridCol w:w="2117"/>
      </w:tblGrid>
      <w:tr w:rsidR="00E46F08" w:rsidRPr="00B530DD" w:rsidTr="007748E9">
        <w:trPr>
          <w:trHeight w:val="397"/>
        </w:trPr>
        <w:tc>
          <w:tcPr>
            <w:tcW w:w="2140" w:type="pct"/>
            <w:vMerge w:val="restart"/>
            <w:tcBorders>
              <w:top w:val="single" w:sz="4" w:space="0" w:color="auto"/>
              <w:left w:val="single" w:sz="4" w:space="0" w:color="auto"/>
              <w:bottom w:val="single" w:sz="4" w:space="0" w:color="auto"/>
              <w:right w:val="single" w:sz="4" w:space="0" w:color="auto"/>
            </w:tcBorders>
            <w:noWrap/>
            <w:vAlign w:val="center"/>
            <w:hideMark/>
          </w:tcPr>
          <w:p w:rsidR="00E46F08" w:rsidRPr="00B530DD" w:rsidRDefault="00E46F08" w:rsidP="007748E9">
            <w:pPr>
              <w:jc w:val="center"/>
              <w:rPr>
                <w:lang w:eastAsia="en-US"/>
              </w:rPr>
            </w:pPr>
            <w:r w:rsidRPr="00B530DD">
              <w:rPr>
                <w:lang w:eastAsia="en-US"/>
              </w:rPr>
              <w:lastRenderedPageBreak/>
              <w:t xml:space="preserve">Наименование </w:t>
            </w:r>
          </w:p>
        </w:tc>
        <w:tc>
          <w:tcPr>
            <w:tcW w:w="2860" w:type="pct"/>
            <w:gridSpan w:val="5"/>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Прочие налоги к валовой добавленной стоимости</w:t>
            </w:r>
          </w:p>
        </w:tc>
      </w:tr>
      <w:tr w:rsidR="00E46F08" w:rsidRPr="00B530DD" w:rsidTr="007748E9">
        <w:trPr>
          <w:trHeight w:val="227"/>
        </w:trPr>
        <w:tc>
          <w:tcPr>
            <w:tcW w:w="2140" w:type="pct"/>
            <w:vMerge/>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rPr>
                <w:lang w:eastAsia="en-US"/>
              </w:rPr>
            </w:pPr>
          </w:p>
        </w:tc>
        <w:tc>
          <w:tcPr>
            <w:tcW w:w="519"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2019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2020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2021 год</w:t>
            </w:r>
          </w:p>
        </w:tc>
        <w:tc>
          <w:tcPr>
            <w:tcW w:w="576"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 xml:space="preserve">2022 год </w:t>
            </w:r>
          </w:p>
        </w:tc>
        <w:tc>
          <w:tcPr>
            <w:tcW w:w="728"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Целевые ориентиры</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Промышленность</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2,3%</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2,1%</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2,1%</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2,2%</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2–2,1%</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Сельское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8,4%</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20,8%</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6,5%</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11,5%</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5,5–7%</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Транспорт</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1,6%</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1,5%</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1,4%</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1,4%</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1–1,5%</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Связь</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0,8%</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0,8%</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0,7%</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0,7%</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0,6–0,7%</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Строительство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3,1%</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1,7%</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1,5%</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1–2%</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Торговля и общепит</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2,1%</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2,1%</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1,8%</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2–2,1%</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Операции с недвижимостью</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6,5%</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1,5%</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1,3%</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1–3%</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Жилищно-коммунальное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1,3%</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1,1%</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1,2%</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1–1,2%</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Непроизводственные виды бытового обслуживания</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1,2%</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rStyle w:val="a5"/>
              </w:rPr>
            </w:pPr>
            <w:r w:rsidRPr="00B530DD">
              <w:rPr>
                <w:lang w:eastAsia="en-US"/>
              </w:rPr>
              <w:t>1,1%</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1,0%</w:t>
            </w:r>
          </w:p>
        </w:tc>
        <w:tc>
          <w:tcPr>
            <w:tcW w:w="728"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1–1,2%</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Здравоохранение и социальное обеспечение</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0,5%</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0,6%</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0,5%</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0,6%</w:t>
            </w:r>
          </w:p>
        </w:tc>
        <w:tc>
          <w:tcPr>
            <w:tcW w:w="728"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0,4–0,5%</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Прочие виды</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1,1%</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3,3%</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0,9%</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1–3%</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b/>
                <w:bCs/>
                <w:lang w:eastAsia="en-US"/>
              </w:rPr>
            </w:pPr>
            <w:r w:rsidRPr="00B530DD">
              <w:rPr>
                <w:bCs/>
                <w:lang w:eastAsia="en-US"/>
              </w:rPr>
              <w:t>Всего (среднеотраслевой показатель)</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bCs/>
                <w:lang w:eastAsia="en-US"/>
              </w:rPr>
            </w:pPr>
            <w:r w:rsidRPr="00B530DD">
              <w:rPr>
                <w:bCs/>
                <w:lang w:eastAsia="en-US"/>
              </w:rPr>
              <w:t>2,2%</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bCs/>
                <w:lang w:eastAsia="en-US"/>
              </w:rPr>
            </w:pPr>
            <w:r w:rsidRPr="00B530DD">
              <w:rPr>
                <w:bCs/>
                <w:lang w:eastAsia="en-US"/>
              </w:rPr>
              <w:t>2,2%</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bCs/>
                <w:lang w:eastAsia="en-US"/>
              </w:rPr>
            </w:pPr>
            <w:r w:rsidRPr="00B530DD">
              <w:rPr>
                <w:bCs/>
                <w:lang w:eastAsia="en-US"/>
              </w:rPr>
              <w:t>2,1%</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2,1%</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bCs/>
                <w:lang w:eastAsia="en-US"/>
              </w:rPr>
            </w:pPr>
            <w:r w:rsidRPr="00B530DD">
              <w:rPr>
                <w:bCs/>
                <w:lang w:eastAsia="en-US"/>
              </w:rPr>
              <w:t>1,9–2,2%</w:t>
            </w:r>
          </w:p>
        </w:tc>
      </w:tr>
      <w:tr w:rsidR="00E46F08" w:rsidRPr="00B530DD" w:rsidTr="007748E9">
        <w:trPr>
          <w:trHeight w:val="397"/>
        </w:trPr>
        <w:tc>
          <w:tcPr>
            <w:tcW w:w="2140" w:type="pct"/>
            <w:vMerge w:val="restart"/>
            <w:tcBorders>
              <w:top w:val="single" w:sz="4" w:space="0" w:color="auto"/>
              <w:left w:val="single" w:sz="4" w:space="0" w:color="auto"/>
              <w:bottom w:val="single" w:sz="4" w:space="0" w:color="auto"/>
              <w:right w:val="single" w:sz="4" w:space="0" w:color="auto"/>
            </w:tcBorders>
            <w:noWrap/>
            <w:vAlign w:val="center"/>
            <w:hideMark/>
          </w:tcPr>
          <w:p w:rsidR="00E46F08" w:rsidRPr="00B530DD" w:rsidRDefault="00E46F08" w:rsidP="007748E9">
            <w:pPr>
              <w:jc w:val="center"/>
              <w:rPr>
                <w:lang w:eastAsia="en-US"/>
              </w:rPr>
            </w:pPr>
            <w:r w:rsidRPr="00B530DD">
              <w:rPr>
                <w:lang w:eastAsia="en-US"/>
              </w:rPr>
              <w:t xml:space="preserve">Наименование </w:t>
            </w:r>
          </w:p>
        </w:tc>
        <w:tc>
          <w:tcPr>
            <w:tcW w:w="2860" w:type="pct"/>
            <w:gridSpan w:val="5"/>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Всего налоги к валовой добавленной стоимости</w:t>
            </w:r>
          </w:p>
        </w:tc>
      </w:tr>
      <w:tr w:rsidR="00E46F08" w:rsidRPr="00B530DD" w:rsidTr="007748E9">
        <w:trPr>
          <w:trHeight w:val="227"/>
        </w:trPr>
        <w:tc>
          <w:tcPr>
            <w:tcW w:w="2140" w:type="pct"/>
            <w:vMerge/>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rPr>
                <w:lang w:eastAsia="en-US"/>
              </w:rPr>
            </w:pPr>
          </w:p>
        </w:tc>
        <w:tc>
          <w:tcPr>
            <w:tcW w:w="519"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2019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2020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2021 год</w:t>
            </w:r>
          </w:p>
        </w:tc>
        <w:tc>
          <w:tcPr>
            <w:tcW w:w="576"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 xml:space="preserve">2022 год </w:t>
            </w:r>
          </w:p>
        </w:tc>
        <w:tc>
          <w:tcPr>
            <w:tcW w:w="728"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Целевые ориентиры</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Промышленность</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27,8%</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25,7%</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23,3%</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23,6%</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23–25%</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Сельское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19,9%</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52,9%</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15,3%</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24,5%</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15–17%</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Транспорт</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25,1%</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28,0%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26,8%</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26,4%</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27–29%</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Связь</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15,9%</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15,4%</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15,1%</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17,2%</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15–17%</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Строительство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18,6%</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18,6%</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18,9%</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17,5%</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18–20%</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Торговля и общепит</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7,7%</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7,8%</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7,5%</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7,1%</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7,5–8%</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Операции с недвижимостью</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34,2%</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30,7%</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22,8%</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20,2%</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22–30%</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Жилищно-коммунальное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22,4%</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21,5%</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21,6%</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21,0%</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21–23%</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Непроизводственные виды бытового обслуживания</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20,3%</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17,5%</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19,4%</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18,3%</w:t>
            </w:r>
          </w:p>
        </w:tc>
        <w:tc>
          <w:tcPr>
            <w:tcW w:w="728"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17–21%</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Здравоохранение и социальное обеспечение</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18,0%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20,7%</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15,9%</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18,0%</w:t>
            </w:r>
          </w:p>
        </w:tc>
        <w:tc>
          <w:tcPr>
            <w:tcW w:w="728"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16–20%</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Прочие виды</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8,8%</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12,0%</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39,1%</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11,7%</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lang w:eastAsia="en-US"/>
              </w:rPr>
            </w:pPr>
            <w:r w:rsidRPr="00B530DD">
              <w:rPr>
                <w:lang w:eastAsia="en-US"/>
              </w:rPr>
              <w:t>12–20%</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b/>
                <w:bCs/>
                <w:lang w:eastAsia="en-US"/>
              </w:rPr>
            </w:pPr>
            <w:r w:rsidRPr="00B530DD">
              <w:rPr>
                <w:bCs/>
                <w:lang w:eastAsia="en-US"/>
              </w:rPr>
              <w:t>Всего (среднеотраслевой показатель)</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bCs/>
                <w:lang w:eastAsia="en-US"/>
              </w:rPr>
            </w:pPr>
            <w:r w:rsidRPr="00B530DD">
              <w:rPr>
                <w:bCs/>
                <w:lang w:eastAsia="en-US"/>
              </w:rPr>
              <w:t>13,7%</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bCs/>
                <w:lang w:eastAsia="en-US"/>
              </w:rPr>
            </w:pPr>
            <w:r w:rsidRPr="00B530DD">
              <w:rPr>
                <w:bCs/>
                <w:lang w:eastAsia="en-US"/>
              </w:rPr>
              <w:t>13,9%</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bCs/>
                <w:lang w:eastAsia="en-US"/>
              </w:rPr>
            </w:pPr>
            <w:r w:rsidRPr="00B530DD">
              <w:rPr>
                <w:bCs/>
                <w:lang w:eastAsia="en-US"/>
              </w:rPr>
              <w:t>13,3%</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bCs/>
                <w:lang w:eastAsia="en-US"/>
              </w:rPr>
            </w:pPr>
            <w:r w:rsidRPr="00B530DD">
              <w:rPr>
                <w:bCs/>
                <w:lang w:eastAsia="en-US"/>
              </w:rPr>
              <w:t>12,9%</w:t>
            </w:r>
          </w:p>
        </w:tc>
        <w:tc>
          <w:tcPr>
            <w:tcW w:w="728" w:type="pct"/>
            <w:tcBorders>
              <w:top w:val="single" w:sz="4" w:space="0" w:color="auto"/>
              <w:left w:val="single" w:sz="4" w:space="0" w:color="auto"/>
              <w:bottom w:val="single" w:sz="4" w:space="0" w:color="auto"/>
              <w:right w:val="single" w:sz="4" w:space="0" w:color="auto"/>
            </w:tcBorders>
            <w:hideMark/>
          </w:tcPr>
          <w:p w:rsidR="00E46F08" w:rsidRPr="00B530DD" w:rsidRDefault="00E46F08" w:rsidP="007748E9">
            <w:pPr>
              <w:jc w:val="center"/>
              <w:rPr>
                <w:bCs/>
                <w:lang w:eastAsia="en-US"/>
              </w:rPr>
            </w:pPr>
            <w:r w:rsidRPr="00B530DD">
              <w:rPr>
                <w:bCs/>
                <w:lang w:eastAsia="en-US"/>
              </w:rPr>
              <w:t>13,5–14%</w:t>
            </w:r>
          </w:p>
        </w:tc>
      </w:tr>
    </w:tbl>
    <w:p w:rsidR="00E46F08" w:rsidRPr="00881766" w:rsidRDefault="00E46F08" w:rsidP="00E46F08">
      <w:pPr>
        <w:tabs>
          <w:tab w:val="left" w:pos="916"/>
          <w:tab w:val="left" w:pos="1832"/>
          <w:tab w:val="left" w:pos="2748"/>
          <w:tab w:val="left" w:pos="3664"/>
          <w:tab w:val="left" w:pos="4580"/>
          <w:tab w:val="left" w:pos="5496"/>
          <w:tab w:val="left" w:pos="6412"/>
          <w:tab w:val="left" w:pos="7328"/>
          <w:tab w:val="left" w:pos="8244"/>
          <w:tab w:val="left" w:pos="8848"/>
        </w:tabs>
        <w:jc w:val="center"/>
        <w:rPr>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3"/>
        <w:gridCol w:w="1511"/>
        <w:gridCol w:w="1511"/>
        <w:gridCol w:w="1511"/>
        <w:gridCol w:w="1677"/>
        <w:gridCol w:w="2117"/>
      </w:tblGrid>
      <w:tr w:rsidR="00E46F08" w:rsidRPr="00B530DD" w:rsidTr="007748E9">
        <w:trPr>
          <w:trHeight w:val="397"/>
        </w:trPr>
        <w:tc>
          <w:tcPr>
            <w:tcW w:w="2140" w:type="pct"/>
            <w:vMerge w:val="restart"/>
            <w:tcBorders>
              <w:top w:val="single" w:sz="4" w:space="0" w:color="auto"/>
              <w:left w:val="single" w:sz="4" w:space="0" w:color="auto"/>
              <w:bottom w:val="single" w:sz="4" w:space="0" w:color="auto"/>
              <w:right w:val="single" w:sz="4" w:space="0" w:color="auto"/>
            </w:tcBorders>
            <w:noWrap/>
            <w:vAlign w:val="center"/>
            <w:hideMark/>
          </w:tcPr>
          <w:p w:rsidR="00E46F08" w:rsidRPr="00B530DD" w:rsidRDefault="00E46F08" w:rsidP="007748E9">
            <w:pPr>
              <w:jc w:val="center"/>
              <w:rPr>
                <w:lang w:eastAsia="en-US"/>
              </w:rPr>
            </w:pPr>
            <w:r w:rsidRPr="00B530DD">
              <w:rPr>
                <w:lang w:eastAsia="en-US"/>
              </w:rPr>
              <w:lastRenderedPageBreak/>
              <w:t xml:space="preserve">Наименование </w:t>
            </w:r>
          </w:p>
        </w:tc>
        <w:tc>
          <w:tcPr>
            <w:tcW w:w="2860" w:type="pct"/>
            <w:gridSpan w:val="5"/>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Налоги без подоходного налога и обязательного страхового взноса к валовой добавленной стоимости</w:t>
            </w:r>
          </w:p>
        </w:tc>
      </w:tr>
      <w:tr w:rsidR="00E46F08" w:rsidRPr="00B530DD" w:rsidTr="007748E9">
        <w:trPr>
          <w:trHeight w:val="227"/>
        </w:trPr>
        <w:tc>
          <w:tcPr>
            <w:tcW w:w="2140" w:type="pct"/>
            <w:vMerge/>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rPr>
                <w:lang w:eastAsia="en-US"/>
              </w:rPr>
            </w:pPr>
          </w:p>
        </w:tc>
        <w:tc>
          <w:tcPr>
            <w:tcW w:w="519"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2019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2020 год</w:t>
            </w:r>
          </w:p>
        </w:tc>
        <w:tc>
          <w:tcPr>
            <w:tcW w:w="519"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2021 год</w:t>
            </w:r>
          </w:p>
        </w:tc>
        <w:tc>
          <w:tcPr>
            <w:tcW w:w="576"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 xml:space="preserve">2022 год </w:t>
            </w:r>
          </w:p>
        </w:tc>
        <w:tc>
          <w:tcPr>
            <w:tcW w:w="728" w:type="pct"/>
            <w:tcBorders>
              <w:top w:val="single" w:sz="4" w:space="0" w:color="auto"/>
              <w:left w:val="single" w:sz="4" w:space="0" w:color="auto"/>
              <w:bottom w:val="single" w:sz="4" w:space="0" w:color="auto"/>
              <w:right w:val="single" w:sz="4" w:space="0" w:color="auto"/>
            </w:tcBorders>
            <w:vAlign w:val="center"/>
            <w:hideMark/>
          </w:tcPr>
          <w:p w:rsidR="00E46F08" w:rsidRPr="00B530DD" w:rsidRDefault="00E46F08" w:rsidP="007748E9">
            <w:pPr>
              <w:jc w:val="center"/>
              <w:rPr>
                <w:lang w:eastAsia="en-US"/>
              </w:rPr>
            </w:pPr>
            <w:r w:rsidRPr="00B530DD">
              <w:rPr>
                <w:lang w:eastAsia="en-US"/>
              </w:rPr>
              <w:t>Целевые ориентиры</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Промышленность</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23,4%</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21,5%</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19,4%</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19,8%</w:t>
            </w:r>
          </w:p>
        </w:tc>
        <w:tc>
          <w:tcPr>
            <w:tcW w:w="728"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21–22%</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Сельское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16,2%</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39,5%</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12,5%</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19,6%</w:t>
            </w:r>
          </w:p>
        </w:tc>
        <w:tc>
          <w:tcPr>
            <w:tcW w:w="728"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12–13%</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Транспорт</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20,5%</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22,3%</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21,4%</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21,1%</w:t>
            </w:r>
          </w:p>
        </w:tc>
        <w:tc>
          <w:tcPr>
            <w:tcW w:w="728"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22–23%</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Связь</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12,2%</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11,8%</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11,4%</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12,9%</w:t>
            </w:r>
          </w:p>
        </w:tc>
        <w:tc>
          <w:tcPr>
            <w:tcW w:w="728"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11–12%</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Строительство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15,1%</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15,5%</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15,2%</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13,8%</w:t>
            </w:r>
          </w:p>
        </w:tc>
        <w:tc>
          <w:tcPr>
            <w:tcW w:w="728"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15–16%</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Торговля и общепит</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7,3%</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7,3%</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7,0%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6,7%</w:t>
            </w:r>
          </w:p>
        </w:tc>
        <w:tc>
          <w:tcPr>
            <w:tcW w:w="728"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7–7,5%</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Операции с недвижимостью</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28,6%</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26,7%</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19,0%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16,0%</w:t>
            </w:r>
          </w:p>
        </w:tc>
        <w:tc>
          <w:tcPr>
            <w:tcW w:w="728"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18–19%</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Жилищно-коммунальное хозяйство</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17,9%</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16,9%</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17,0%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16,6%</w:t>
            </w:r>
          </w:p>
        </w:tc>
        <w:tc>
          <w:tcPr>
            <w:tcW w:w="728"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17–18%</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Непроизводственные виды бытового обслуживания</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16,2%</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13,4%</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14,5%</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13,9%</w:t>
            </w:r>
          </w:p>
        </w:tc>
        <w:tc>
          <w:tcPr>
            <w:tcW w:w="728"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14–15%</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Здравоохранение и социальное обеспечение</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13,9%</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15,5%</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12,4%</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14,0%</w:t>
            </w:r>
          </w:p>
        </w:tc>
        <w:tc>
          <w:tcPr>
            <w:tcW w:w="728"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12–13%</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lang w:eastAsia="en-US"/>
              </w:rPr>
            </w:pPr>
            <w:r w:rsidRPr="00B530DD">
              <w:rPr>
                <w:lang w:eastAsia="en-US"/>
              </w:rPr>
              <w:t>Прочие виды</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6,6%</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8,9%</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31,6%</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lang w:eastAsia="en-US"/>
              </w:rPr>
            </w:pPr>
            <w:r w:rsidRPr="00B530DD">
              <w:rPr>
                <w:lang w:eastAsia="en-US"/>
              </w:rPr>
              <w:t>9,4%</w:t>
            </w:r>
          </w:p>
        </w:tc>
        <w:tc>
          <w:tcPr>
            <w:tcW w:w="728"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lang w:eastAsia="en-US"/>
              </w:rPr>
            </w:pPr>
            <w:r w:rsidRPr="00B530DD">
              <w:rPr>
                <w:lang w:eastAsia="en-US"/>
              </w:rPr>
              <w:t>9–10%</w:t>
            </w:r>
          </w:p>
        </w:tc>
      </w:tr>
      <w:tr w:rsidR="00E46F08" w:rsidRPr="00B530DD" w:rsidTr="007748E9">
        <w:trPr>
          <w:trHeight w:val="227"/>
        </w:trPr>
        <w:tc>
          <w:tcPr>
            <w:tcW w:w="2140" w:type="pct"/>
            <w:tcBorders>
              <w:top w:val="single" w:sz="4" w:space="0" w:color="auto"/>
              <w:left w:val="single" w:sz="4" w:space="0" w:color="auto"/>
              <w:bottom w:val="single" w:sz="4" w:space="0" w:color="auto"/>
              <w:right w:val="single" w:sz="4" w:space="0" w:color="auto"/>
            </w:tcBorders>
            <w:noWrap/>
            <w:vAlign w:val="bottom"/>
            <w:hideMark/>
          </w:tcPr>
          <w:p w:rsidR="00E46F08" w:rsidRPr="00B530DD" w:rsidRDefault="00E46F08" w:rsidP="007748E9">
            <w:pPr>
              <w:rPr>
                <w:b/>
                <w:bCs/>
                <w:lang w:eastAsia="en-US"/>
              </w:rPr>
            </w:pPr>
            <w:r w:rsidRPr="00B530DD">
              <w:rPr>
                <w:bCs/>
                <w:lang w:eastAsia="en-US"/>
              </w:rPr>
              <w:t>Всего (среднеотраслевой показатель)</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bCs/>
                <w:lang w:eastAsia="en-US"/>
              </w:rPr>
            </w:pPr>
            <w:r w:rsidRPr="00B530DD">
              <w:rPr>
                <w:bCs/>
                <w:lang w:eastAsia="en-US"/>
              </w:rPr>
              <w:t>11,9%</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bCs/>
                <w:lang w:eastAsia="en-US"/>
              </w:rPr>
            </w:pPr>
            <w:r w:rsidRPr="00B530DD">
              <w:rPr>
                <w:bCs/>
                <w:lang w:eastAsia="en-US"/>
              </w:rPr>
              <w:t>11,9%</w:t>
            </w:r>
          </w:p>
        </w:tc>
        <w:tc>
          <w:tcPr>
            <w:tcW w:w="519"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bCs/>
                <w:lang w:eastAsia="en-US"/>
              </w:rPr>
            </w:pPr>
            <w:r w:rsidRPr="00B530DD">
              <w:rPr>
                <w:bCs/>
                <w:lang w:eastAsia="en-US"/>
              </w:rPr>
              <w:t>11,4%</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tcPr>
          <w:p w:rsidR="00E46F08" w:rsidRPr="00B530DD" w:rsidRDefault="00E46F08" w:rsidP="007748E9">
            <w:pPr>
              <w:jc w:val="center"/>
              <w:rPr>
                <w:bCs/>
                <w:lang w:eastAsia="en-US"/>
              </w:rPr>
            </w:pPr>
            <w:r w:rsidRPr="00B530DD">
              <w:rPr>
                <w:bCs/>
                <w:lang w:eastAsia="en-US"/>
              </w:rPr>
              <w:t>11,1%</w:t>
            </w:r>
          </w:p>
        </w:tc>
        <w:tc>
          <w:tcPr>
            <w:tcW w:w="728" w:type="pct"/>
            <w:tcBorders>
              <w:top w:val="single" w:sz="4" w:space="0" w:color="auto"/>
              <w:left w:val="single" w:sz="4" w:space="0" w:color="auto"/>
              <w:bottom w:val="single" w:sz="4" w:space="0" w:color="auto"/>
              <w:right w:val="single" w:sz="4" w:space="0" w:color="auto"/>
            </w:tcBorders>
            <w:vAlign w:val="bottom"/>
            <w:hideMark/>
          </w:tcPr>
          <w:p w:rsidR="00E46F08" w:rsidRPr="00B530DD" w:rsidRDefault="00E46F08" w:rsidP="007748E9">
            <w:pPr>
              <w:jc w:val="center"/>
              <w:rPr>
                <w:bCs/>
                <w:lang w:eastAsia="en-US"/>
              </w:rPr>
            </w:pPr>
            <w:r w:rsidRPr="00B530DD">
              <w:rPr>
                <w:bCs/>
                <w:lang w:eastAsia="en-US"/>
              </w:rPr>
              <w:t>11–12%</w:t>
            </w:r>
          </w:p>
        </w:tc>
      </w:tr>
    </w:tbl>
    <w:p w:rsidR="00E46F08" w:rsidRPr="00881766" w:rsidRDefault="00E46F08" w:rsidP="00E46F08">
      <w:pPr>
        <w:jc w:val="right"/>
      </w:pPr>
      <w:r w:rsidRPr="00881766">
        <w:t>».</w:t>
      </w:r>
    </w:p>
    <w:p w:rsidR="00E46F08" w:rsidRPr="00B530DD" w:rsidRDefault="00E46F08" w:rsidP="00E46F08">
      <w:pPr>
        <w:rPr>
          <w:sz w:val="28"/>
          <w:szCs w:val="28"/>
        </w:rPr>
      </w:pPr>
    </w:p>
    <w:p w:rsidR="00E46F08" w:rsidRPr="00E40EFA" w:rsidRDefault="00E46F08" w:rsidP="00E46F08">
      <w:pPr>
        <w:jc w:val="center"/>
        <w:rPr>
          <w:sz w:val="28"/>
          <w:szCs w:val="28"/>
        </w:rPr>
      </w:pPr>
    </w:p>
    <w:p w:rsidR="000E5E67" w:rsidRDefault="000E5E67">
      <w:bookmarkStart w:id="0" w:name="_GoBack"/>
      <w:bookmarkEnd w:id="0"/>
    </w:p>
    <w:sectPr w:rsidR="000E5E67" w:rsidSect="00DE6A2E">
      <w:headerReference w:type="default" r:id="rId4"/>
      <w:headerReference w:type="first" r:id="rId5"/>
      <w:pgSz w:w="16838" w:h="11906" w:orient="landscape" w:code="9"/>
      <w:pgMar w:top="567" w:right="567" w:bottom="1134" w:left="1701" w:header="709" w:footer="709" w:gutter="0"/>
      <w:pgNumType w:fmt="numberInDash"/>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A2E" w:rsidRDefault="00E46F08">
    <w:pPr>
      <w:pStyle w:val="a3"/>
      <w:jc w:val="center"/>
    </w:pPr>
    <w:r>
      <w:fldChar w:fldCharType="begin"/>
    </w:r>
    <w:r>
      <w:instrText>PAGE   \* MERGEFORMAT</w:instrText>
    </w:r>
    <w:r>
      <w:fldChar w:fldCharType="separate"/>
    </w:r>
    <w:r>
      <w:rPr>
        <w:noProof/>
      </w:rPr>
      <w:t>- 9 -</w:t>
    </w:r>
    <w:r>
      <w:fldChar w:fldCharType="end"/>
    </w:r>
  </w:p>
  <w:p w:rsidR="00DE6A2E" w:rsidRDefault="00E46F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A2E" w:rsidRDefault="00E46F08">
    <w:pPr>
      <w:pStyle w:val="a3"/>
      <w:jc w:val="center"/>
    </w:pPr>
    <w:r>
      <w:fldChar w:fldCharType="begin"/>
    </w:r>
    <w:r>
      <w:instrText>PAGE   \* MERGEFORMAT</w:instrText>
    </w:r>
    <w:r>
      <w:fldChar w:fldCharType="separate"/>
    </w:r>
    <w:r>
      <w:rPr>
        <w:noProof/>
      </w:rPr>
      <w:t>- 1 -</w:t>
    </w:r>
    <w:r>
      <w:fldChar w:fldCharType="end"/>
    </w:r>
  </w:p>
  <w:p w:rsidR="00DE6A2E" w:rsidRDefault="00E46F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F08"/>
    <w:rsid w:val="000E5E67"/>
    <w:rsid w:val="00975DDD"/>
    <w:rsid w:val="00E46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EC074-5483-49EF-A9D5-3B2BC2ED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F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46F08"/>
    <w:pPr>
      <w:tabs>
        <w:tab w:val="center" w:pos="4677"/>
        <w:tab w:val="right" w:pos="9355"/>
      </w:tabs>
    </w:pPr>
  </w:style>
  <w:style w:type="character" w:customStyle="1" w:styleId="a4">
    <w:name w:val="Верхний колонтитул Знак"/>
    <w:basedOn w:val="a0"/>
    <w:link w:val="a3"/>
    <w:uiPriority w:val="99"/>
    <w:rsid w:val="00E46F08"/>
    <w:rPr>
      <w:rFonts w:ascii="Times New Roman" w:eastAsia="Times New Roman" w:hAnsi="Times New Roman" w:cs="Times New Roman"/>
      <w:sz w:val="24"/>
      <w:szCs w:val="24"/>
      <w:lang w:eastAsia="ru-RU"/>
    </w:rPr>
  </w:style>
  <w:style w:type="character" w:styleId="a5">
    <w:name w:val="Emphasis"/>
    <w:qFormat/>
    <w:rsid w:val="00E46F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1936</Words>
  <Characters>11037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Куруч Лилия Ивановна</dc:creator>
  <cp:keywords/>
  <dc:description/>
  <cp:lastModifiedBy>Куруч Лилия Ивановна</cp:lastModifiedBy>
  <cp:revision>1</cp:revision>
  <dcterms:created xsi:type="dcterms:W3CDTF">2023-09-06T08:02:00Z</dcterms:created>
  <dcterms:modified xsi:type="dcterms:W3CDTF">2023-09-06T08:02:00Z</dcterms:modified>
</cp:coreProperties>
</file>