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A0" w:rsidRPr="00881766" w:rsidRDefault="009A25A0" w:rsidP="009A25A0">
      <w:pPr>
        <w:widowControl w:val="0"/>
        <w:jc w:val="center"/>
        <w:rPr>
          <w:sz w:val="28"/>
          <w:szCs w:val="28"/>
        </w:rPr>
      </w:pPr>
      <w:r w:rsidRPr="00881766">
        <w:rPr>
          <w:sz w:val="28"/>
          <w:szCs w:val="28"/>
        </w:rPr>
        <w:t xml:space="preserve">Сравнительная таблица </w:t>
      </w:r>
      <w:r w:rsidRPr="00881766">
        <w:rPr>
          <w:sz w:val="28"/>
          <w:szCs w:val="28"/>
        </w:rPr>
        <w:br/>
        <w:t xml:space="preserve">к проекту </w:t>
      </w:r>
      <w:r w:rsidRPr="003F7A9B">
        <w:rPr>
          <w:sz w:val="28"/>
          <w:szCs w:val="28"/>
        </w:rPr>
        <w:t>постановления Верховного Совета Приднестровской Молдавской Республики «</w:t>
      </w:r>
      <w:r w:rsidRPr="003F7A9B">
        <w:rPr>
          <w:sz w:val="28"/>
        </w:rPr>
        <w:t>О внесении изменений и дополнения в Постановление</w:t>
      </w:r>
      <w:r w:rsidRPr="00881766">
        <w:rPr>
          <w:sz w:val="28"/>
        </w:rPr>
        <w:t xml:space="preserve"> Верховного Совета Приднестровской Молдавской Республики от </w:t>
      </w:r>
      <w:r>
        <w:rPr>
          <w:sz w:val="28"/>
        </w:rPr>
        <w:t>9</w:t>
      </w:r>
      <w:r w:rsidRPr="00881766">
        <w:rPr>
          <w:sz w:val="28"/>
        </w:rPr>
        <w:t xml:space="preserve"> июня 2023 года № 2241 «</w:t>
      </w:r>
      <w:r w:rsidRPr="00881766">
        <w:rPr>
          <w:sz w:val="28"/>
          <w:szCs w:val="28"/>
        </w:rPr>
        <w:t>Об утверждении Концепции бюджетной и налоговой политики Приднестровской Молдавской Республики на 2024 год и среднесрочную перспективу»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7251"/>
      </w:tblGrid>
      <w:tr w:rsidR="009A25A0" w:rsidRPr="00881766" w:rsidTr="004F2ADF">
        <w:tc>
          <w:tcPr>
            <w:tcW w:w="2510" w:type="pct"/>
            <w:shd w:val="clear" w:color="auto" w:fill="auto"/>
          </w:tcPr>
          <w:p w:rsidR="009A25A0" w:rsidRPr="00881766" w:rsidRDefault="009A25A0" w:rsidP="004F2ADF">
            <w:pPr>
              <w:jc w:val="center"/>
              <w:rPr>
                <w:rFonts w:eastAsia="Arial Unicode MS"/>
                <w:b/>
                <w:bCs/>
                <w:color w:val="000000"/>
                <w:sz w:val="22"/>
                <w:szCs w:val="22"/>
                <w:u w:color="000000"/>
              </w:rPr>
            </w:pPr>
            <w:r w:rsidRPr="00881766">
              <w:rPr>
                <w:rFonts w:eastAsia="Arial Unicode MS"/>
                <w:b/>
                <w:bCs/>
                <w:color w:val="000000"/>
                <w:sz w:val="22"/>
                <w:szCs w:val="22"/>
                <w:u w:color="000000"/>
              </w:rPr>
              <w:t>Действующая редакция</w:t>
            </w:r>
          </w:p>
        </w:tc>
        <w:tc>
          <w:tcPr>
            <w:tcW w:w="2490" w:type="pct"/>
            <w:shd w:val="clear" w:color="auto" w:fill="auto"/>
          </w:tcPr>
          <w:p w:rsidR="009A25A0" w:rsidRPr="00881766" w:rsidRDefault="009A25A0" w:rsidP="004F2ADF">
            <w:pPr>
              <w:jc w:val="center"/>
              <w:rPr>
                <w:rFonts w:eastAsia="Arial Unicode MS"/>
                <w:b/>
                <w:bCs/>
                <w:color w:val="000000"/>
                <w:sz w:val="22"/>
                <w:szCs w:val="22"/>
                <w:u w:color="000000"/>
              </w:rPr>
            </w:pPr>
            <w:r w:rsidRPr="00881766">
              <w:rPr>
                <w:rFonts w:eastAsia="Arial Unicode MS"/>
                <w:b/>
                <w:bCs/>
                <w:color w:val="000000"/>
                <w:sz w:val="22"/>
                <w:szCs w:val="22"/>
                <w:u w:color="000000"/>
              </w:rPr>
              <w:t>Предлагаемая редакция</w:t>
            </w:r>
          </w:p>
        </w:tc>
      </w:tr>
      <w:tr w:rsidR="009A25A0" w:rsidRPr="00881766" w:rsidTr="004F2ADF">
        <w:tc>
          <w:tcPr>
            <w:tcW w:w="5000" w:type="pct"/>
            <w:gridSpan w:val="2"/>
            <w:shd w:val="clear" w:color="auto" w:fill="auto"/>
          </w:tcPr>
          <w:p w:rsidR="009A25A0" w:rsidRPr="00881766" w:rsidRDefault="009A25A0" w:rsidP="004F2ADF">
            <w:pPr>
              <w:widowControl w:val="0"/>
              <w:jc w:val="center"/>
              <w:rPr>
                <w:b/>
                <w:sz w:val="22"/>
                <w:szCs w:val="22"/>
              </w:rPr>
            </w:pPr>
            <w:r w:rsidRPr="00881766">
              <w:rPr>
                <w:b/>
                <w:sz w:val="22"/>
                <w:szCs w:val="22"/>
              </w:rPr>
              <w:t>РАЗДЕЛ 1. ОБЩЕЭКОНОМИЧЕСКИЕ УСЛОВИЯ РЕАЛИЗАЦИИ КОНЦЕПЦИИ</w:t>
            </w:r>
          </w:p>
          <w:p w:rsidR="009A25A0" w:rsidRPr="00881766" w:rsidRDefault="009A25A0" w:rsidP="00872767">
            <w:pPr>
              <w:widowControl w:val="0"/>
              <w:ind w:firstLine="736"/>
              <w:rPr>
                <w:snapToGrid w:val="0"/>
                <w:sz w:val="22"/>
                <w:szCs w:val="22"/>
              </w:rPr>
            </w:pPr>
            <w:r w:rsidRPr="00881766">
              <w:rPr>
                <w:b/>
                <w:bCs/>
                <w:sz w:val="22"/>
                <w:szCs w:val="22"/>
              </w:rPr>
              <w:t>Глава 1. Экономические итоги 2022 года</w:t>
            </w:r>
          </w:p>
        </w:tc>
      </w:tr>
      <w:tr w:rsidR="009A25A0" w:rsidRPr="00881766" w:rsidTr="004F2ADF">
        <w:tc>
          <w:tcPr>
            <w:tcW w:w="2510" w:type="pct"/>
            <w:shd w:val="clear" w:color="auto" w:fill="auto"/>
          </w:tcPr>
          <w:p w:rsidR="009A25A0" w:rsidRPr="00881766" w:rsidRDefault="009A25A0" w:rsidP="004F2ADF">
            <w:pPr>
              <w:widowControl w:val="0"/>
              <w:ind w:firstLine="709"/>
              <w:jc w:val="both"/>
              <w:rPr>
                <w:rFonts w:eastAsia="Arial Unicode MS"/>
                <w:color w:val="000000"/>
                <w:sz w:val="22"/>
                <w:szCs w:val="22"/>
                <w:u w:color="000000"/>
              </w:rPr>
            </w:pPr>
            <w:r w:rsidRPr="00881766">
              <w:rPr>
                <w:snapToGrid w:val="0"/>
                <w:sz w:val="22"/>
                <w:szCs w:val="22"/>
              </w:rPr>
              <w:t xml:space="preserve">Деструктивные действия Республики Молдова по усилению «банковской блокады», сопровождавшейся закрытием счетов приднестровских хозяйствующих субъектов в молдавских банках, и созданию дополнительных препятствий с оформлением разрешительных экологических документов для открытого акционерного общества «Молдавский металлургический завод», а также практически полная остановка в </w:t>
            </w:r>
            <w:r w:rsidRPr="00881766">
              <w:rPr>
                <w:snapToGrid w:val="0"/>
                <w:sz w:val="22"/>
                <w:szCs w:val="22"/>
                <w:lang w:val="en-US"/>
              </w:rPr>
              <w:t>IV</w:t>
            </w:r>
            <w:r w:rsidRPr="00881766">
              <w:rPr>
                <w:snapToGrid w:val="0"/>
                <w:sz w:val="22"/>
                <w:szCs w:val="22"/>
              </w:rPr>
              <w:t> квартале главных системообразующих предприятий в связи с существенным ограничением поставок природного газа на территорию республики обусловили падение объемов промышленного производства по итогам года на 16,3 процента, до 14 852,6 миллиона рублей Приднестровской Молдавской Республики.</w:t>
            </w:r>
          </w:p>
        </w:tc>
        <w:tc>
          <w:tcPr>
            <w:tcW w:w="2490" w:type="pct"/>
            <w:shd w:val="clear" w:color="auto" w:fill="auto"/>
          </w:tcPr>
          <w:p w:rsidR="009A25A0" w:rsidRPr="00881766" w:rsidRDefault="009A25A0" w:rsidP="004F2ADF">
            <w:pPr>
              <w:widowControl w:val="0"/>
              <w:ind w:firstLine="709"/>
              <w:jc w:val="both"/>
              <w:rPr>
                <w:rFonts w:eastAsia="Arial Unicode MS"/>
                <w:color w:val="000000"/>
                <w:sz w:val="22"/>
                <w:szCs w:val="22"/>
                <w:u w:color="000000"/>
              </w:rPr>
            </w:pPr>
            <w:r w:rsidRPr="00881766">
              <w:rPr>
                <w:snapToGrid w:val="0"/>
                <w:sz w:val="22"/>
                <w:szCs w:val="22"/>
              </w:rPr>
              <w:t xml:space="preserve">Деструктивные действия Республики Молдова по усилению «банковской блокады», сопровождавшейся закрытием счетов приднестровских хозяйствующих субъектов в молдавских банках, и созданию дополнительных препятствий с оформлением разрешительных экологических документов для открытого акционерного общества «Молдавский металлургический завод», а также практически полная остановка в </w:t>
            </w:r>
            <w:r w:rsidRPr="00881766">
              <w:rPr>
                <w:snapToGrid w:val="0"/>
                <w:sz w:val="22"/>
                <w:szCs w:val="22"/>
                <w:lang w:val="en-US"/>
              </w:rPr>
              <w:t>IV</w:t>
            </w:r>
            <w:r w:rsidRPr="00881766">
              <w:rPr>
                <w:snapToGrid w:val="0"/>
                <w:sz w:val="22"/>
                <w:szCs w:val="22"/>
              </w:rPr>
              <w:t xml:space="preserve"> квартале главных системообразующих предприятий в связи с существенным ограничением поставок природного газа на территорию республики обусловили падение объемов промышленного производства по итогам года на 16,3 процента, </w:t>
            </w:r>
            <w:r w:rsidRPr="00881766">
              <w:rPr>
                <w:b/>
                <w:bCs/>
                <w:snapToGrid w:val="0"/>
                <w:sz w:val="22"/>
                <w:szCs w:val="22"/>
              </w:rPr>
              <w:t>до 14 869,4</w:t>
            </w:r>
            <w:r w:rsidRPr="00881766">
              <w:rPr>
                <w:snapToGrid w:val="0"/>
                <w:sz w:val="22"/>
                <w:szCs w:val="22"/>
              </w:rPr>
              <w:t xml:space="preserve"> миллиона рублей Приднестровской Молдавской Республики.</w:t>
            </w:r>
          </w:p>
        </w:tc>
      </w:tr>
      <w:tr w:rsidR="009A25A0" w:rsidRPr="00881766" w:rsidTr="004F2ADF">
        <w:tc>
          <w:tcPr>
            <w:tcW w:w="2510" w:type="pct"/>
            <w:shd w:val="clear" w:color="auto" w:fill="auto"/>
          </w:tcPr>
          <w:p w:rsidR="009A25A0" w:rsidRPr="00881766" w:rsidRDefault="009A25A0" w:rsidP="004F2ADF">
            <w:pPr>
              <w:ind w:firstLine="709"/>
              <w:jc w:val="both"/>
              <w:rPr>
                <w:rFonts w:eastAsia="Arial Unicode MS"/>
                <w:color w:val="000000"/>
                <w:sz w:val="22"/>
                <w:szCs w:val="22"/>
                <w:u w:color="000000"/>
              </w:rPr>
            </w:pPr>
            <w:r w:rsidRPr="00881766">
              <w:rPr>
                <w:sz w:val="22"/>
                <w:szCs w:val="22"/>
              </w:rPr>
              <w:t>В 2022 году, согласно предварительной оценке, отмечалось существенное замедление инвестиционной активности хозяйствующих субъектов: объемы капитальных вложений сократились в пределах 9,7 процента к показателю 2021 года.</w:t>
            </w:r>
          </w:p>
        </w:tc>
        <w:tc>
          <w:tcPr>
            <w:tcW w:w="2490" w:type="pct"/>
            <w:shd w:val="clear" w:color="auto" w:fill="auto"/>
          </w:tcPr>
          <w:p w:rsidR="009A25A0" w:rsidRPr="00881766" w:rsidRDefault="009A25A0" w:rsidP="004F2ADF">
            <w:pPr>
              <w:ind w:firstLine="709"/>
              <w:jc w:val="both"/>
              <w:rPr>
                <w:b/>
                <w:bCs/>
                <w:sz w:val="22"/>
                <w:szCs w:val="22"/>
              </w:rPr>
            </w:pPr>
            <w:r w:rsidRPr="00881766">
              <w:rPr>
                <w:b/>
                <w:bCs/>
                <w:sz w:val="22"/>
                <w:szCs w:val="22"/>
              </w:rPr>
              <w:t>В условиях внешнеполитической напряженности по периметру республики в 2022 году увеличение объемов капитальных вложений в основной капитал на 15,1 процента обусловлено, в большей части, повышенным инфляционным фоном.</w:t>
            </w:r>
          </w:p>
        </w:tc>
      </w:tr>
      <w:tr w:rsidR="009A25A0" w:rsidRPr="00881766" w:rsidTr="004F2ADF">
        <w:tc>
          <w:tcPr>
            <w:tcW w:w="2510" w:type="pct"/>
            <w:shd w:val="clear" w:color="auto" w:fill="auto"/>
          </w:tcPr>
          <w:p w:rsidR="009A25A0" w:rsidRPr="00881766" w:rsidRDefault="009A25A0" w:rsidP="004F2ADF">
            <w:pPr>
              <w:ind w:firstLine="709"/>
              <w:jc w:val="both"/>
              <w:rPr>
                <w:rFonts w:eastAsia="Arial Unicode MS"/>
                <w:color w:val="000000"/>
                <w:sz w:val="22"/>
                <w:szCs w:val="22"/>
                <w:u w:color="000000"/>
              </w:rPr>
            </w:pPr>
            <w:r w:rsidRPr="00881766">
              <w:rPr>
                <w:sz w:val="22"/>
                <w:szCs w:val="22"/>
              </w:rPr>
              <w:t xml:space="preserve">В сельском хозяйстве, вследствие более засушливой погоды и с учетом низкого </w:t>
            </w:r>
            <w:proofErr w:type="spellStart"/>
            <w:r w:rsidRPr="00881766">
              <w:rPr>
                <w:sz w:val="22"/>
                <w:szCs w:val="22"/>
              </w:rPr>
              <w:t>влагозаряда</w:t>
            </w:r>
            <w:proofErr w:type="spellEnd"/>
            <w:r w:rsidRPr="00881766">
              <w:rPr>
                <w:sz w:val="22"/>
                <w:szCs w:val="22"/>
              </w:rPr>
              <w:t xml:space="preserve"> в почве, показатели урожайности сложились ниже, чем в 2021 году. Однако с учетом ценового фактора стоимостный объем валовой продукции предварительно оценен на уровне 91,1 процента к базисной отметке.</w:t>
            </w:r>
          </w:p>
        </w:tc>
        <w:tc>
          <w:tcPr>
            <w:tcW w:w="2490" w:type="pct"/>
            <w:shd w:val="clear" w:color="auto" w:fill="auto"/>
          </w:tcPr>
          <w:p w:rsidR="009A25A0" w:rsidRPr="00881766" w:rsidRDefault="009A25A0" w:rsidP="004F2ADF">
            <w:pPr>
              <w:ind w:firstLine="709"/>
              <w:jc w:val="both"/>
              <w:rPr>
                <w:rFonts w:eastAsia="Arial Unicode MS"/>
                <w:color w:val="000000"/>
                <w:sz w:val="22"/>
                <w:szCs w:val="22"/>
                <w:u w:color="000000"/>
              </w:rPr>
            </w:pPr>
            <w:r w:rsidRPr="00881766">
              <w:rPr>
                <w:sz w:val="22"/>
                <w:szCs w:val="22"/>
              </w:rPr>
              <w:t xml:space="preserve">В сельском хозяйстве, вследствие более засушливой погоды и с учетом низкого </w:t>
            </w:r>
            <w:proofErr w:type="spellStart"/>
            <w:r w:rsidRPr="00881766">
              <w:rPr>
                <w:sz w:val="22"/>
                <w:szCs w:val="22"/>
              </w:rPr>
              <w:t>влагозаряда</w:t>
            </w:r>
            <w:proofErr w:type="spellEnd"/>
            <w:r w:rsidRPr="00881766">
              <w:rPr>
                <w:sz w:val="22"/>
                <w:szCs w:val="22"/>
              </w:rPr>
              <w:t xml:space="preserve"> в почве, показатели урожайности сложились ниже, чем в 2021 году. Однако с учетом ценового фактора стоимостный объем валовой продукции </w:t>
            </w:r>
            <w:r w:rsidRPr="00881766">
              <w:rPr>
                <w:b/>
                <w:bCs/>
                <w:sz w:val="22"/>
                <w:szCs w:val="22"/>
              </w:rPr>
              <w:t>сложился на уровне 91,3 процента к базисной отметке.</w:t>
            </w:r>
          </w:p>
        </w:tc>
      </w:tr>
      <w:tr w:rsidR="009A25A0" w:rsidRPr="00881766" w:rsidTr="004F2ADF">
        <w:tc>
          <w:tcPr>
            <w:tcW w:w="2510" w:type="pct"/>
            <w:shd w:val="clear" w:color="auto" w:fill="auto"/>
          </w:tcPr>
          <w:p w:rsidR="009A25A0" w:rsidRPr="00881766" w:rsidRDefault="009A25A0" w:rsidP="004F2ADF">
            <w:pPr>
              <w:widowControl w:val="0"/>
              <w:ind w:firstLine="709"/>
              <w:jc w:val="both"/>
              <w:rPr>
                <w:rFonts w:eastAsia="Arial Unicode MS"/>
                <w:color w:val="000000"/>
                <w:sz w:val="22"/>
                <w:szCs w:val="22"/>
                <w:u w:color="000000"/>
              </w:rPr>
            </w:pPr>
            <w:r w:rsidRPr="00881766">
              <w:rPr>
                <w:snapToGrid w:val="0"/>
                <w:sz w:val="22"/>
                <w:szCs w:val="22"/>
              </w:rPr>
              <w:t>Валовый внутренний продукт сократился, согласно предварительной оценке, на 5,2 процента в номинальном выражении к уровню 2021 года.</w:t>
            </w:r>
          </w:p>
        </w:tc>
        <w:tc>
          <w:tcPr>
            <w:tcW w:w="2490" w:type="pct"/>
            <w:shd w:val="clear" w:color="auto" w:fill="auto"/>
          </w:tcPr>
          <w:p w:rsidR="009A25A0" w:rsidRPr="00881766" w:rsidRDefault="009A25A0" w:rsidP="004F2ADF">
            <w:pPr>
              <w:widowControl w:val="0"/>
              <w:ind w:firstLine="709"/>
              <w:jc w:val="both"/>
              <w:rPr>
                <w:rFonts w:eastAsia="Arial Unicode MS"/>
                <w:color w:val="000000"/>
                <w:sz w:val="22"/>
                <w:szCs w:val="22"/>
                <w:u w:color="000000"/>
              </w:rPr>
            </w:pPr>
            <w:r w:rsidRPr="00881766">
              <w:rPr>
                <w:b/>
                <w:bCs/>
                <w:snapToGrid w:val="0"/>
                <w:sz w:val="22"/>
                <w:szCs w:val="22"/>
              </w:rPr>
              <w:t>Валовый внутренний продукт сократился на 14,7 процента в сопоставимых ценах к уровню 2021 года.</w:t>
            </w:r>
          </w:p>
        </w:tc>
      </w:tr>
      <w:tr w:rsidR="009A25A0" w:rsidRPr="00881766" w:rsidTr="004F2ADF">
        <w:tc>
          <w:tcPr>
            <w:tcW w:w="5000" w:type="pct"/>
            <w:gridSpan w:val="2"/>
            <w:shd w:val="clear" w:color="auto" w:fill="auto"/>
          </w:tcPr>
          <w:p w:rsidR="009A25A0" w:rsidRPr="00872767" w:rsidRDefault="009A25A0" w:rsidP="00872767">
            <w:pPr>
              <w:widowControl w:val="0"/>
              <w:ind w:firstLine="736"/>
              <w:rPr>
                <w:b/>
                <w:bCs/>
                <w:sz w:val="22"/>
                <w:szCs w:val="22"/>
              </w:rPr>
            </w:pPr>
            <w:r w:rsidRPr="00872767">
              <w:rPr>
                <w:b/>
                <w:snapToGrid w:val="0"/>
                <w:sz w:val="22"/>
                <w:szCs w:val="22"/>
              </w:rPr>
              <w:t xml:space="preserve">Глава 2. Оценка </w:t>
            </w:r>
            <w:r w:rsidRPr="00872767">
              <w:rPr>
                <w:b/>
                <w:bCs/>
                <w:sz w:val="22"/>
                <w:szCs w:val="22"/>
              </w:rPr>
              <w:t>макроэкономических условий в 2023 году</w:t>
            </w:r>
          </w:p>
        </w:tc>
      </w:tr>
      <w:tr w:rsidR="009A25A0" w:rsidRPr="00881766" w:rsidTr="004F2ADF">
        <w:tc>
          <w:tcPr>
            <w:tcW w:w="2510" w:type="pct"/>
            <w:shd w:val="clear" w:color="auto" w:fill="auto"/>
          </w:tcPr>
          <w:p w:rsidR="009A25A0" w:rsidRPr="00881766" w:rsidRDefault="009A25A0" w:rsidP="004F2ADF">
            <w:pPr>
              <w:widowControl w:val="0"/>
              <w:ind w:firstLine="709"/>
              <w:jc w:val="both"/>
              <w:rPr>
                <w:snapToGrid w:val="0"/>
                <w:sz w:val="22"/>
                <w:szCs w:val="22"/>
              </w:rPr>
            </w:pPr>
            <w:r w:rsidRPr="00881766">
              <w:rPr>
                <w:snapToGrid w:val="0"/>
                <w:sz w:val="22"/>
                <w:szCs w:val="22"/>
              </w:rPr>
              <w:t xml:space="preserve">Исходя из обозначенных предпосылок, при отсутствии внешних шоков темпы прироста экономики республики в 2023 году оцениваются в пределах 5,6 процента в действующих ценах к уровню 2022 года. Соответственно номинальный объем валового внутреннего продукта восстановится до уровня 2021 года. </w:t>
            </w:r>
          </w:p>
          <w:p w:rsidR="009A25A0" w:rsidRPr="00881766" w:rsidRDefault="009A25A0" w:rsidP="004F2ADF">
            <w:pPr>
              <w:widowControl w:val="0"/>
              <w:ind w:firstLine="709"/>
              <w:jc w:val="both"/>
              <w:rPr>
                <w:snapToGrid w:val="0"/>
                <w:sz w:val="22"/>
                <w:szCs w:val="22"/>
              </w:rPr>
            </w:pPr>
          </w:p>
        </w:tc>
        <w:tc>
          <w:tcPr>
            <w:tcW w:w="2490" w:type="pct"/>
            <w:shd w:val="clear" w:color="auto" w:fill="auto"/>
          </w:tcPr>
          <w:p w:rsidR="009A25A0" w:rsidRPr="00881766" w:rsidRDefault="009A25A0" w:rsidP="004F2ADF">
            <w:pPr>
              <w:widowControl w:val="0"/>
              <w:ind w:firstLine="709"/>
              <w:jc w:val="both"/>
              <w:rPr>
                <w:b/>
                <w:bCs/>
                <w:snapToGrid w:val="0"/>
                <w:sz w:val="22"/>
                <w:szCs w:val="22"/>
              </w:rPr>
            </w:pPr>
            <w:r w:rsidRPr="00881766">
              <w:rPr>
                <w:b/>
                <w:bCs/>
                <w:snapToGrid w:val="0"/>
                <w:sz w:val="22"/>
                <w:szCs w:val="22"/>
              </w:rPr>
              <w:t>Исходя из обозначенных предпосылок, при отсутствии внешних шоков темпы прироста экономики республики в 2023 году оцениваются в пределах 4,6 процента в действующих ценах к уровню 2022 года. Несмотря на прогнозируемый рост, ожидаемый параметр все равно будет ниже номинального объема валового внутреннего продукта, сложившегося по итогам 2021 года.</w:t>
            </w:r>
          </w:p>
        </w:tc>
      </w:tr>
      <w:tr w:rsidR="009A25A0" w:rsidRPr="00881766" w:rsidTr="004F2ADF">
        <w:tc>
          <w:tcPr>
            <w:tcW w:w="5000" w:type="pct"/>
            <w:gridSpan w:val="2"/>
            <w:shd w:val="clear" w:color="auto" w:fill="auto"/>
          </w:tcPr>
          <w:p w:rsidR="009A25A0" w:rsidRPr="00881766" w:rsidRDefault="009A25A0" w:rsidP="00872767">
            <w:pPr>
              <w:ind w:firstLine="736"/>
              <w:rPr>
                <w:rFonts w:eastAsia="Arial Unicode MS"/>
                <w:color w:val="000000"/>
                <w:sz w:val="22"/>
                <w:szCs w:val="22"/>
                <w:u w:color="000000"/>
              </w:rPr>
            </w:pPr>
            <w:r w:rsidRPr="00881766">
              <w:rPr>
                <w:b/>
                <w:bCs/>
                <w:sz w:val="22"/>
                <w:szCs w:val="22"/>
              </w:rPr>
              <w:t>Глава 3. Прогнозирование макроэкономических условий на 2024 год и среднесрочную перспективу</w:t>
            </w:r>
          </w:p>
        </w:tc>
      </w:tr>
      <w:tr w:rsidR="009A25A0" w:rsidRPr="00881766" w:rsidTr="004F2ADF">
        <w:tc>
          <w:tcPr>
            <w:tcW w:w="2510" w:type="pct"/>
            <w:shd w:val="clear" w:color="auto" w:fill="auto"/>
          </w:tcPr>
          <w:p w:rsidR="009A25A0" w:rsidRPr="00881766" w:rsidRDefault="009A25A0" w:rsidP="004F2ADF">
            <w:pPr>
              <w:ind w:firstLine="709"/>
              <w:jc w:val="both"/>
              <w:rPr>
                <w:sz w:val="22"/>
                <w:szCs w:val="22"/>
              </w:rPr>
            </w:pPr>
            <w:r w:rsidRPr="00881766">
              <w:rPr>
                <w:sz w:val="22"/>
                <w:szCs w:val="22"/>
              </w:rPr>
              <w:lastRenderedPageBreak/>
              <w:t>При условии отсутствия новых внешних шоков и сохранения действия базовых предпосылок ситуация в индустриальном комплексе в 2024 году будет характеризоваться положительной динамикой выпуска в номинальном выражении в пределах 5,0 процента, до 16 431,3 миллиона рублей Приднестровской Молдавской Республики. Ключевым фактором, оказывающим влияние на формирование совокупного показателя, будет являться сохранение поставок энергоресурсов на рынок Республики Молдова, а также стабильность отгрузки металлов на экспорт в основные страны партнеры.</w:t>
            </w:r>
          </w:p>
          <w:p w:rsidR="009A25A0" w:rsidRPr="00881766" w:rsidRDefault="009A25A0" w:rsidP="004F2ADF">
            <w:pPr>
              <w:jc w:val="center"/>
              <w:rPr>
                <w:rFonts w:eastAsia="Arial Unicode MS"/>
                <w:color w:val="000000"/>
                <w:sz w:val="22"/>
                <w:szCs w:val="22"/>
                <w:u w:color="000000"/>
              </w:rPr>
            </w:pPr>
          </w:p>
        </w:tc>
        <w:tc>
          <w:tcPr>
            <w:tcW w:w="2490" w:type="pct"/>
            <w:shd w:val="clear" w:color="auto" w:fill="auto"/>
          </w:tcPr>
          <w:p w:rsidR="009A25A0" w:rsidRPr="00881766" w:rsidRDefault="009A25A0" w:rsidP="004F2ADF">
            <w:pPr>
              <w:ind w:firstLine="709"/>
              <w:jc w:val="both"/>
              <w:rPr>
                <w:rFonts w:eastAsia="Arial Unicode MS"/>
                <w:color w:val="000000"/>
                <w:sz w:val="22"/>
                <w:szCs w:val="22"/>
                <w:u w:color="000000"/>
              </w:rPr>
            </w:pPr>
            <w:r w:rsidRPr="00881766">
              <w:rPr>
                <w:b/>
                <w:bCs/>
                <w:sz w:val="22"/>
                <w:szCs w:val="22"/>
              </w:rPr>
              <w:t>При условии отсутствия новых внешних шоков и сохранения действия базовых предпосылок ситуация в индустриальном комплексе в 2024 году будет характеризоваться слабоположительной динамикой выпуска в номинальном выражении в пределах 0,6 процента к ожидаемому уровню 2023 года (до 15 472,3 миллиона рублей Приднестровской Молдавской Республики). Ключевым фактором, оказывающим влияние на формирование совокупного показателя, будет являться сохранение поставок энергоресурсов на рынок Республики Молдова, а также стабильность отгрузки металлов на экспорт в основные страны партнеры.</w:t>
            </w:r>
          </w:p>
        </w:tc>
      </w:tr>
      <w:tr w:rsidR="009A25A0" w:rsidRPr="00881766" w:rsidTr="004F2ADF">
        <w:tc>
          <w:tcPr>
            <w:tcW w:w="2510" w:type="pct"/>
            <w:shd w:val="clear" w:color="auto" w:fill="auto"/>
          </w:tcPr>
          <w:p w:rsidR="009A25A0" w:rsidRPr="00881766" w:rsidRDefault="009A25A0" w:rsidP="004F2ADF">
            <w:pPr>
              <w:ind w:firstLine="709"/>
              <w:jc w:val="both"/>
              <w:rPr>
                <w:rFonts w:eastAsia="Arial Unicode MS"/>
                <w:color w:val="000000"/>
                <w:sz w:val="22"/>
                <w:szCs w:val="22"/>
                <w:u w:color="000000"/>
              </w:rPr>
            </w:pPr>
            <w:r w:rsidRPr="00881766">
              <w:rPr>
                <w:sz w:val="22"/>
                <w:szCs w:val="22"/>
              </w:rPr>
              <w:t>В сельском хозяйстве на фоне сохранения всех основных мер государственной поддержки, в том числе в части развития мелиоративного комплекса, а также переработки сельскохозяйственной продукции, ожидается увеличение валового выпуска отрасли на 8,0 процента в номинальном выражении к прогнозу 2023 года (до 4 853,0 миллиона рублей Приднестровской Молдавской Республики).</w:t>
            </w:r>
          </w:p>
        </w:tc>
        <w:tc>
          <w:tcPr>
            <w:tcW w:w="2490" w:type="pct"/>
            <w:shd w:val="clear" w:color="auto" w:fill="auto"/>
          </w:tcPr>
          <w:p w:rsidR="009A25A0" w:rsidRPr="00881766" w:rsidRDefault="009A25A0" w:rsidP="004F2ADF">
            <w:pPr>
              <w:ind w:firstLine="709"/>
              <w:jc w:val="both"/>
              <w:rPr>
                <w:rFonts w:eastAsia="Arial Unicode MS"/>
                <w:color w:val="000000"/>
                <w:sz w:val="22"/>
                <w:szCs w:val="22"/>
                <w:u w:color="000000"/>
              </w:rPr>
            </w:pPr>
            <w:r w:rsidRPr="00881766">
              <w:rPr>
                <w:sz w:val="22"/>
                <w:szCs w:val="22"/>
              </w:rPr>
              <w:t xml:space="preserve">В сельском хозяйстве на фоне сохранения всех основных мер государственной поддержки, в том числе в части развития мелиоративного комплекса, а также переработки сельскохозяйственной продукции, ожидается увеличение валового выпуска отрасли </w:t>
            </w:r>
            <w:r w:rsidRPr="00881766">
              <w:rPr>
                <w:b/>
                <w:bCs/>
                <w:sz w:val="22"/>
                <w:szCs w:val="22"/>
              </w:rPr>
              <w:t>на 2,3 процента</w:t>
            </w:r>
            <w:r w:rsidRPr="00881766">
              <w:rPr>
                <w:sz w:val="22"/>
                <w:szCs w:val="22"/>
              </w:rPr>
              <w:t xml:space="preserve"> в номинальном выражении к ожидаемому показателю 2023 года</w:t>
            </w:r>
            <w:r w:rsidRPr="00881766">
              <w:rPr>
                <w:b/>
                <w:bCs/>
                <w:sz w:val="22"/>
                <w:szCs w:val="22"/>
              </w:rPr>
              <w:t xml:space="preserve"> </w:t>
            </w:r>
            <w:r w:rsidRPr="00881766">
              <w:rPr>
                <w:sz w:val="22"/>
                <w:szCs w:val="22"/>
              </w:rPr>
              <w:t>(до</w:t>
            </w:r>
            <w:r w:rsidRPr="00881766">
              <w:rPr>
                <w:b/>
                <w:bCs/>
                <w:sz w:val="22"/>
                <w:szCs w:val="22"/>
              </w:rPr>
              <w:t xml:space="preserve"> 5 111,20</w:t>
            </w:r>
            <w:r w:rsidRPr="00881766">
              <w:rPr>
                <w:sz w:val="22"/>
                <w:szCs w:val="22"/>
              </w:rPr>
              <w:t xml:space="preserve"> миллиона рублей Приднестровской Молдавской Республики).</w:t>
            </w:r>
          </w:p>
        </w:tc>
      </w:tr>
      <w:tr w:rsidR="009A25A0" w:rsidRPr="00881766" w:rsidTr="004F2ADF">
        <w:tc>
          <w:tcPr>
            <w:tcW w:w="2510" w:type="pct"/>
            <w:shd w:val="clear" w:color="auto" w:fill="auto"/>
          </w:tcPr>
          <w:p w:rsidR="009A25A0" w:rsidRPr="00881766" w:rsidRDefault="009A25A0" w:rsidP="004F2ADF">
            <w:pPr>
              <w:ind w:firstLine="709"/>
              <w:jc w:val="both"/>
              <w:rPr>
                <w:sz w:val="22"/>
                <w:szCs w:val="22"/>
              </w:rPr>
            </w:pPr>
            <w:r w:rsidRPr="00881766">
              <w:rPr>
                <w:sz w:val="22"/>
                <w:szCs w:val="22"/>
              </w:rPr>
              <w:t>С учетом динамики развития ситуации в основных отраслях реального сектора экономики ожидается умеренный рост показателей внешней торговли (плюс 6,1 процента к уровню 2023 года).</w:t>
            </w:r>
          </w:p>
        </w:tc>
        <w:tc>
          <w:tcPr>
            <w:tcW w:w="2490" w:type="pct"/>
            <w:shd w:val="clear" w:color="auto" w:fill="auto"/>
          </w:tcPr>
          <w:p w:rsidR="009A25A0" w:rsidRPr="00881766" w:rsidRDefault="009A25A0" w:rsidP="004F2ADF">
            <w:pPr>
              <w:ind w:firstLine="709"/>
              <w:jc w:val="both"/>
              <w:rPr>
                <w:b/>
                <w:bCs/>
                <w:sz w:val="22"/>
                <w:szCs w:val="22"/>
              </w:rPr>
            </w:pPr>
            <w:r w:rsidRPr="00881766">
              <w:rPr>
                <w:b/>
                <w:bCs/>
                <w:sz w:val="22"/>
                <w:szCs w:val="22"/>
              </w:rPr>
              <w:t>С учетом динамики развития ситуации в основных отраслях реального сектора экономики, прогнозных оценок мировых экспертов о ситуации на мировых сырьевых рынках в 2024 году ожидается незначительное снижение показателей внешней торговли: совокупный внешнеторговый оборот может сократится на 8,4 процента к оценке 2023 года.</w:t>
            </w:r>
          </w:p>
        </w:tc>
      </w:tr>
      <w:tr w:rsidR="009A25A0" w:rsidRPr="00881766" w:rsidTr="004F2ADF">
        <w:tc>
          <w:tcPr>
            <w:tcW w:w="2510" w:type="pct"/>
            <w:shd w:val="clear" w:color="auto" w:fill="auto"/>
          </w:tcPr>
          <w:p w:rsidR="009A25A0" w:rsidRPr="00881766" w:rsidRDefault="009A25A0" w:rsidP="004F2ADF">
            <w:pPr>
              <w:ind w:firstLine="709"/>
              <w:jc w:val="both"/>
              <w:rPr>
                <w:sz w:val="22"/>
                <w:szCs w:val="22"/>
              </w:rPr>
            </w:pPr>
            <w:r w:rsidRPr="00881766">
              <w:rPr>
                <w:sz w:val="22"/>
                <w:szCs w:val="22"/>
              </w:rPr>
              <w:t>В результате объем розничного товарооборота может расшириться в пределах 7 процентов в номинальном выражении, до 11 210,2 миллиона рублей Приднестровской Молдавской Республики.</w:t>
            </w:r>
          </w:p>
        </w:tc>
        <w:tc>
          <w:tcPr>
            <w:tcW w:w="2490" w:type="pct"/>
            <w:shd w:val="clear" w:color="auto" w:fill="auto"/>
          </w:tcPr>
          <w:p w:rsidR="009A25A0" w:rsidRPr="00881766" w:rsidRDefault="009A25A0" w:rsidP="004F2ADF">
            <w:pPr>
              <w:ind w:firstLine="709"/>
              <w:jc w:val="both"/>
              <w:rPr>
                <w:sz w:val="22"/>
                <w:szCs w:val="22"/>
              </w:rPr>
            </w:pPr>
            <w:r w:rsidRPr="00881766">
              <w:rPr>
                <w:sz w:val="22"/>
                <w:szCs w:val="22"/>
              </w:rPr>
              <w:t xml:space="preserve">В результате объем розничного товарооборота может расшириться </w:t>
            </w:r>
            <w:r w:rsidRPr="00881766">
              <w:rPr>
                <w:b/>
                <w:bCs/>
                <w:sz w:val="22"/>
                <w:szCs w:val="22"/>
              </w:rPr>
              <w:t>в пределах 5,1 процента в номинальном выражении, до 11 193,2 миллиона рублей Приднестровской Молдавской Республики</w:t>
            </w:r>
            <w:r w:rsidRPr="00881766">
              <w:rPr>
                <w:sz w:val="22"/>
                <w:szCs w:val="22"/>
              </w:rPr>
              <w:t>.</w:t>
            </w:r>
          </w:p>
        </w:tc>
      </w:tr>
      <w:tr w:rsidR="009A25A0" w:rsidRPr="00881766" w:rsidTr="004F2ADF">
        <w:tc>
          <w:tcPr>
            <w:tcW w:w="2510" w:type="pct"/>
            <w:shd w:val="clear" w:color="auto" w:fill="auto"/>
          </w:tcPr>
          <w:p w:rsidR="009A25A0" w:rsidRPr="00881766" w:rsidRDefault="009A25A0" w:rsidP="004F2ADF">
            <w:pPr>
              <w:ind w:firstLine="709"/>
              <w:jc w:val="both"/>
              <w:rPr>
                <w:sz w:val="22"/>
                <w:szCs w:val="22"/>
              </w:rPr>
            </w:pPr>
            <w:r w:rsidRPr="00881766">
              <w:rPr>
                <w:sz w:val="22"/>
                <w:szCs w:val="22"/>
              </w:rPr>
              <w:t>Исходя из обозначенных тенденций, которые при заданных сценарных условиях могут характеризовать развитие реального сектора экономики  в 2024 году, показатель валового внутреннего продукта в номинальном выражении будет характеризоваться положительной динамикой роста в пределах 6,0 процентов (до 20 385,3 миллиона рублей Приднестровской Молдавской Республики).</w:t>
            </w:r>
          </w:p>
        </w:tc>
        <w:tc>
          <w:tcPr>
            <w:tcW w:w="2490" w:type="pct"/>
            <w:shd w:val="clear" w:color="auto" w:fill="auto"/>
          </w:tcPr>
          <w:p w:rsidR="009A25A0" w:rsidRPr="00881766" w:rsidRDefault="009A25A0" w:rsidP="004F2ADF">
            <w:pPr>
              <w:ind w:firstLine="709"/>
              <w:jc w:val="both"/>
              <w:rPr>
                <w:sz w:val="22"/>
                <w:szCs w:val="22"/>
              </w:rPr>
            </w:pPr>
            <w:r w:rsidRPr="00881766">
              <w:rPr>
                <w:sz w:val="22"/>
                <w:szCs w:val="22"/>
              </w:rPr>
              <w:t xml:space="preserve">Исходя из обозначенных тенденций, которые при заданных сценарных условиях могут характеризовать развитие реального сектора экономики  в 2024 году, показатель валового внутреннего продукта в номинальном выражении будет характеризоваться </w:t>
            </w:r>
            <w:r w:rsidRPr="00881766">
              <w:rPr>
                <w:b/>
                <w:bCs/>
                <w:sz w:val="22"/>
                <w:szCs w:val="22"/>
              </w:rPr>
              <w:t>слабоположительной</w:t>
            </w:r>
            <w:r w:rsidRPr="00881766">
              <w:rPr>
                <w:sz w:val="22"/>
                <w:szCs w:val="22"/>
              </w:rPr>
              <w:t xml:space="preserve"> динамикой роста в пределах </w:t>
            </w:r>
            <w:r w:rsidRPr="00881766">
              <w:rPr>
                <w:b/>
                <w:bCs/>
                <w:sz w:val="22"/>
                <w:szCs w:val="22"/>
              </w:rPr>
              <w:t>1,8 процента</w:t>
            </w:r>
            <w:r w:rsidRPr="00881766">
              <w:rPr>
                <w:sz w:val="22"/>
                <w:szCs w:val="22"/>
              </w:rPr>
              <w:t xml:space="preserve"> (до </w:t>
            </w:r>
            <w:r w:rsidRPr="00881766">
              <w:rPr>
                <w:b/>
                <w:bCs/>
                <w:sz w:val="22"/>
                <w:szCs w:val="22"/>
              </w:rPr>
              <w:t>19 420,3</w:t>
            </w:r>
            <w:r w:rsidRPr="00881766">
              <w:rPr>
                <w:sz w:val="22"/>
                <w:szCs w:val="22"/>
              </w:rPr>
              <w:t xml:space="preserve"> миллиона рублей Приднестровской Молдавской Республики).</w:t>
            </w:r>
          </w:p>
        </w:tc>
      </w:tr>
      <w:tr w:rsidR="009A25A0" w:rsidRPr="00881766" w:rsidTr="004F2ADF">
        <w:tc>
          <w:tcPr>
            <w:tcW w:w="5000" w:type="pct"/>
            <w:gridSpan w:val="2"/>
            <w:shd w:val="clear" w:color="auto" w:fill="auto"/>
          </w:tcPr>
          <w:p w:rsidR="009A25A0" w:rsidRPr="00881766" w:rsidRDefault="009A25A0" w:rsidP="004F2ADF">
            <w:pPr>
              <w:jc w:val="center"/>
              <w:rPr>
                <w:b/>
                <w:sz w:val="22"/>
                <w:szCs w:val="22"/>
              </w:rPr>
            </w:pPr>
            <w:r w:rsidRPr="00881766">
              <w:rPr>
                <w:b/>
                <w:sz w:val="22"/>
                <w:szCs w:val="22"/>
              </w:rPr>
              <w:t>РАЗДЕЛ 2.  ОСНОВНЫЕ ПРИНЦИПЫ БЮДЖЕТНОЙ ПОЛИТИКИ НА 2024 ГОД И СРЕДНЕСРОЧНУЮ ПЕРСПЕКТИВУ</w:t>
            </w:r>
          </w:p>
        </w:tc>
      </w:tr>
      <w:tr w:rsidR="009A25A0" w:rsidRPr="00881766" w:rsidTr="004F2ADF">
        <w:tc>
          <w:tcPr>
            <w:tcW w:w="5000" w:type="pct"/>
            <w:gridSpan w:val="2"/>
            <w:shd w:val="clear" w:color="auto" w:fill="auto"/>
          </w:tcPr>
          <w:p w:rsidR="009A25A0" w:rsidRPr="002C09B4"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center"/>
              <w:rPr>
                <w:b/>
                <w:bCs/>
                <w:sz w:val="22"/>
                <w:szCs w:val="22"/>
              </w:rPr>
            </w:pPr>
            <w:r w:rsidRPr="002C09B4">
              <w:rPr>
                <w:b/>
                <w:bCs/>
                <w:sz w:val="22"/>
                <w:szCs w:val="22"/>
              </w:rPr>
              <w:t>Глава 4. Приоритетные направления бюджетных расходов</w:t>
            </w:r>
          </w:p>
        </w:tc>
      </w:tr>
      <w:tr w:rsidR="009A25A0" w:rsidRPr="00881766" w:rsidTr="004F2ADF">
        <w:tc>
          <w:tcPr>
            <w:tcW w:w="2510" w:type="pct"/>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2"/>
                <w:szCs w:val="22"/>
              </w:rPr>
            </w:pPr>
            <w:r>
              <w:rPr>
                <w:sz w:val="22"/>
                <w:szCs w:val="22"/>
              </w:rPr>
              <w:t xml:space="preserve">В соответствии с доходными возможностями бюджета и в пределах располагаемых источников покрытия дефицита бюджета в среднесрочной перспективе планируется придерживаться целевого ориентира по расходам на обеспечение обороноспособности государства до 2 процентов от валового внутреннего продукта в рамках реализации Указа Президента Приднестровской Молдавской Республики от 12 декабря 2018 года № 460 </w:t>
            </w:r>
            <w:r>
              <w:rPr>
                <w:sz w:val="22"/>
                <w:szCs w:val="22"/>
              </w:rPr>
              <w:lastRenderedPageBreak/>
              <w:t>«Об утверждении стратегии развития Приднестровской Молдавской Республики на 2019-2026 года» (САЗ 20-21).</w:t>
            </w:r>
          </w:p>
        </w:tc>
        <w:tc>
          <w:tcPr>
            <w:tcW w:w="2490" w:type="pct"/>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2"/>
                <w:szCs w:val="22"/>
              </w:rPr>
            </w:pPr>
            <w:r>
              <w:rPr>
                <w:sz w:val="22"/>
                <w:szCs w:val="22"/>
              </w:rPr>
              <w:lastRenderedPageBreak/>
              <w:t xml:space="preserve">В соответствии с доходными возможностями бюджета и в пределах располагаемых источников покрытия дефицита бюджета в среднесрочной перспективе планируется придерживаться целевого ориентира по расходам на обеспечение обороноспособности государства до 2 процентов от валового внутреннего продукта </w:t>
            </w:r>
            <w:r w:rsidRPr="00297EB2">
              <w:rPr>
                <w:b/>
                <w:bCs/>
                <w:sz w:val="22"/>
                <w:szCs w:val="22"/>
              </w:rPr>
              <w:t>предыдущего финансового года</w:t>
            </w:r>
            <w:r w:rsidRPr="00297EB2">
              <w:rPr>
                <w:sz w:val="18"/>
                <w:szCs w:val="18"/>
              </w:rPr>
              <w:t xml:space="preserve"> </w:t>
            </w:r>
            <w:r>
              <w:rPr>
                <w:sz w:val="22"/>
                <w:szCs w:val="22"/>
              </w:rPr>
              <w:t xml:space="preserve">в рамках реализации Указа Президента Приднестровской Молдавской Республики от 12 декабря 2018 года № 460 «Об утверждении стратегии развития </w:t>
            </w:r>
            <w:r>
              <w:rPr>
                <w:sz w:val="22"/>
                <w:szCs w:val="22"/>
              </w:rPr>
              <w:lastRenderedPageBreak/>
              <w:t>Приднестровской Молдавской Республики на 2019-2026 года» (САЗ 20-21).</w:t>
            </w:r>
          </w:p>
        </w:tc>
      </w:tr>
      <w:tr w:rsidR="009A25A0" w:rsidRPr="00881766" w:rsidTr="004F2ADF">
        <w:tc>
          <w:tcPr>
            <w:tcW w:w="5000" w:type="pct"/>
            <w:gridSpan w:val="2"/>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6645"/>
                <w:tab w:val="left" w:pos="7328"/>
                <w:tab w:val="left" w:pos="8244"/>
                <w:tab w:val="left" w:pos="8848"/>
              </w:tabs>
              <w:ind w:firstLine="709"/>
              <w:rPr>
                <w:sz w:val="22"/>
                <w:szCs w:val="22"/>
              </w:rPr>
            </w:pPr>
            <w:r w:rsidRPr="00881766">
              <w:rPr>
                <w:b/>
                <w:sz w:val="22"/>
                <w:szCs w:val="22"/>
              </w:rPr>
              <w:lastRenderedPageBreak/>
              <w:t>Глава 11. Предельный размер дефицита бюджета: общий в абсолютном выражении, а также по отношению к расходам государственного бюджета и по отношению к объему внутреннего валового продукта</w:t>
            </w:r>
            <w:r>
              <w:rPr>
                <w:sz w:val="22"/>
                <w:szCs w:val="22"/>
              </w:rPr>
              <w:tab/>
            </w:r>
            <w:r>
              <w:rPr>
                <w:sz w:val="22"/>
                <w:szCs w:val="22"/>
              </w:rPr>
              <w:tab/>
            </w:r>
            <w:r>
              <w:rPr>
                <w:sz w:val="22"/>
                <w:szCs w:val="22"/>
              </w:rPr>
              <w:tab/>
            </w:r>
          </w:p>
        </w:tc>
      </w:tr>
      <w:tr w:rsidR="009A25A0" w:rsidRPr="00881766" w:rsidTr="004F2ADF">
        <w:tc>
          <w:tcPr>
            <w:tcW w:w="2510" w:type="pct"/>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sz w:val="22"/>
                <w:szCs w:val="22"/>
              </w:rPr>
            </w:pPr>
            <w:r w:rsidRPr="00881766">
              <w:rPr>
                <w:sz w:val="22"/>
                <w:szCs w:val="22"/>
              </w:rPr>
              <w:t>Таблица 1</w:t>
            </w:r>
          </w:p>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sz w:val="22"/>
                <w:szCs w:val="22"/>
              </w:rPr>
            </w:pPr>
          </w:p>
          <w:p w:rsidR="009A25A0" w:rsidRPr="00881766" w:rsidRDefault="009A25A0" w:rsidP="004F2ADF">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 xml:space="preserve">Динамика предельного размера дефицита государственного </w:t>
            </w:r>
            <w:proofErr w:type="gramStart"/>
            <w:r w:rsidRPr="00881766">
              <w:rPr>
                <w:sz w:val="22"/>
                <w:szCs w:val="22"/>
              </w:rPr>
              <w:t>бюджета  в</w:t>
            </w:r>
            <w:proofErr w:type="gramEnd"/>
            <w:r w:rsidRPr="00881766">
              <w:rPr>
                <w:sz w:val="22"/>
                <w:szCs w:val="22"/>
              </w:rPr>
              <w:t xml:space="preserve"> 2024–2026 годах, </w:t>
            </w:r>
          </w:p>
          <w:p w:rsidR="009A25A0" w:rsidRPr="00881766" w:rsidRDefault="009A25A0" w:rsidP="004F2ADF">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 xml:space="preserve">миллионов рублей Приднестровской Молдавской Республики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801"/>
              <w:gridCol w:w="1172"/>
              <w:gridCol w:w="1172"/>
              <w:gridCol w:w="1170"/>
            </w:tblGrid>
            <w:tr w:rsidR="009A25A0" w:rsidRPr="00881766" w:rsidTr="004F2ADF">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w:t>
                  </w:r>
                </w:p>
                <w:p w:rsidR="009A25A0" w:rsidRPr="00881766" w:rsidRDefault="009A25A0" w:rsidP="004F2ADF">
                  <w:pPr>
                    <w:jc w:val="center"/>
                    <w:rPr>
                      <w:rFonts w:eastAsia="Calibri"/>
                      <w:sz w:val="22"/>
                      <w:szCs w:val="22"/>
                      <w:lang w:eastAsia="en-US"/>
                    </w:rPr>
                  </w:pPr>
                  <w:r w:rsidRPr="00881766">
                    <w:rPr>
                      <w:rFonts w:eastAsia="Calibri"/>
                      <w:sz w:val="22"/>
                      <w:szCs w:val="22"/>
                      <w:lang w:eastAsia="en-US"/>
                    </w:rPr>
                    <w:t>п/п</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Наименование показателей</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2024 год</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2025 год</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2026 год</w:t>
                  </w:r>
                </w:p>
              </w:tc>
            </w:tr>
            <w:tr w:rsidR="009A25A0" w:rsidRPr="00881766" w:rsidTr="004F2ADF">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1.</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rPr>
                      <w:rFonts w:eastAsia="Calibri"/>
                      <w:sz w:val="22"/>
                      <w:szCs w:val="22"/>
                      <w:lang w:eastAsia="en-US"/>
                    </w:rPr>
                  </w:pPr>
                  <w:r w:rsidRPr="00881766">
                    <w:rPr>
                      <w:rFonts w:eastAsia="Calibri"/>
                      <w:sz w:val="22"/>
                      <w:szCs w:val="22"/>
                      <w:lang w:eastAsia="en-US"/>
                    </w:rPr>
                    <w:t>Валовой внутренний продукт (номинальный объем)</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20 385,3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21 608,4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22 904,9</w:t>
                  </w:r>
                </w:p>
              </w:tc>
            </w:tr>
            <w:tr w:rsidR="009A25A0" w:rsidRPr="00881766" w:rsidTr="004F2ADF">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rPr>
                      <w:rFonts w:eastAsia="Calibri"/>
                      <w:sz w:val="22"/>
                      <w:szCs w:val="22"/>
                      <w:lang w:eastAsia="en-US"/>
                    </w:rPr>
                  </w:pPr>
                  <w:r w:rsidRPr="00881766">
                    <w:rPr>
                      <w:rFonts w:eastAsia="Calibri"/>
                      <w:sz w:val="22"/>
                      <w:szCs w:val="22"/>
                      <w:lang w:eastAsia="en-US"/>
                    </w:rPr>
                    <w:t>Дефицит (сальдо) государственного бюджета</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2 160,8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2 258,0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2 348,4</w:t>
                  </w:r>
                </w:p>
              </w:tc>
            </w:tr>
            <w:tr w:rsidR="009A25A0" w:rsidRPr="00881766" w:rsidTr="004F2ADF">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3.</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rPr>
                      <w:rFonts w:eastAsia="Calibri"/>
                      <w:sz w:val="22"/>
                      <w:szCs w:val="22"/>
                      <w:lang w:eastAsia="en-US"/>
                    </w:rPr>
                  </w:pPr>
                  <w:r w:rsidRPr="00881766">
                    <w:rPr>
                      <w:rFonts w:eastAsia="Calibri"/>
                      <w:sz w:val="22"/>
                      <w:szCs w:val="22"/>
                      <w:lang w:eastAsia="en-US"/>
                    </w:rPr>
                    <w:t>Отношение дефицита государственного бюджета к валовому внутреннему продукту</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10,6%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10,4%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10,3%</w:t>
                  </w:r>
                </w:p>
              </w:tc>
            </w:tr>
          </w:tbl>
          <w:p w:rsidR="009A25A0" w:rsidRPr="00881766" w:rsidRDefault="009A25A0" w:rsidP="004F2ADF">
            <w:pPr>
              <w:ind w:firstLine="709"/>
              <w:jc w:val="both"/>
              <w:rPr>
                <w:sz w:val="22"/>
                <w:szCs w:val="22"/>
              </w:rPr>
            </w:pPr>
          </w:p>
        </w:tc>
        <w:tc>
          <w:tcPr>
            <w:tcW w:w="2490" w:type="pct"/>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sz w:val="22"/>
                <w:szCs w:val="22"/>
              </w:rPr>
            </w:pPr>
            <w:r w:rsidRPr="00881766">
              <w:rPr>
                <w:sz w:val="22"/>
                <w:szCs w:val="22"/>
              </w:rPr>
              <w:t>Таблица 1</w:t>
            </w:r>
          </w:p>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sz w:val="22"/>
                <w:szCs w:val="22"/>
              </w:rPr>
            </w:pPr>
          </w:p>
          <w:p w:rsidR="009A25A0" w:rsidRPr="00881766" w:rsidRDefault="009A25A0" w:rsidP="004F2ADF">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 xml:space="preserve">Динамика предельного размера дефицита государственного </w:t>
            </w:r>
            <w:proofErr w:type="gramStart"/>
            <w:r w:rsidRPr="00881766">
              <w:rPr>
                <w:sz w:val="22"/>
                <w:szCs w:val="22"/>
              </w:rPr>
              <w:t>бюджета  в</w:t>
            </w:r>
            <w:proofErr w:type="gramEnd"/>
            <w:r w:rsidRPr="00881766">
              <w:rPr>
                <w:sz w:val="22"/>
                <w:szCs w:val="22"/>
              </w:rPr>
              <w:t xml:space="preserve"> 2024–2026 годах, </w:t>
            </w:r>
          </w:p>
          <w:p w:rsidR="009A25A0" w:rsidRPr="00881766" w:rsidRDefault="009A25A0" w:rsidP="004F2ADF">
            <w:pPr>
              <w:shd w:val="clear" w:color="auto" w:fill="FFFFFF"/>
              <w:tabs>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 xml:space="preserve">миллионов рублей Приднестровской Молдавской Республики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40"/>
              <w:gridCol w:w="1248"/>
              <w:gridCol w:w="1381"/>
              <w:gridCol w:w="1381"/>
            </w:tblGrid>
            <w:tr w:rsidR="009A25A0" w:rsidRPr="00881766" w:rsidTr="004F2ADF">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w:t>
                  </w:r>
                </w:p>
                <w:p w:rsidR="009A25A0" w:rsidRPr="00881766" w:rsidRDefault="009A25A0" w:rsidP="004F2ADF">
                  <w:pPr>
                    <w:jc w:val="center"/>
                    <w:rPr>
                      <w:rFonts w:eastAsia="Calibri"/>
                      <w:sz w:val="22"/>
                      <w:szCs w:val="22"/>
                      <w:lang w:eastAsia="en-US"/>
                    </w:rPr>
                  </w:pPr>
                  <w:r w:rsidRPr="00881766">
                    <w:rPr>
                      <w:rFonts w:eastAsia="Calibri"/>
                      <w:sz w:val="22"/>
                      <w:szCs w:val="22"/>
                      <w:lang w:eastAsia="en-US"/>
                    </w:rPr>
                    <w:t>п/п</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Наименование показателей</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2024 год</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2025 год</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2026 год</w:t>
                  </w:r>
                </w:p>
              </w:tc>
            </w:tr>
            <w:tr w:rsidR="009A25A0" w:rsidRPr="00881766" w:rsidTr="004F2ADF">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1.</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rPr>
                      <w:rFonts w:eastAsia="Calibri"/>
                      <w:sz w:val="22"/>
                      <w:szCs w:val="22"/>
                      <w:lang w:eastAsia="en-US"/>
                    </w:rPr>
                  </w:pPr>
                  <w:r w:rsidRPr="00881766">
                    <w:rPr>
                      <w:rFonts w:eastAsia="Calibri"/>
                      <w:sz w:val="22"/>
                      <w:szCs w:val="22"/>
                      <w:lang w:eastAsia="en-US"/>
                    </w:rPr>
                    <w:t>Валовой внутренний продукт (номинальный объем)</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9A25A0" w:rsidRPr="00881766" w:rsidRDefault="009A25A0" w:rsidP="004F2ADF">
                  <w:pPr>
                    <w:jc w:val="center"/>
                    <w:rPr>
                      <w:rFonts w:eastAsia="Calibri"/>
                      <w:b/>
                      <w:bCs/>
                      <w:sz w:val="22"/>
                      <w:szCs w:val="22"/>
                      <w:lang w:eastAsia="en-US"/>
                    </w:rPr>
                  </w:pPr>
                  <w:r w:rsidRPr="00881766">
                    <w:rPr>
                      <w:b/>
                      <w:bCs/>
                      <w:color w:val="000000"/>
                      <w:sz w:val="22"/>
                      <w:szCs w:val="22"/>
                    </w:rPr>
                    <w:t>19 420,3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9A25A0" w:rsidRPr="00881766" w:rsidRDefault="009A25A0" w:rsidP="004F2ADF">
                  <w:pPr>
                    <w:jc w:val="center"/>
                    <w:rPr>
                      <w:rFonts w:eastAsia="Calibri"/>
                      <w:b/>
                      <w:bCs/>
                      <w:sz w:val="22"/>
                      <w:szCs w:val="22"/>
                      <w:lang w:eastAsia="en-US"/>
                    </w:rPr>
                  </w:pPr>
                  <w:r w:rsidRPr="00881766">
                    <w:rPr>
                      <w:b/>
                      <w:bCs/>
                      <w:color w:val="000000"/>
                      <w:sz w:val="22"/>
                      <w:szCs w:val="22"/>
                    </w:rPr>
                    <w:t>20 585,5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rsidR="009A25A0" w:rsidRPr="00881766" w:rsidRDefault="009A25A0" w:rsidP="004F2ADF">
                  <w:pPr>
                    <w:jc w:val="center"/>
                    <w:rPr>
                      <w:rFonts w:eastAsia="Calibri"/>
                      <w:b/>
                      <w:bCs/>
                      <w:sz w:val="22"/>
                      <w:szCs w:val="22"/>
                      <w:lang w:eastAsia="en-US"/>
                    </w:rPr>
                  </w:pPr>
                  <w:r w:rsidRPr="00881766">
                    <w:rPr>
                      <w:b/>
                      <w:bCs/>
                      <w:color w:val="000000"/>
                      <w:sz w:val="22"/>
                      <w:szCs w:val="22"/>
                    </w:rPr>
                    <w:t>21 820,6</w:t>
                  </w:r>
                </w:p>
              </w:tc>
            </w:tr>
            <w:tr w:rsidR="009A25A0" w:rsidRPr="00881766" w:rsidTr="004F2ADF">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2.</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rPr>
                      <w:rFonts w:eastAsia="Calibri"/>
                      <w:sz w:val="22"/>
                      <w:szCs w:val="22"/>
                      <w:lang w:eastAsia="en-US"/>
                    </w:rPr>
                  </w:pPr>
                  <w:r w:rsidRPr="00881766">
                    <w:rPr>
                      <w:rFonts w:eastAsia="Calibri"/>
                      <w:sz w:val="22"/>
                      <w:szCs w:val="22"/>
                      <w:lang w:eastAsia="en-US"/>
                    </w:rPr>
                    <w:t>Дефицит (сальдо) государственного бюджета</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6647C5" w:rsidRDefault="009A25A0" w:rsidP="004F2ADF">
                  <w:pPr>
                    <w:jc w:val="center"/>
                    <w:rPr>
                      <w:rFonts w:eastAsia="Calibri"/>
                      <w:sz w:val="22"/>
                      <w:szCs w:val="22"/>
                      <w:lang w:eastAsia="en-US"/>
                    </w:rPr>
                  </w:pPr>
                  <w:r w:rsidRPr="006647C5">
                    <w:rPr>
                      <w:color w:val="000000"/>
                      <w:sz w:val="22"/>
                      <w:szCs w:val="22"/>
                    </w:rPr>
                    <w:t>2 909,3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6647C5" w:rsidRDefault="009A25A0" w:rsidP="004F2ADF">
                  <w:pPr>
                    <w:jc w:val="center"/>
                    <w:rPr>
                      <w:rFonts w:eastAsia="Calibri"/>
                      <w:sz w:val="22"/>
                      <w:szCs w:val="22"/>
                      <w:lang w:eastAsia="en-US"/>
                    </w:rPr>
                  </w:pPr>
                  <w:r w:rsidRPr="006647C5">
                    <w:rPr>
                      <w:color w:val="000000"/>
                      <w:sz w:val="22"/>
                      <w:szCs w:val="22"/>
                    </w:rPr>
                    <w:t>3 040,2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6647C5" w:rsidRDefault="009A25A0" w:rsidP="004F2ADF">
                  <w:pPr>
                    <w:jc w:val="center"/>
                    <w:rPr>
                      <w:rFonts w:eastAsia="Calibri"/>
                      <w:sz w:val="22"/>
                      <w:szCs w:val="22"/>
                      <w:lang w:eastAsia="en-US"/>
                    </w:rPr>
                  </w:pPr>
                  <w:r w:rsidRPr="006647C5">
                    <w:rPr>
                      <w:color w:val="000000"/>
                      <w:sz w:val="22"/>
                      <w:szCs w:val="22"/>
                    </w:rPr>
                    <w:t>3 161,8</w:t>
                  </w:r>
                </w:p>
              </w:tc>
            </w:tr>
            <w:tr w:rsidR="009A25A0" w:rsidRPr="00881766" w:rsidTr="004F2ADF">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81766" w:rsidRDefault="009A25A0" w:rsidP="004F2ADF">
                  <w:pPr>
                    <w:jc w:val="center"/>
                    <w:rPr>
                      <w:rFonts w:eastAsia="Calibri"/>
                      <w:sz w:val="22"/>
                      <w:szCs w:val="22"/>
                      <w:lang w:eastAsia="en-US"/>
                    </w:rPr>
                  </w:pPr>
                  <w:r w:rsidRPr="00881766">
                    <w:rPr>
                      <w:rFonts w:eastAsia="Calibri"/>
                      <w:sz w:val="22"/>
                      <w:szCs w:val="22"/>
                      <w:lang w:eastAsia="en-US"/>
                    </w:rPr>
                    <w:t>3.</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rPr>
                      <w:rFonts w:eastAsia="Calibri"/>
                      <w:sz w:val="22"/>
                      <w:szCs w:val="22"/>
                      <w:lang w:eastAsia="en-US"/>
                    </w:rPr>
                  </w:pPr>
                  <w:r w:rsidRPr="00881766">
                    <w:rPr>
                      <w:rFonts w:eastAsia="Calibri"/>
                      <w:sz w:val="22"/>
                      <w:szCs w:val="22"/>
                      <w:lang w:eastAsia="en-US"/>
                    </w:rPr>
                    <w:t>Отношение дефицита государственного бюджета к валовому внутреннему продукту</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6647C5" w:rsidRDefault="009A25A0" w:rsidP="004F2ADF">
                  <w:pPr>
                    <w:jc w:val="center"/>
                    <w:rPr>
                      <w:rFonts w:eastAsia="Calibri"/>
                      <w:b/>
                      <w:bCs/>
                      <w:sz w:val="22"/>
                      <w:szCs w:val="22"/>
                      <w:lang w:eastAsia="en-US"/>
                    </w:rPr>
                  </w:pPr>
                  <w:r w:rsidRPr="006647C5">
                    <w:rPr>
                      <w:color w:val="000000"/>
                      <w:sz w:val="22"/>
                      <w:szCs w:val="22"/>
                    </w:rPr>
                    <w:t>15,0%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6647C5" w:rsidRDefault="009A25A0" w:rsidP="004F2ADF">
                  <w:pPr>
                    <w:jc w:val="center"/>
                    <w:rPr>
                      <w:rFonts w:eastAsia="Calibri"/>
                      <w:b/>
                      <w:bCs/>
                      <w:sz w:val="22"/>
                      <w:szCs w:val="22"/>
                      <w:lang w:eastAsia="en-US"/>
                    </w:rPr>
                  </w:pPr>
                  <w:r w:rsidRPr="006647C5">
                    <w:rPr>
                      <w:color w:val="000000"/>
                      <w:sz w:val="22"/>
                      <w:szCs w:val="22"/>
                    </w:rPr>
                    <w:t>14,8%</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6647C5" w:rsidRDefault="009A25A0" w:rsidP="004F2ADF">
                  <w:pPr>
                    <w:jc w:val="center"/>
                    <w:rPr>
                      <w:rFonts w:eastAsia="Calibri"/>
                      <w:b/>
                      <w:bCs/>
                      <w:sz w:val="22"/>
                      <w:szCs w:val="22"/>
                      <w:lang w:val="en-US" w:eastAsia="en-US"/>
                    </w:rPr>
                  </w:pPr>
                  <w:r w:rsidRPr="006647C5">
                    <w:rPr>
                      <w:color w:val="000000"/>
                      <w:sz w:val="22"/>
                      <w:szCs w:val="22"/>
                    </w:rPr>
                    <w:t>14,5%</w:t>
                  </w:r>
                </w:p>
              </w:tc>
            </w:tr>
          </w:tbl>
          <w:p w:rsidR="009A25A0" w:rsidRPr="00881766" w:rsidRDefault="009A25A0" w:rsidP="004F2ADF">
            <w:pPr>
              <w:ind w:firstLine="709"/>
              <w:jc w:val="both"/>
              <w:rPr>
                <w:sz w:val="22"/>
                <w:szCs w:val="22"/>
              </w:rPr>
            </w:pPr>
          </w:p>
        </w:tc>
      </w:tr>
      <w:tr w:rsidR="009A25A0" w:rsidRPr="00881766" w:rsidTr="004F2ADF">
        <w:tc>
          <w:tcPr>
            <w:tcW w:w="2510" w:type="pct"/>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2"/>
                <w:szCs w:val="22"/>
              </w:rPr>
            </w:pPr>
            <w:r w:rsidRPr="00881766">
              <w:rPr>
                <w:sz w:val="22"/>
                <w:szCs w:val="22"/>
              </w:rPr>
              <w:t>В абсолютном выражении размер дефицита в 2024 году предполагается на уровне 10,6 процента к номинальному объему валового внутреннего продукта. В целях контроля за данным показателем в среднесрочной перспективе органам государственной власти надлежит придерживаться относительно жесткой бюджетной политики, что способствует реализации важнейшей задачи – недопущения необеспеченного источниками дефицита государственного бюджета и отказа от необходимости привлечения эмиссионного источника на покрытие дефицита бюджета.</w:t>
            </w:r>
          </w:p>
          <w:p w:rsidR="009A25A0" w:rsidRPr="00881766" w:rsidRDefault="009A25A0" w:rsidP="004F2ADF">
            <w:pPr>
              <w:ind w:firstLine="709"/>
              <w:jc w:val="both"/>
              <w:rPr>
                <w:sz w:val="22"/>
                <w:szCs w:val="22"/>
              </w:rPr>
            </w:pPr>
          </w:p>
        </w:tc>
        <w:tc>
          <w:tcPr>
            <w:tcW w:w="2490" w:type="pct"/>
            <w:shd w:val="clear" w:color="auto" w:fill="auto"/>
          </w:tcPr>
          <w:p w:rsidR="009A25A0" w:rsidRPr="00881766" w:rsidRDefault="009A25A0" w:rsidP="004F2ADF">
            <w:pPr>
              <w:shd w:val="clear" w:color="auto" w:fill="FFFFFF"/>
              <w:tabs>
                <w:tab w:val="left" w:pos="916"/>
                <w:tab w:val="left" w:pos="1832"/>
                <w:tab w:val="left" w:pos="2748"/>
                <w:tab w:val="left" w:pos="3664"/>
                <w:tab w:val="left" w:pos="4580"/>
                <w:tab w:val="left" w:pos="5496"/>
                <w:tab w:val="left" w:pos="6412"/>
                <w:tab w:val="left" w:pos="7328"/>
                <w:tab w:val="left" w:pos="8244"/>
                <w:tab w:val="left" w:pos="8848"/>
              </w:tabs>
              <w:ind w:firstLine="709"/>
              <w:jc w:val="both"/>
              <w:rPr>
                <w:sz w:val="22"/>
                <w:szCs w:val="22"/>
              </w:rPr>
            </w:pPr>
            <w:r w:rsidRPr="00881766">
              <w:rPr>
                <w:sz w:val="22"/>
                <w:szCs w:val="22"/>
              </w:rPr>
              <w:t xml:space="preserve">В абсолютном выражении размер дефицита в 2024 году предполагается на уровне </w:t>
            </w:r>
            <w:r>
              <w:rPr>
                <w:b/>
                <w:bCs/>
                <w:sz w:val="22"/>
                <w:szCs w:val="22"/>
              </w:rPr>
              <w:t>15,0</w:t>
            </w:r>
            <w:r w:rsidRPr="00881766">
              <w:rPr>
                <w:sz w:val="22"/>
                <w:szCs w:val="22"/>
              </w:rPr>
              <w:t xml:space="preserve"> процента к номинальному объему валового внутреннего продукта. В целях контроля за данным показателем в среднесрочной перспективе органам государственной власти надлежит придерживаться относительно жесткой бюджетной политики, что способствует реализации важнейшей задачи – недопущения необеспеченного источниками дефицита государственного бюджета и отказа от необходимости привлечения эмиссионного источника на покрытие дефицита бюджета.</w:t>
            </w:r>
          </w:p>
          <w:p w:rsidR="009A25A0" w:rsidRPr="00881766" w:rsidRDefault="009A25A0" w:rsidP="004F2ADF">
            <w:pPr>
              <w:ind w:firstLine="709"/>
              <w:jc w:val="both"/>
              <w:rPr>
                <w:sz w:val="22"/>
                <w:szCs w:val="22"/>
              </w:rPr>
            </w:pPr>
          </w:p>
        </w:tc>
      </w:tr>
      <w:tr w:rsidR="009A25A0" w:rsidRPr="00881766" w:rsidTr="004F2ADF">
        <w:trPr>
          <w:trHeight w:val="1017"/>
        </w:trPr>
        <w:tc>
          <w:tcPr>
            <w:tcW w:w="5000" w:type="pct"/>
            <w:gridSpan w:val="2"/>
            <w:shd w:val="clear" w:color="auto" w:fill="auto"/>
          </w:tcPr>
          <w:p w:rsidR="009A25A0" w:rsidRPr="00881766" w:rsidRDefault="009A25A0" w:rsidP="004F2ADF">
            <w:pPr>
              <w:tabs>
                <w:tab w:val="left" w:pos="0"/>
              </w:tabs>
              <w:jc w:val="center"/>
              <w:rPr>
                <w:b/>
                <w:sz w:val="22"/>
                <w:szCs w:val="22"/>
              </w:rPr>
            </w:pPr>
            <w:r w:rsidRPr="00881766">
              <w:rPr>
                <w:b/>
                <w:sz w:val="22"/>
                <w:szCs w:val="22"/>
              </w:rPr>
              <w:t xml:space="preserve">РАЗДЕЛ 3. ОСНОВНЫЕ ПРИНЦИПЫ НАЛОГОВОЙ ПОЛИТИКИ ГОСУДАРСТВА </w:t>
            </w:r>
          </w:p>
          <w:p w:rsidR="009A25A0" w:rsidRPr="00881766" w:rsidRDefault="009A25A0" w:rsidP="004F2ADF">
            <w:pPr>
              <w:ind w:firstLine="709"/>
              <w:jc w:val="both"/>
              <w:rPr>
                <w:sz w:val="22"/>
                <w:szCs w:val="22"/>
              </w:rPr>
            </w:pPr>
            <w:r w:rsidRPr="00881766">
              <w:rPr>
                <w:b/>
                <w:sz w:val="22"/>
                <w:szCs w:val="22"/>
              </w:rPr>
              <w:t xml:space="preserve">НА 2024 ГОД И СРЕДНЕСРОЧНУЮ ПЕРСПЕКТИВУ </w:t>
            </w:r>
          </w:p>
          <w:p w:rsidR="009A25A0" w:rsidRPr="00881766" w:rsidRDefault="009A25A0" w:rsidP="00872767">
            <w:pPr>
              <w:ind w:firstLine="709"/>
              <w:jc w:val="both"/>
              <w:rPr>
                <w:sz w:val="22"/>
                <w:szCs w:val="22"/>
              </w:rPr>
            </w:pPr>
            <w:r w:rsidRPr="00881766">
              <w:rPr>
                <w:b/>
                <w:sz w:val="22"/>
                <w:szCs w:val="22"/>
              </w:rPr>
              <w:t>Глава 13. Отраслевая общая и предельная величина налоговой нагрузки по видам налогов и иных обязательных платежей. Налоговая нагрузка на экономику</w:t>
            </w:r>
          </w:p>
        </w:tc>
      </w:tr>
      <w:tr w:rsidR="009A25A0" w:rsidRPr="00881766" w:rsidTr="004F2ADF">
        <w:tc>
          <w:tcPr>
            <w:tcW w:w="2510" w:type="pct"/>
            <w:shd w:val="clear" w:color="auto" w:fill="auto"/>
          </w:tcPr>
          <w:p w:rsidR="009A25A0" w:rsidRPr="00881766" w:rsidRDefault="009A25A0" w:rsidP="00872767">
            <w:pPr>
              <w:widowControl w:val="0"/>
              <w:ind w:firstLine="709"/>
              <w:jc w:val="both"/>
              <w:rPr>
                <w:bCs/>
                <w:sz w:val="22"/>
                <w:szCs w:val="22"/>
              </w:rPr>
            </w:pPr>
            <w:r w:rsidRPr="00881766">
              <w:rPr>
                <w:bCs/>
                <w:sz w:val="22"/>
                <w:szCs w:val="22"/>
              </w:rPr>
              <w:t xml:space="preserve">По итогам 2022 года, по предварительным оценкам, налоговая нагрузка на экономику сформирована на отметке 27,6 процента, </w:t>
            </w:r>
            <w:r w:rsidRPr="00881766">
              <w:rPr>
                <w:sz w:val="22"/>
                <w:szCs w:val="22"/>
              </w:rPr>
              <w:t>что ниже целевого ориентира, определенного на отметке 29 процентов (плюс-минус 1 процентный пункт).</w:t>
            </w:r>
          </w:p>
        </w:tc>
        <w:tc>
          <w:tcPr>
            <w:tcW w:w="2490" w:type="pct"/>
            <w:shd w:val="clear" w:color="auto" w:fill="auto"/>
          </w:tcPr>
          <w:p w:rsidR="009A25A0" w:rsidRPr="00881766" w:rsidRDefault="009A25A0" w:rsidP="00872767">
            <w:pPr>
              <w:widowControl w:val="0"/>
              <w:ind w:firstLine="709"/>
              <w:jc w:val="both"/>
              <w:rPr>
                <w:bCs/>
                <w:sz w:val="22"/>
                <w:szCs w:val="22"/>
              </w:rPr>
            </w:pPr>
            <w:r w:rsidRPr="00881766">
              <w:rPr>
                <w:bCs/>
                <w:sz w:val="22"/>
                <w:szCs w:val="22"/>
              </w:rPr>
              <w:t xml:space="preserve">По итогам 2022 года налоговая нагрузка на экономику сформирована на отметке 27,6 процента, </w:t>
            </w:r>
            <w:r w:rsidRPr="00881766">
              <w:rPr>
                <w:sz w:val="22"/>
                <w:szCs w:val="22"/>
              </w:rPr>
              <w:t>что ниже целевого ориентира, определенного на отметке 29 процентов (плюс-минус 1 процентный пункт).</w:t>
            </w:r>
          </w:p>
        </w:tc>
      </w:tr>
      <w:tr w:rsidR="009A25A0" w:rsidRPr="00881766" w:rsidTr="004F2ADF">
        <w:tc>
          <w:tcPr>
            <w:tcW w:w="2510" w:type="pct"/>
            <w:shd w:val="clear" w:color="auto" w:fill="auto"/>
          </w:tcPr>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bCs/>
                <w:sz w:val="22"/>
                <w:szCs w:val="22"/>
              </w:rPr>
            </w:pPr>
            <w:r w:rsidRPr="00881766">
              <w:rPr>
                <w:bCs/>
                <w:sz w:val="22"/>
                <w:szCs w:val="22"/>
              </w:rPr>
              <w:lastRenderedPageBreak/>
              <w:t>Таблица 2</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center"/>
              <w:rPr>
                <w:sz w:val="22"/>
                <w:szCs w:val="22"/>
              </w:rPr>
            </w:pP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 xml:space="preserve">Динамика налоговой нагрузки на приднестровскую экономику </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в 2020–2023 годах и на среднесрочную перспективу, проценты</w:t>
            </w:r>
          </w:p>
          <w:tbl>
            <w:tblPr>
              <w:tblW w:w="4991"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854"/>
              <w:gridCol w:w="855"/>
              <w:gridCol w:w="1083"/>
              <w:gridCol w:w="1083"/>
              <w:gridCol w:w="1602"/>
            </w:tblGrid>
            <w:tr w:rsidR="009A25A0" w:rsidRPr="00881766" w:rsidTr="004F2ADF">
              <w:trPr>
                <w:trHeight w:val="857"/>
              </w:trPr>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bookmarkStart w:id="0" w:name="_Hlk130164300"/>
                  <w:r w:rsidRPr="00881766">
                    <w:rPr>
                      <w:sz w:val="22"/>
                      <w:szCs w:val="22"/>
                      <w:lang w:eastAsia="en-US"/>
                    </w:rPr>
                    <w:t>Показатель</w:t>
                  </w:r>
                </w:p>
              </w:tc>
              <w:tc>
                <w:tcPr>
                  <w:tcW w:w="60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2020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(факт)</w:t>
                  </w:r>
                </w:p>
              </w:tc>
              <w:tc>
                <w:tcPr>
                  <w:tcW w:w="605"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2021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(факт)</w:t>
                  </w:r>
                </w:p>
              </w:tc>
              <w:tc>
                <w:tcPr>
                  <w:tcW w:w="76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2022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(оценка)</w:t>
                  </w:r>
                </w:p>
              </w:tc>
              <w:tc>
                <w:tcPr>
                  <w:tcW w:w="76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2023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(оценка)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2024–2026 годы</w:t>
                  </w:r>
                </w:p>
                <w:p w:rsidR="009A25A0" w:rsidRPr="00881766" w:rsidRDefault="009A25A0" w:rsidP="004F2ADF">
                  <w:pPr>
                    <w:widowControl w:val="0"/>
                    <w:ind w:left="-57" w:right="-57"/>
                    <w:jc w:val="center"/>
                    <w:rPr>
                      <w:sz w:val="22"/>
                      <w:szCs w:val="22"/>
                      <w:lang w:eastAsia="en-US"/>
                    </w:rPr>
                  </w:pPr>
                  <w:r w:rsidRPr="00881766">
                    <w:rPr>
                      <w:sz w:val="22"/>
                      <w:szCs w:val="22"/>
                      <w:lang w:eastAsia="en-US"/>
                    </w:rPr>
                    <w:t>(целевой ориентир)</w:t>
                  </w:r>
                </w:p>
              </w:tc>
            </w:tr>
            <w:tr w:rsidR="009A25A0" w:rsidRPr="00881766" w:rsidTr="004F2ADF">
              <w:tc>
                <w:tcPr>
                  <w:tcW w:w="1126"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2"/>
                      <w:szCs w:val="22"/>
                      <w:lang w:eastAsia="en-US"/>
                    </w:rPr>
                  </w:pPr>
                  <w:r w:rsidRPr="00881766">
                    <w:rPr>
                      <w:sz w:val="22"/>
                      <w:szCs w:val="22"/>
                      <w:lang w:eastAsia="en-US"/>
                    </w:rPr>
                    <w:t>Налоговая нагрузка на экономику к валовому внутреннему продукту</w:t>
                  </w:r>
                </w:p>
              </w:tc>
              <w:tc>
                <w:tcPr>
                  <w:tcW w:w="60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28,8</w:t>
                  </w:r>
                </w:p>
              </w:tc>
              <w:tc>
                <w:tcPr>
                  <w:tcW w:w="605"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24,8</w:t>
                  </w:r>
                </w:p>
              </w:tc>
              <w:tc>
                <w:tcPr>
                  <w:tcW w:w="76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27,6</w:t>
                  </w:r>
                </w:p>
              </w:tc>
              <w:tc>
                <w:tcPr>
                  <w:tcW w:w="76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2"/>
                      <w:szCs w:val="22"/>
                      <w:lang w:eastAsia="en-US"/>
                    </w:rPr>
                  </w:pPr>
                  <w:r w:rsidRPr="00881766">
                    <w:rPr>
                      <w:sz w:val="22"/>
                      <w:szCs w:val="22"/>
                      <w:lang w:eastAsia="en-US"/>
                    </w:rPr>
                    <w:t>28,2</w:t>
                  </w:r>
                </w:p>
              </w:tc>
              <w:tc>
                <w:tcPr>
                  <w:tcW w:w="113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 xml:space="preserve">29 </w:t>
                  </w:r>
                </w:p>
                <w:p w:rsidR="009A25A0" w:rsidRPr="00881766" w:rsidRDefault="009A25A0" w:rsidP="004F2ADF">
                  <w:pPr>
                    <w:widowControl w:val="0"/>
                    <w:ind w:firstLine="34"/>
                    <w:jc w:val="center"/>
                    <w:rPr>
                      <w:sz w:val="22"/>
                      <w:szCs w:val="22"/>
                      <w:lang w:eastAsia="en-US"/>
                    </w:rPr>
                  </w:pPr>
                  <w:r w:rsidRPr="00881766">
                    <w:rPr>
                      <w:sz w:val="22"/>
                      <w:szCs w:val="22"/>
                      <w:lang w:eastAsia="en-US"/>
                    </w:rPr>
                    <w:t>(±1 процентный пункт)</w:t>
                  </w:r>
                </w:p>
              </w:tc>
            </w:tr>
            <w:bookmarkEnd w:id="0"/>
          </w:tbl>
          <w:p w:rsidR="009A25A0" w:rsidRPr="00881766" w:rsidRDefault="009A25A0" w:rsidP="004F2ADF">
            <w:pPr>
              <w:ind w:firstLine="709"/>
              <w:jc w:val="right"/>
              <w:rPr>
                <w:sz w:val="22"/>
                <w:szCs w:val="22"/>
              </w:rPr>
            </w:pPr>
          </w:p>
        </w:tc>
        <w:tc>
          <w:tcPr>
            <w:tcW w:w="2490" w:type="pct"/>
            <w:shd w:val="clear" w:color="auto" w:fill="auto"/>
          </w:tcPr>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right"/>
              <w:rPr>
                <w:bCs/>
                <w:sz w:val="22"/>
                <w:szCs w:val="22"/>
              </w:rPr>
            </w:pPr>
            <w:r w:rsidRPr="00881766">
              <w:rPr>
                <w:bCs/>
                <w:sz w:val="22"/>
                <w:szCs w:val="22"/>
              </w:rPr>
              <w:t>Таблица 2</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center"/>
              <w:rPr>
                <w:sz w:val="22"/>
                <w:szCs w:val="22"/>
              </w:rPr>
            </w:pP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 xml:space="preserve">Динамика налоговой нагрузки на приднестровскую экономику </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sz w:val="22"/>
                <w:szCs w:val="22"/>
              </w:rPr>
            </w:pPr>
            <w:r w:rsidRPr="00881766">
              <w:rPr>
                <w:sz w:val="22"/>
                <w:szCs w:val="22"/>
              </w:rPr>
              <w:t>в 2020–2023 годах и на среднесрочную перспективу, проценты</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56"/>
              <w:gridCol w:w="856"/>
              <w:gridCol w:w="856"/>
              <w:gridCol w:w="1086"/>
              <w:gridCol w:w="1606"/>
            </w:tblGrid>
            <w:tr w:rsidR="009A25A0" w:rsidRPr="00881766" w:rsidTr="004F2ADF">
              <w:trPr>
                <w:trHeight w:val="857"/>
              </w:trPr>
              <w:tc>
                <w:tcPr>
                  <w:tcW w:w="1167"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Показатель</w:t>
                  </w:r>
                </w:p>
              </w:tc>
              <w:tc>
                <w:tcPr>
                  <w:tcW w:w="6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2020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(факт)</w:t>
                  </w:r>
                </w:p>
              </w:tc>
              <w:tc>
                <w:tcPr>
                  <w:tcW w:w="6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2021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(факт)</w:t>
                  </w:r>
                </w:p>
              </w:tc>
              <w:tc>
                <w:tcPr>
                  <w:tcW w:w="6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b/>
                      <w:bCs/>
                      <w:sz w:val="22"/>
                      <w:szCs w:val="22"/>
                      <w:lang w:eastAsia="en-US"/>
                    </w:rPr>
                  </w:pPr>
                  <w:r w:rsidRPr="00881766">
                    <w:rPr>
                      <w:b/>
                      <w:bCs/>
                      <w:sz w:val="22"/>
                      <w:szCs w:val="22"/>
                      <w:lang w:eastAsia="en-US"/>
                    </w:rPr>
                    <w:t>2022 год</w:t>
                  </w:r>
                </w:p>
                <w:p w:rsidR="009A25A0" w:rsidRPr="00881766" w:rsidRDefault="009A25A0" w:rsidP="004F2ADF">
                  <w:pPr>
                    <w:widowControl w:val="0"/>
                    <w:ind w:left="-57" w:right="-57"/>
                    <w:jc w:val="center"/>
                    <w:rPr>
                      <w:sz w:val="22"/>
                      <w:szCs w:val="22"/>
                      <w:lang w:eastAsia="en-US"/>
                    </w:rPr>
                  </w:pPr>
                  <w:r w:rsidRPr="00881766">
                    <w:rPr>
                      <w:b/>
                      <w:bCs/>
                      <w:sz w:val="22"/>
                      <w:szCs w:val="22"/>
                      <w:lang w:eastAsia="en-US"/>
                    </w:rPr>
                    <w:t>(факт)</w:t>
                  </w:r>
                </w:p>
              </w:tc>
              <w:tc>
                <w:tcPr>
                  <w:tcW w:w="791"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2023 год</w:t>
                  </w:r>
                </w:p>
                <w:p w:rsidR="009A25A0" w:rsidRPr="00881766" w:rsidRDefault="009A25A0" w:rsidP="004F2ADF">
                  <w:pPr>
                    <w:widowControl w:val="0"/>
                    <w:ind w:left="-57" w:right="-57"/>
                    <w:jc w:val="center"/>
                    <w:rPr>
                      <w:sz w:val="22"/>
                      <w:szCs w:val="22"/>
                      <w:lang w:eastAsia="en-US"/>
                    </w:rPr>
                  </w:pPr>
                  <w:r w:rsidRPr="00881766">
                    <w:rPr>
                      <w:sz w:val="22"/>
                      <w:szCs w:val="22"/>
                      <w:lang w:eastAsia="en-US"/>
                    </w:rPr>
                    <w:t>(оценка)</w:t>
                  </w:r>
                </w:p>
              </w:tc>
              <w:tc>
                <w:tcPr>
                  <w:tcW w:w="1171"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2"/>
                      <w:szCs w:val="22"/>
                      <w:lang w:eastAsia="en-US"/>
                    </w:rPr>
                  </w:pPr>
                  <w:r w:rsidRPr="00881766">
                    <w:rPr>
                      <w:sz w:val="22"/>
                      <w:szCs w:val="22"/>
                      <w:lang w:eastAsia="en-US"/>
                    </w:rPr>
                    <w:t>2024–2026 годы</w:t>
                  </w:r>
                </w:p>
                <w:p w:rsidR="009A25A0" w:rsidRPr="00881766" w:rsidRDefault="009A25A0" w:rsidP="004F2ADF">
                  <w:pPr>
                    <w:widowControl w:val="0"/>
                    <w:ind w:left="-57" w:right="-57"/>
                    <w:jc w:val="center"/>
                    <w:rPr>
                      <w:sz w:val="22"/>
                      <w:szCs w:val="22"/>
                      <w:lang w:eastAsia="en-US"/>
                    </w:rPr>
                  </w:pPr>
                  <w:r w:rsidRPr="00881766">
                    <w:rPr>
                      <w:sz w:val="22"/>
                      <w:szCs w:val="22"/>
                      <w:lang w:eastAsia="en-US"/>
                    </w:rPr>
                    <w:t>(целевой ориентир)</w:t>
                  </w:r>
                </w:p>
              </w:tc>
            </w:tr>
            <w:tr w:rsidR="009A25A0" w:rsidRPr="00881766" w:rsidTr="004F2ADF">
              <w:tc>
                <w:tcPr>
                  <w:tcW w:w="116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2"/>
                      <w:szCs w:val="22"/>
                      <w:lang w:eastAsia="en-US"/>
                    </w:rPr>
                  </w:pPr>
                  <w:r w:rsidRPr="00881766">
                    <w:rPr>
                      <w:sz w:val="22"/>
                      <w:szCs w:val="22"/>
                      <w:lang w:eastAsia="en-US"/>
                    </w:rPr>
                    <w:t>Налоговая нагрузка на экономику к валовому внутреннему продукту</w:t>
                  </w:r>
                </w:p>
              </w:tc>
              <w:tc>
                <w:tcPr>
                  <w:tcW w:w="6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28,8</w:t>
                  </w:r>
                </w:p>
              </w:tc>
              <w:tc>
                <w:tcPr>
                  <w:tcW w:w="6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24,8</w:t>
                  </w:r>
                </w:p>
              </w:tc>
              <w:tc>
                <w:tcPr>
                  <w:tcW w:w="6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27,6</w:t>
                  </w:r>
                </w:p>
              </w:tc>
              <w:tc>
                <w:tcPr>
                  <w:tcW w:w="791" w:type="pct"/>
                  <w:tcBorders>
                    <w:top w:val="single" w:sz="4" w:space="0" w:color="auto"/>
                    <w:left w:val="single" w:sz="4" w:space="0" w:color="auto"/>
                    <w:bottom w:val="single" w:sz="4" w:space="0" w:color="auto"/>
                    <w:right w:val="single" w:sz="4" w:space="0" w:color="auto"/>
                  </w:tcBorders>
                  <w:vAlign w:val="center"/>
                  <w:hideMark/>
                </w:tcPr>
                <w:p w:rsidR="009A25A0" w:rsidRPr="003F7A9B" w:rsidRDefault="009A25A0" w:rsidP="004F2ADF">
                  <w:pPr>
                    <w:widowControl w:val="0"/>
                    <w:ind w:left="-99" w:right="-85" w:firstLine="34"/>
                    <w:jc w:val="center"/>
                    <w:rPr>
                      <w:b/>
                      <w:bCs/>
                      <w:sz w:val="22"/>
                      <w:szCs w:val="22"/>
                      <w:lang w:eastAsia="en-US"/>
                    </w:rPr>
                  </w:pPr>
                  <w:r>
                    <w:rPr>
                      <w:b/>
                      <w:bCs/>
                      <w:sz w:val="22"/>
                      <w:szCs w:val="22"/>
                      <w:lang w:eastAsia="en-US"/>
                    </w:rPr>
                    <w:t>27,0</w:t>
                  </w:r>
                </w:p>
              </w:tc>
              <w:tc>
                <w:tcPr>
                  <w:tcW w:w="1171"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2"/>
                      <w:szCs w:val="22"/>
                      <w:lang w:eastAsia="en-US"/>
                    </w:rPr>
                  </w:pPr>
                  <w:r w:rsidRPr="00881766">
                    <w:rPr>
                      <w:sz w:val="22"/>
                      <w:szCs w:val="22"/>
                      <w:lang w:eastAsia="en-US"/>
                    </w:rPr>
                    <w:t xml:space="preserve">29 </w:t>
                  </w:r>
                </w:p>
                <w:p w:rsidR="009A25A0" w:rsidRPr="00881766" w:rsidRDefault="009A25A0" w:rsidP="004F2ADF">
                  <w:pPr>
                    <w:widowControl w:val="0"/>
                    <w:ind w:firstLine="34"/>
                    <w:jc w:val="center"/>
                    <w:rPr>
                      <w:sz w:val="22"/>
                      <w:szCs w:val="22"/>
                      <w:lang w:eastAsia="en-US"/>
                    </w:rPr>
                  </w:pPr>
                  <w:r w:rsidRPr="00881766">
                    <w:rPr>
                      <w:sz w:val="22"/>
                      <w:szCs w:val="22"/>
                      <w:lang w:eastAsia="en-US"/>
                    </w:rPr>
                    <w:t>(±1 процентный пункт)</w:t>
                  </w:r>
                </w:p>
              </w:tc>
            </w:tr>
          </w:tbl>
          <w:p w:rsidR="009A25A0" w:rsidRPr="00881766" w:rsidRDefault="009A25A0" w:rsidP="004F2ADF">
            <w:pPr>
              <w:ind w:firstLine="709"/>
              <w:jc w:val="both"/>
              <w:rPr>
                <w:sz w:val="22"/>
                <w:szCs w:val="22"/>
              </w:rPr>
            </w:pPr>
          </w:p>
        </w:tc>
      </w:tr>
      <w:tr w:rsidR="009A25A0" w:rsidRPr="00881766" w:rsidTr="004F2ADF">
        <w:tc>
          <w:tcPr>
            <w:tcW w:w="2510" w:type="pct"/>
            <w:shd w:val="clear" w:color="auto" w:fill="auto"/>
          </w:tcPr>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right"/>
              <w:rPr>
                <w:bCs/>
                <w:szCs w:val="22"/>
              </w:rPr>
            </w:pPr>
            <w:r w:rsidRPr="00881766">
              <w:rPr>
                <w:bCs/>
                <w:szCs w:val="22"/>
              </w:rPr>
              <w:t>Таблица 3</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right"/>
              <w:rPr>
                <w:bCs/>
                <w:szCs w:val="22"/>
              </w:rPr>
            </w:pP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Cs/>
                <w:szCs w:val="22"/>
              </w:rPr>
            </w:pPr>
            <w:r w:rsidRPr="00881766">
              <w:rPr>
                <w:bCs/>
                <w:szCs w:val="22"/>
              </w:rPr>
              <w:t xml:space="preserve">Структура налоговой нагрузки, </w:t>
            </w:r>
            <w:r w:rsidRPr="00881766">
              <w:rPr>
                <w:szCs w:val="22"/>
              </w:rPr>
              <w:t>процентов</w:t>
            </w:r>
            <w:r w:rsidRPr="00881766">
              <w:rPr>
                <w:bCs/>
                <w:szCs w:val="22"/>
              </w:rPr>
              <w:t xml:space="preserve"> к итогу</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center"/>
              <w:rPr>
                <w:bCs/>
                <w:szCs w:val="22"/>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793"/>
              <w:gridCol w:w="794"/>
              <w:gridCol w:w="881"/>
              <w:gridCol w:w="973"/>
              <w:gridCol w:w="1544"/>
            </w:tblGrid>
            <w:tr w:rsidR="009A25A0" w:rsidRPr="00881766" w:rsidTr="004F2ADF">
              <w:trPr>
                <w:trHeight w:val="857"/>
              </w:trPr>
              <w:tc>
                <w:tcPr>
                  <w:tcW w:w="140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Показатель</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2020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(факт)</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2021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(факт)</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2022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(оценка)</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2023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(оценка)</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2024–2026 годы</w:t>
                  </w:r>
                </w:p>
                <w:p w:rsidR="009A25A0" w:rsidRPr="00881766" w:rsidRDefault="009A25A0" w:rsidP="004F2ADF">
                  <w:pPr>
                    <w:widowControl w:val="0"/>
                    <w:ind w:left="-57" w:right="-57"/>
                    <w:jc w:val="center"/>
                    <w:rPr>
                      <w:sz w:val="20"/>
                      <w:szCs w:val="18"/>
                      <w:lang w:eastAsia="en-US"/>
                    </w:rPr>
                  </w:pPr>
                  <w:r w:rsidRPr="00881766">
                    <w:rPr>
                      <w:sz w:val="20"/>
                      <w:szCs w:val="18"/>
                      <w:lang w:eastAsia="en-US"/>
                    </w:rPr>
                    <w:t>(целевой ориентир)</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Прямые налоги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30,6</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32,6</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33,6</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32,8</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33,0</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Косвенные налоги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34,0</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33,5</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33,0</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32,3</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33,0</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Социальные платежи</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35,4</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33,8</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33,3</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34,9</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34,0</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Итого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100,0</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r>
          </w:tbl>
          <w:p w:rsidR="009A25A0" w:rsidRPr="00881766" w:rsidRDefault="009A25A0" w:rsidP="004F2ADF">
            <w:pPr>
              <w:ind w:firstLine="709"/>
              <w:jc w:val="both"/>
              <w:rPr>
                <w:szCs w:val="22"/>
              </w:rPr>
            </w:pPr>
          </w:p>
        </w:tc>
        <w:tc>
          <w:tcPr>
            <w:tcW w:w="2490" w:type="pct"/>
            <w:shd w:val="clear" w:color="auto" w:fill="auto"/>
          </w:tcPr>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right"/>
              <w:rPr>
                <w:bCs/>
                <w:szCs w:val="22"/>
              </w:rPr>
            </w:pPr>
            <w:r w:rsidRPr="00881766">
              <w:rPr>
                <w:bCs/>
                <w:szCs w:val="22"/>
              </w:rPr>
              <w:t>Таблица 3</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right"/>
              <w:rPr>
                <w:bCs/>
                <w:szCs w:val="22"/>
              </w:rPr>
            </w:pP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jc w:val="center"/>
              <w:rPr>
                <w:bCs/>
                <w:szCs w:val="22"/>
              </w:rPr>
            </w:pPr>
            <w:r w:rsidRPr="00881766">
              <w:rPr>
                <w:bCs/>
                <w:szCs w:val="22"/>
              </w:rPr>
              <w:t xml:space="preserve">Структура налоговой нагрузки, </w:t>
            </w:r>
            <w:r w:rsidRPr="00881766">
              <w:rPr>
                <w:szCs w:val="22"/>
              </w:rPr>
              <w:t>процентов</w:t>
            </w:r>
            <w:r w:rsidRPr="00881766">
              <w:rPr>
                <w:bCs/>
                <w:szCs w:val="22"/>
              </w:rPr>
              <w:t xml:space="preserve"> к итогу</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jc w:val="center"/>
              <w:rPr>
                <w:bCs/>
                <w:szCs w:val="22"/>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01"/>
              <w:gridCol w:w="802"/>
              <w:gridCol w:w="802"/>
              <w:gridCol w:w="979"/>
              <w:gridCol w:w="1546"/>
            </w:tblGrid>
            <w:tr w:rsidR="009A25A0" w:rsidRPr="00881766" w:rsidTr="004F2ADF">
              <w:trPr>
                <w:trHeight w:val="857"/>
              </w:trPr>
              <w:tc>
                <w:tcPr>
                  <w:tcW w:w="140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Показатель</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2020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(факт)</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2021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(факт)</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b/>
                      <w:bCs/>
                      <w:sz w:val="20"/>
                      <w:szCs w:val="18"/>
                      <w:lang w:eastAsia="en-US"/>
                    </w:rPr>
                  </w:pPr>
                  <w:r w:rsidRPr="00881766">
                    <w:rPr>
                      <w:b/>
                      <w:bCs/>
                      <w:sz w:val="20"/>
                      <w:szCs w:val="18"/>
                      <w:lang w:eastAsia="en-US"/>
                    </w:rPr>
                    <w:t>2022 год</w:t>
                  </w:r>
                </w:p>
                <w:p w:rsidR="009A25A0" w:rsidRPr="00881766" w:rsidRDefault="009A25A0" w:rsidP="004F2ADF">
                  <w:pPr>
                    <w:widowControl w:val="0"/>
                    <w:ind w:left="-57" w:right="-57"/>
                    <w:jc w:val="center"/>
                    <w:rPr>
                      <w:sz w:val="20"/>
                      <w:szCs w:val="18"/>
                      <w:lang w:eastAsia="en-US"/>
                    </w:rPr>
                  </w:pPr>
                  <w:r w:rsidRPr="00881766">
                    <w:rPr>
                      <w:b/>
                      <w:bCs/>
                      <w:sz w:val="20"/>
                      <w:szCs w:val="18"/>
                      <w:lang w:eastAsia="en-US"/>
                    </w:rPr>
                    <w:t>(факт)</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2023 год</w:t>
                  </w:r>
                </w:p>
                <w:p w:rsidR="009A25A0" w:rsidRPr="00881766" w:rsidRDefault="009A25A0" w:rsidP="004F2ADF">
                  <w:pPr>
                    <w:widowControl w:val="0"/>
                    <w:ind w:left="-57" w:right="-57"/>
                    <w:jc w:val="center"/>
                    <w:rPr>
                      <w:sz w:val="20"/>
                      <w:szCs w:val="18"/>
                      <w:lang w:eastAsia="en-US"/>
                    </w:rPr>
                  </w:pPr>
                  <w:r w:rsidRPr="00881766">
                    <w:rPr>
                      <w:sz w:val="20"/>
                      <w:szCs w:val="18"/>
                      <w:lang w:eastAsia="en-US"/>
                    </w:rPr>
                    <w:t>(оценка)</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57" w:right="-57"/>
                    <w:jc w:val="center"/>
                    <w:rPr>
                      <w:sz w:val="20"/>
                      <w:szCs w:val="18"/>
                      <w:lang w:eastAsia="en-US"/>
                    </w:rPr>
                  </w:pPr>
                  <w:r w:rsidRPr="00881766">
                    <w:rPr>
                      <w:sz w:val="20"/>
                      <w:szCs w:val="18"/>
                      <w:lang w:eastAsia="en-US"/>
                    </w:rPr>
                    <w:t>2024–2026 годы</w:t>
                  </w:r>
                </w:p>
                <w:p w:rsidR="009A25A0" w:rsidRPr="00881766" w:rsidRDefault="009A25A0" w:rsidP="004F2ADF">
                  <w:pPr>
                    <w:widowControl w:val="0"/>
                    <w:ind w:left="-57" w:right="-57"/>
                    <w:jc w:val="center"/>
                    <w:rPr>
                      <w:sz w:val="20"/>
                      <w:szCs w:val="18"/>
                      <w:lang w:eastAsia="en-US"/>
                    </w:rPr>
                  </w:pPr>
                  <w:r w:rsidRPr="00881766">
                    <w:rPr>
                      <w:sz w:val="20"/>
                      <w:szCs w:val="18"/>
                      <w:lang w:eastAsia="en-US"/>
                    </w:rPr>
                    <w:t>(целевой ориентир)</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Прямые налоги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30,6</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32,6</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33,6</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32,8</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33,0</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Косвенные налоги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34,0</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33,5</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33,0</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32,3</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33,0</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Социальные платежи</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35,4</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33,8</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33,3</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34,9</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34,0</w:t>
                  </w:r>
                </w:p>
              </w:tc>
            </w:tr>
            <w:tr w:rsidR="009A25A0" w:rsidRPr="00881766" w:rsidTr="004F2ADF">
              <w:tc>
                <w:tcPr>
                  <w:tcW w:w="1409"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widowControl w:val="0"/>
                    <w:ind w:right="-74" w:firstLine="34"/>
                    <w:rPr>
                      <w:sz w:val="20"/>
                      <w:szCs w:val="18"/>
                      <w:lang w:eastAsia="en-US"/>
                    </w:rPr>
                  </w:pPr>
                  <w:r w:rsidRPr="00881766">
                    <w:rPr>
                      <w:sz w:val="20"/>
                      <w:szCs w:val="18"/>
                      <w:lang w:eastAsia="en-US"/>
                    </w:rPr>
                    <w:t>Итого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c>
                <w:tcPr>
                  <w:tcW w:w="58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c>
                <w:tcPr>
                  <w:tcW w:w="713"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left="-99" w:right="-85" w:firstLine="34"/>
                    <w:jc w:val="center"/>
                    <w:rPr>
                      <w:sz w:val="20"/>
                      <w:szCs w:val="18"/>
                      <w:lang w:eastAsia="en-US"/>
                    </w:rPr>
                  </w:pPr>
                  <w:r w:rsidRPr="00881766">
                    <w:rPr>
                      <w:sz w:val="20"/>
                      <w:szCs w:val="18"/>
                      <w:lang w:eastAsia="en-US"/>
                    </w:rPr>
                    <w:t>100,0</w:t>
                  </w:r>
                </w:p>
              </w:tc>
              <w:tc>
                <w:tcPr>
                  <w:tcW w:w="112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widowControl w:val="0"/>
                    <w:ind w:firstLine="34"/>
                    <w:jc w:val="center"/>
                    <w:rPr>
                      <w:sz w:val="20"/>
                      <w:szCs w:val="18"/>
                      <w:lang w:eastAsia="en-US"/>
                    </w:rPr>
                  </w:pPr>
                  <w:r w:rsidRPr="00881766">
                    <w:rPr>
                      <w:sz w:val="20"/>
                      <w:szCs w:val="18"/>
                      <w:lang w:eastAsia="en-US"/>
                    </w:rPr>
                    <w:t>100,0</w:t>
                  </w:r>
                </w:p>
              </w:tc>
            </w:tr>
          </w:tbl>
          <w:p w:rsidR="009A25A0" w:rsidRPr="00881766" w:rsidRDefault="009A25A0" w:rsidP="004F2ADF">
            <w:pPr>
              <w:ind w:firstLine="709"/>
              <w:jc w:val="both"/>
              <w:rPr>
                <w:szCs w:val="22"/>
              </w:rPr>
            </w:pPr>
          </w:p>
        </w:tc>
      </w:tr>
      <w:tr w:rsidR="009A25A0" w:rsidRPr="00881766" w:rsidTr="004F2ADF">
        <w:tc>
          <w:tcPr>
            <w:tcW w:w="5000" w:type="pct"/>
            <w:gridSpan w:val="2"/>
            <w:shd w:val="clear" w:color="auto" w:fill="auto"/>
          </w:tcPr>
          <w:p w:rsidR="009A25A0" w:rsidRPr="009F5967"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center"/>
              <w:rPr>
                <w:b/>
                <w:sz w:val="20"/>
                <w:szCs w:val="18"/>
              </w:rPr>
            </w:pPr>
            <w:r w:rsidRPr="009F5967">
              <w:rPr>
                <w:b/>
                <w:sz w:val="22"/>
                <w:szCs w:val="20"/>
              </w:rPr>
              <w:t>Глава 14. Прогнозируемый размер доходной части государственного бюджета</w:t>
            </w:r>
          </w:p>
        </w:tc>
      </w:tr>
      <w:tr w:rsidR="009A25A0" w:rsidRPr="00881766" w:rsidTr="004F2ADF">
        <w:tc>
          <w:tcPr>
            <w:tcW w:w="2510" w:type="pct"/>
            <w:shd w:val="clear" w:color="auto" w:fill="auto"/>
          </w:tcPr>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both"/>
              <w:rPr>
                <w:bCs/>
                <w:szCs w:val="22"/>
              </w:rPr>
            </w:pPr>
            <w:r w:rsidRPr="009F5967">
              <w:rPr>
                <w:sz w:val="20"/>
                <w:szCs w:val="18"/>
              </w:rPr>
              <w:t>Учитывая прогнозируемый рост объема валового внутреннего продукта, в среднесрочной перспективе ожидается увеличение предельного размера доходов государственного бюджета в 2024 году до уровня ориентировочно 4</w:t>
            </w:r>
            <w:r>
              <w:rPr>
                <w:sz w:val="20"/>
                <w:szCs w:val="18"/>
              </w:rPr>
              <w:t> 260,9</w:t>
            </w:r>
            <w:r w:rsidRPr="009F5967">
              <w:rPr>
                <w:sz w:val="20"/>
                <w:szCs w:val="18"/>
              </w:rPr>
              <w:t xml:space="preserve"> миллиона рублей Приднестровской Молдавской Республики, на 2025 год – 4</w:t>
            </w:r>
            <w:r>
              <w:rPr>
                <w:sz w:val="20"/>
                <w:szCs w:val="18"/>
              </w:rPr>
              <w:t> 452,6</w:t>
            </w:r>
            <w:r w:rsidRPr="009F5967">
              <w:rPr>
                <w:sz w:val="20"/>
                <w:szCs w:val="18"/>
              </w:rPr>
              <w:t xml:space="preserve"> миллиона рублей Приднестровской Молдавской Республики, на 2026 год – 4</w:t>
            </w:r>
            <w:r>
              <w:rPr>
                <w:sz w:val="20"/>
                <w:szCs w:val="18"/>
              </w:rPr>
              <w:t> 630,7</w:t>
            </w:r>
            <w:r w:rsidRPr="009F5967">
              <w:rPr>
                <w:sz w:val="20"/>
                <w:szCs w:val="18"/>
              </w:rPr>
              <w:t xml:space="preserve"> миллиона рублей Приднестровской Молдавской Республики</w:t>
            </w:r>
          </w:p>
        </w:tc>
        <w:tc>
          <w:tcPr>
            <w:tcW w:w="2490" w:type="pct"/>
            <w:shd w:val="clear" w:color="auto" w:fill="auto"/>
          </w:tcPr>
          <w:p w:rsidR="009A25A0" w:rsidRPr="009F5967"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firstLine="709"/>
              <w:contextualSpacing/>
              <w:jc w:val="both"/>
              <w:rPr>
                <w:b/>
                <w:bCs/>
                <w:sz w:val="20"/>
                <w:szCs w:val="18"/>
              </w:rPr>
            </w:pPr>
            <w:r w:rsidRPr="009F5967">
              <w:rPr>
                <w:b/>
                <w:bCs/>
                <w:sz w:val="20"/>
                <w:szCs w:val="18"/>
              </w:rPr>
              <w:t>Учитывая прогнозируемый рост объема валового внутреннего продукта, в среднесрочной перспективе ожидается увеличение предельного размера доходов государственного бюджета в 2024 году до уровня ориентировочно 4 058,1 миллиона рублей Приднестровской Молдавской Республики, на 2025 год – 4 240,7 миллиона рублей Приднестровской Молдавской Республики, на 2026 год – 4 410,4 миллиона рублей Приднестровской Молдавской Республики</w:t>
            </w:r>
          </w:p>
        </w:tc>
      </w:tr>
    </w:tbl>
    <w:p w:rsidR="009A25A0" w:rsidRDefault="009A25A0">
      <w:pPr>
        <w:spacing w:after="160" w:line="259" w:lineRule="auto"/>
      </w:pPr>
      <w:r>
        <w:br w:type="page"/>
      </w:r>
    </w:p>
    <w:tbl>
      <w:tblPr>
        <w:tblW w:w="153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2"/>
        <w:gridCol w:w="7845"/>
      </w:tblGrid>
      <w:tr w:rsidR="009A25A0" w:rsidRPr="00881766" w:rsidTr="005E4AD4">
        <w:tc>
          <w:tcPr>
            <w:tcW w:w="7542" w:type="dxa"/>
            <w:shd w:val="clear" w:color="auto" w:fill="auto"/>
          </w:tcPr>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lastRenderedPageBreak/>
              <w:t>Действующая редакция</w:t>
            </w:r>
          </w:p>
        </w:tc>
        <w:tc>
          <w:tcPr>
            <w:tcW w:w="7845" w:type="dxa"/>
            <w:shd w:val="clear" w:color="auto" w:fill="auto"/>
          </w:tcPr>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Предлагаемая редакция</w:t>
            </w:r>
          </w:p>
        </w:tc>
      </w:tr>
      <w:tr w:rsidR="009A25A0" w:rsidRPr="00881766" w:rsidTr="005E4AD4">
        <w:tc>
          <w:tcPr>
            <w:tcW w:w="7542" w:type="dxa"/>
            <w:shd w:val="clear" w:color="auto" w:fill="auto"/>
          </w:tcPr>
          <w:p w:rsidR="009A25A0" w:rsidRPr="00E83322" w:rsidRDefault="009A25A0" w:rsidP="004F2ADF">
            <w:pPr>
              <w:ind w:left="3153"/>
              <w:rPr>
                <w:sz w:val="16"/>
                <w:szCs w:val="16"/>
              </w:rPr>
            </w:pPr>
            <w:r w:rsidRPr="00E83322">
              <w:rPr>
                <w:sz w:val="16"/>
                <w:szCs w:val="16"/>
              </w:rPr>
              <w:t>Приложение № 1</w:t>
            </w:r>
          </w:p>
          <w:p w:rsidR="009A25A0" w:rsidRPr="00E83322" w:rsidRDefault="009A25A0" w:rsidP="004F2ADF">
            <w:pPr>
              <w:widowControl w:val="0"/>
              <w:ind w:left="3153" w:right="111"/>
              <w:rPr>
                <w:rFonts w:eastAsia="Arial Unicode MS"/>
                <w:sz w:val="16"/>
                <w:szCs w:val="16"/>
                <w:u w:color="000000"/>
              </w:rPr>
            </w:pPr>
            <w:r w:rsidRPr="00E83322">
              <w:rPr>
                <w:rFonts w:eastAsia="MS Mincho"/>
                <w:sz w:val="16"/>
                <w:szCs w:val="16"/>
                <w:u w:color="000000"/>
              </w:rPr>
              <w:t xml:space="preserve">к </w:t>
            </w:r>
            <w:r w:rsidRPr="00E83322">
              <w:rPr>
                <w:rFonts w:eastAsia="Arial Unicode MS"/>
                <w:sz w:val="16"/>
                <w:szCs w:val="16"/>
                <w:u w:color="000000"/>
              </w:rPr>
              <w:t>Концепции бюджетной и налоговой политики Приднестровской Молдавской Республики на 2024 год и среднесрочную перспективу</w:t>
            </w:r>
          </w:p>
          <w:p w:rsidR="009A25A0" w:rsidRPr="00E83322" w:rsidRDefault="009A25A0" w:rsidP="004F2ADF">
            <w:pPr>
              <w:widowControl w:val="0"/>
              <w:ind w:left="5812" w:right="-314"/>
              <w:rPr>
                <w:sz w:val="16"/>
                <w:szCs w:val="16"/>
              </w:rPr>
            </w:pPr>
          </w:p>
          <w:p w:rsidR="009A25A0" w:rsidRPr="00E83322"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6"/>
                <w:szCs w:val="16"/>
              </w:rPr>
            </w:pPr>
            <w:r w:rsidRPr="00E83322">
              <w:rPr>
                <w:sz w:val="16"/>
                <w:szCs w:val="16"/>
              </w:rPr>
              <w:t>Основные макроэкономические показатели Приднестровской Молдавской Республики за 2020–2022 годы и прогнозируемый период 2023–2026 годов</w:t>
            </w:r>
          </w:p>
          <w:p w:rsidR="009A25A0" w:rsidRPr="00E83322"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6"/>
                <w:szCs w:val="16"/>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237"/>
              <w:gridCol w:w="743"/>
              <w:gridCol w:w="562"/>
              <w:gridCol w:w="725"/>
              <w:gridCol w:w="725"/>
              <w:gridCol w:w="581"/>
              <w:gridCol w:w="582"/>
              <w:gridCol w:w="725"/>
              <w:gridCol w:w="1016"/>
            </w:tblGrid>
            <w:tr w:rsidR="009A25A0" w:rsidRPr="00E83322" w:rsidTr="004F2ADF">
              <w:trPr>
                <w:trHeight w:val="570"/>
              </w:trPr>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Показатели</w:t>
                  </w:r>
                </w:p>
              </w:tc>
              <w:tc>
                <w:tcPr>
                  <w:tcW w:w="509" w:type="pct"/>
                  <w:vMerge w:val="restar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Единица измерения</w:t>
                  </w:r>
                </w:p>
              </w:tc>
              <w:tc>
                <w:tcPr>
                  <w:tcW w:w="1379" w:type="pct"/>
                  <w:gridSpan w:val="3"/>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Фактические показатели</w:t>
                  </w:r>
                </w:p>
              </w:tc>
              <w:tc>
                <w:tcPr>
                  <w:tcW w:w="1990" w:type="pct"/>
                  <w:gridSpan w:val="4"/>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Прогноз</w:t>
                  </w:r>
                </w:p>
              </w:tc>
            </w:tr>
            <w:tr w:rsidR="009A25A0" w:rsidRPr="00E83322" w:rsidTr="004F2ADF">
              <w:trPr>
                <w:trHeight w:val="855"/>
              </w:trPr>
              <w:tc>
                <w:tcPr>
                  <w:tcW w:w="274" w:type="pct"/>
                  <w:vMerge/>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4"/>
                      <w:szCs w:val="14"/>
                      <w:lang w:eastAsia="en-US"/>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4"/>
                      <w:szCs w:val="14"/>
                      <w:lang w:eastAsia="en-US"/>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4"/>
                      <w:szCs w:val="14"/>
                      <w:lang w:eastAsia="en-US"/>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2020 год</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2021 год</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4"/>
                      <w:szCs w:val="14"/>
                      <w:lang w:eastAsia="en-US"/>
                    </w:rPr>
                  </w:pPr>
                  <w:r w:rsidRPr="00E83322">
                    <w:rPr>
                      <w:sz w:val="14"/>
                      <w:szCs w:val="14"/>
                      <w:lang w:eastAsia="en-US"/>
                    </w:rPr>
                    <w:t>2022 год (факт, оценка)</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4"/>
                      <w:szCs w:val="14"/>
                      <w:lang w:eastAsia="en-US"/>
                    </w:rPr>
                  </w:pPr>
                  <w:r w:rsidRPr="00E83322">
                    <w:rPr>
                      <w:sz w:val="14"/>
                      <w:szCs w:val="14"/>
                      <w:lang w:eastAsia="en-US"/>
                    </w:rPr>
                    <w:t>2023 год</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4"/>
                      <w:szCs w:val="14"/>
                      <w:lang w:eastAsia="en-US"/>
                    </w:rPr>
                  </w:pPr>
                  <w:r w:rsidRPr="00E83322">
                    <w:rPr>
                      <w:sz w:val="14"/>
                      <w:szCs w:val="14"/>
                      <w:lang w:eastAsia="en-US"/>
                    </w:rPr>
                    <w:t>2024 год</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4"/>
                      <w:szCs w:val="14"/>
                      <w:lang w:eastAsia="en-US"/>
                    </w:rPr>
                  </w:pPr>
                  <w:r w:rsidRPr="00E83322">
                    <w:rPr>
                      <w:sz w:val="14"/>
                      <w:szCs w:val="14"/>
                      <w:lang w:eastAsia="en-US"/>
                    </w:rPr>
                    <w:t>2025 год</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4"/>
                      <w:szCs w:val="14"/>
                      <w:lang w:eastAsia="en-US"/>
                    </w:rPr>
                  </w:pPr>
                  <w:r w:rsidRPr="00E83322">
                    <w:rPr>
                      <w:sz w:val="14"/>
                      <w:szCs w:val="14"/>
                      <w:lang w:eastAsia="en-US"/>
                    </w:rPr>
                    <w:t>2026 год</w:t>
                  </w:r>
                </w:p>
              </w:tc>
            </w:tr>
            <w:tr w:rsidR="009A25A0" w:rsidRPr="00E83322" w:rsidTr="004F2ADF">
              <w:trPr>
                <w:trHeight w:val="60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Номинальный объем валового внутреннего продукта</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30" w:right="-20"/>
                    <w:jc w:val="right"/>
                    <w:rPr>
                      <w:sz w:val="12"/>
                      <w:szCs w:val="12"/>
                      <w:lang w:eastAsia="en-US"/>
                    </w:rPr>
                  </w:pPr>
                  <w:r w:rsidRPr="00E83322">
                    <w:rPr>
                      <w:sz w:val="12"/>
                      <w:szCs w:val="12"/>
                      <w:lang w:eastAsia="en-US"/>
                    </w:rPr>
                    <w:t>14 403,2</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19 224,7</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18 216,7</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99" w:right="-56"/>
                    <w:jc w:val="right"/>
                    <w:rPr>
                      <w:sz w:val="12"/>
                      <w:szCs w:val="12"/>
                      <w:lang w:eastAsia="en-US"/>
                    </w:rPr>
                  </w:pPr>
                  <w:r w:rsidRPr="00E83322">
                    <w:rPr>
                      <w:sz w:val="12"/>
                      <w:szCs w:val="12"/>
                      <w:lang w:eastAsia="en-US"/>
                    </w:rPr>
                    <w:t>19 231,4</w:t>
                  </w:r>
                </w:p>
              </w:tc>
              <w:tc>
                <w:tcPr>
                  <w:tcW w:w="399" w:type="pct"/>
                  <w:tcBorders>
                    <w:top w:val="single" w:sz="4" w:space="0" w:color="auto"/>
                    <w:left w:val="single" w:sz="4" w:space="0" w:color="auto"/>
                    <w:bottom w:val="single" w:sz="4" w:space="0" w:color="auto"/>
                    <w:right w:val="single" w:sz="4" w:space="0" w:color="auto"/>
                  </w:tcBorders>
                  <w:noWrap/>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20 385,3</w:t>
                  </w:r>
                </w:p>
              </w:tc>
              <w:tc>
                <w:tcPr>
                  <w:tcW w:w="497" w:type="pct"/>
                  <w:tcBorders>
                    <w:top w:val="single" w:sz="4" w:space="0" w:color="auto"/>
                    <w:left w:val="single" w:sz="4" w:space="0" w:color="auto"/>
                    <w:bottom w:val="single" w:sz="4" w:space="0" w:color="auto"/>
                    <w:right w:val="single" w:sz="4" w:space="0" w:color="auto"/>
                  </w:tcBorders>
                  <w:noWrap/>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21 608,4</w:t>
                  </w:r>
                </w:p>
              </w:tc>
              <w:tc>
                <w:tcPr>
                  <w:tcW w:w="696" w:type="pct"/>
                  <w:tcBorders>
                    <w:top w:val="single" w:sz="4" w:space="0" w:color="auto"/>
                    <w:left w:val="single" w:sz="4" w:space="0" w:color="auto"/>
                    <w:bottom w:val="single" w:sz="4" w:space="0" w:color="auto"/>
                    <w:right w:val="single" w:sz="4" w:space="0" w:color="auto"/>
                  </w:tcBorders>
                  <w:noWrap/>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22 904,9</w:t>
                  </w:r>
                </w:p>
              </w:tc>
            </w:tr>
            <w:tr w:rsidR="009A25A0" w:rsidRPr="00E83322" w:rsidTr="004F2ADF">
              <w:trPr>
                <w:trHeight w:val="30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2.</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Реальный объем валового внутреннего продукта</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30" w:right="-20"/>
                    <w:jc w:val="right"/>
                    <w:rPr>
                      <w:sz w:val="12"/>
                      <w:szCs w:val="12"/>
                      <w:lang w:eastAsia="en-US"/>
                    </w:rPr>
                  </w:pPr>
                  <w:r w:rsidRPr="00E83322">
                    <w:rPr>
                      <w:sz w:val="12"/>
                      <w:szCs w:val="12"/>
                      <w:lang w:eastAsia="en-US"/>
                    </w:rPr>
                    <w:t>14 108,4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18 088,7</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16 373,1</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17 806,9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19 507,4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20 677,9</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21 918,6</w:t>
                  </w:r>
                </w:p>
              </w:tc>
            </w:tr>
            <w:tr w:rsidR="009A25A0" w:rsidRPr="00E83322" w:rsidTr="004F2ADF">
              <w:trPr>
                <w:trHeight w:val="30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3.</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Дефлятор валового внутреннего продукта</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индекс</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30" w:right="-20"/>
                    <w:jc w:val="right"/>
                    <w:rPr>
                      <w:sz w:val="12"/>
                      <w:szCs w:val="12"/>
                      <w:lang w:eastAsia="en-US"/>
                    </w:rPr>
                  </w:pPr>
                  <w:r w:rsidRPr="00E83322">
                    <w:rPr>
                      <w:sz w:val="12"/>
                      <w:szCs w:val="12"/>
                      <w:lang w:eastAsia="en-US"/>
                    </w:rPr>
                    <w:t>1,021</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1,063</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1,113</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1,080</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1,045</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1,045</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1,045</w:t>
                  </w:r>
                </w:p>
              </w:tc>
            </w:tr>
            <w:tr w:rsidR="009A25A0" w:rsidRPr="00E83322" w:rsidTr="004F2ADF">
              <w:trPr>
                <w:trHeight w:val="66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4.</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Объем промышленного производства (в действующих ценах)</w:t>
                  </w:r>
                  <w:r w:rsidRPr="00E83322">
                    <w:rPr>
                      <w:sz w:val="12"/>
                      <w:szCs w:val="12"/>
                      <w:vertAlign w:val="superscript"/>
                      <w:lang w:eastAsia="en-US"/>
                    </w:rPr>
                    <w:t>1</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13 194,0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17 740,4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14 852,6</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15 648,9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16 431,3</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17 252,9</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18 115,6</w:t>
                  </w:r>
                </w:p>
              </w:tc>
            </w:tr>
            <w:tr w:rsidR="009A25A0" w:rsidRPr="00E83322" w:rsidTr="004F2ADF">
              <w:trPr>
                <w:trHeight w:val="66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5.</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Объем сельскохозяйственного производства (в действующих ценах)</w:t>
                  </w:r>
                  <w:r w:rsidRPr="00E83322">
                    <w:rPr>
                      <w:sz w:val="12"/>
                      <w:szCs w:val="12"/>
                      <w:vertAlign w:val="superscript"/>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3 059,2</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4 607,8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4 199,5</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4 493,5</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4 853,0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5 241,2</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5 660,5</w:t>
                  </w:r>
                </w:p>
              </w:tc>
            </w:tr>
            <w:tr w:rsidR="009A25A0" w:rsidRPr="00E83322" w:rsidTr="004F2ADF">
              <w:trPr>
                <w:trHeight w:val="66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6.</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Инвестиции в основной капитал (в действующих ценах)</w:t>
                  </w:r>
                  <w:r w:rsidRPr="00E83322">
                    <w:rPr>
                      <w:sz w:val="12"/>
                      <w:szCs w:val="12"/>
                      <w:vertAlign w:val="superscript"/>
                      <w:lang w:eastAsia="en-US"/>
                    </w:rPr>
                    <w:t>3</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1 775,0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2 263,8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iCs/>
                      <w:sz w:val="12"/>
                      <w:szCs w:val="12"/>
                      <w:lang w:eastAsia="en-US"/>
                    </w:rPr>
                  </w:pPr>
                  <w:r w:rsidRPr="00E83322">
                    <w:rPr>
                      <w:iCs/>
                      <w:sz w:val="12"/>
                      <w:szCs w:val="12"/>
                      <w:lang w:eastAsia="en-US"/>
                    </w:rPr>
                    <w:t>2 043,3</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2 268,1</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2 540,2</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2 845,1</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3 186,5</w:t>
                  </w:r>
                </w:p>
              </w:tc>
            </w:tr>
            <w:tr w:rsidR="009A25A0" w:rsidRPr="00E83322" w:rsidTr="004F2ADF">
              <w:trPr>
                <w:trHeight w:val="66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7.</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Объем розничного товарооборота (в действующих ценах)</w:t>
                  </w:r>
                  <w:r w:rsidRPr="00E83322">
                    <w:rPr>
                      <w:sz w:val="12"/>
                      <w:szCs w:val="12"/>
                      <w:vertAlign w:val="superscript"/>
                      <w:lang w:eastAsia="en-US"/>
                    </w:rPr>
                    <w:t>4</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7 614,1</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9 077,4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9 611,8</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10 476,9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11 210,2</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11 995,0</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12 834,6</w:t>
                  </w:r>
                </w:p>
              </w:tc>
            </w:tr>
            <w:tr w:rsidR="009A25A0" w:rsidRPr="00E83322" w:rsidTr="004F2ADF">
              <w:trPr>
                <w:trHeight w:val="30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8.</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Внешнеторговый оборот</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миллионов долларов</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1 685,8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2 584,9</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3 221,0</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3 140,9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3 333,6</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3 538,1</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3 755,1</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9.</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Инфляция</w:t>
                  </w:r>
                  <w:r w:rsidRPr="00E83322">
                    <w:rPr>
                      <w:sz w:val="12"/>
                      <w:szCs w:val="12"/>
                      <w:vertAlign w:val="superscript"/>
                      <w:lang w:eastAsia="en-US"/>
                    </w:rPr>
                    <w:t>5</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1,5</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7,4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13,2</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8-10</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5,0  (±1 процентный пункт)</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4,5  (±1 процентный пункт)</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4,0  (±1 процентный пункт)</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10.</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Индекс цен на промышленную продукцию</w:t>
                  </w:r>
                  <w:r w:rsidRPr="00E83322">
                    <w:rPr>
                      <w:sz w:val="12"/>
                      <w:szCs w:val="12"/>
                      <w:vertAlign w:val="superscript"/>
                      <w:lang w:eastAsia="en-US"/>
                    </w:rPr>
                    <w:t>5</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5,0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11,4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11,1</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6-8</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4,0  (±1 процентный пункт)</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3,5  (±1 процентный пункт)</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3,0  (±1 процентный пункт)</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11.</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Доходы государственного бюджета</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2 914,2</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96"/>
                    <w:jc w:val="right"/>
                    <w:rPr>
                      <w:sz w:val="12"/>
                      <w:szCs w:val="12"/>
                      <w:lang w:eastAsia="en-US"/>
                    </w:rPr>
                  </w:pPr>
                  <w:r w:rsidRPr="00E83322">
                    <w:rPr>
                      <w:sz w:val="12"/>
                      <w:szCs w:val="12"/>
                      <w:lang w:eastAsia="en-US"/>
                    </w:rPr>
                    <w:t>3 386,9</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3 568,3</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4 058,0</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4 260,9</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4 452,6</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4 630,7</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11.1.</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 xml:space="preserve"> в том числе текущие доходы</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2 199,5</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2 597,6</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2 866,4</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3 331,8</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3 625,3</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3 846,1</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4 081,4</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lastRenderedPageBreak/>
                    <w:t>11.2.</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 xml:space="preserve"> доходы от продажи основного капитала</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 xml:space="preserve">17,6 </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25,9</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56,6</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38,9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25,0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25,0</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25,0</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12.</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Расходы государственного бюджета</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78"/>
                    <w:jc w:val="right"/>
                    <w:rPr>
                      <w:sz w:val="12"/>
                      <w:szCs w:val="12"/>
                      <w:lang w:eastAsia="en-US"/>
                    </w:rPr>
                  </w:pPr>
                  <w:r w:rsidRPr="00E83322">
                    <w:rPr>
                      <w:sz w:val="12"/>
                      <w:szCs w:val="12"/>
                      <w:lang w:eastAsia="en-US"/>
                    </w:rPr>
                    <w:t>4 765,8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96" w:right="-99"/>
                    <w:jc w:val="right"/>
                    <w:rPr>
                      <w:sz w:val="12"/>
                      <w:szCs w:val="12"/>
                      <w:lang w:eastAsia="en-US"/>
                    </w:rPr>
                  </w:pPr>
                  <w:r w:rsidRPr="00E83322">
                    <w:rPr>
                      <w:sz w:val="12"/>
                      <w:szCs w:val="12"/>
                      <w:lang w:eastAsia="en-US"/>
                    </w:rPr>
                    <w:t>5 300,4</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13"/>
                    <w:jc w:val="right"/>
                    <w:rPr>
                      <w:sz w:val="12"/>
                      <w:szCs w:val="12"/>
                      <w:lang w:eastAsia="en-US"/>
                    </w:rPr>
                  </w:pPr>
                  <w:r w:rsidRPr="00E83322">
                    <w:rPr>
                      <w:sz w:val="12"/>
                      <w:szCs w:val="12"/>
                      <w:lang w:eastAsia="en-US"/>
                    </w:rPr>
                    <w:t>5 585,0</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6 115,9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6 421,7</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6 710,7</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6 979,1</w:t>
                  </w:r>
                </w:p>
              </w:tc>
            </w:tr>
            <w:tr w:rsidR="009A25A0" w:rsidRPr="00E83322" w:rsidTr="004F2ADF">
              <w:trPr>
                <w:trHeight w:val="48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13.</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Дефицит государственного бюджета</w:t>
                  </w:r>
                </w:p>
              </w:tc>
              <w:tc>
                <w:tcPr>
                  <w:tcW w:w="509" w:type="pct"/>
                  <w:tcBorders>
                    <w:top w:val="single" w:sz="4" w:space="0" w:color="auto"/>
                    <w:left w:val="single" w:sz="4" w:space="0" w:color="auto"/>
                    <w:bottom w:val="single" w:sz="4" w:space="0" w:color="auto"/>
                    <w:right w:val="single" w:sz="4" w:space="0" w:color="auto"/>
                  </w:tcBorders>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78"/>
                    <w:jc w:val="right"/>
                    <w:rPr>
                      <w:sz w:val="12"/>
                      <w:szCs w:val="12"/>
                      <w:lang w:eastAsia="en-US"/>
                    </w:rPr>
                  </w:pPr>
                  <w:r w:rsidRPr="00E83322">
                    <w:rPr>
                      <w:sz w:val="12"/>
                      <w:szCs w:val="12"/>
                      <w:lang w:eastAsia="en-US"/>
                    </w:rPr>
                    <w:t>1 851,6</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96" w:right="-99"/>
                    <w:jc w:val="right"/>
                    <w:rPr>
                      <w:sz w:val="12"/>
                      <w:szCs w:val="12"/>
                      <w:lang w:eastAsia="en-US"/>
                    </w:rPr>
                  </w:pPr>
                  <w:r w:rsidRPr="00E83322">
                    <w:rPr>
                      <w:sz w:val="12"/>
                      <w:szCs w:val="12"/>
                      <w:lang w:eastAsia="en-US"/>
                    </w:rPr>
                    <w:t>1 913,5</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113"/>
                    <w:jc w:val="right"/>
                    <w:rPr>
                      <w:sz w:val="12"/>
                      <w:szCs w:val="12"/>
                      <w:lang w:eastAsia="en-US"/>
                    </w:rPr>
                  </w:pPr>
                  <w:r w:rsidRPr="00E83322">
                    <w:rPr>
                      <w:sz w:val="12"/>
                      <w:szCs w:val="12"/>
                      <w:lang w:eastAsia="en-US"/>
                    </w:rPr>
                    <w:t>2 016,7</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2 057,9</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2 160,8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2 258,0</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2 348,4</w:t>
                  </w:r>
                </w:p>
              </w:tc>
            </w:tr>
            <w:tr w:rsidR="009A25A0" w:rsidRPr="00E83322" w:rsidTr="004F2ADF">
              <w:trPr>
                <w:trHeight w:val="465"/>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14.</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Налоговая нагрузка государственного бюджета на рубль объема промышленного и сельскохозяйственного производства</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15,6</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13,3</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16,4</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17,6</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18,1</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18,1</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18,2</w:t>
                  </w:r>
                </w:p>
              </w:tc>
            </w:tr>
            <w:tr w:rsidR="009A25A0" w:rsidRPr="00E83322" w:rsidTr="004F2ADF">
              <w:trPr>
                <w:trHeight w:val="465"/>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15.</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 xml:space="preserve">Среднесписочная численность работающих </w:t>
                  </w:r>
                  <w:r w:rsidRPr="00E83322">
                    <w:rPr>
                      <w:sz w:val="12"/>
                      <w:szCs w:val="12"/>
                      <w:vertAlign w:val="superscript"/>
                      <w:lang w:eastAsia="en-US"/>
                    </w:rPr>
                    <w:t>6</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тысяч человек</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109,8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107,8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105,2</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105,0</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104,8</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104,6</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104,4</w:t>
                  </w:r>
                </w:p>
              </w:tc>
            </w:tr>
            <w:tr w:rsidR="009A25A0" w:rsidRPr="00E83322" w:rsidTr="004F2ADF">
              <w:trPr>
                <w:trHeight w:val="300"/>
              </w:trPr>
              <w:tc>
                <w:tcPr>
                  <w:tcW w:w="274"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16.</w:t>
                  </w:r>
                </w:p>
              </w:tc>
              <w:tc>
                <w:tcPr>
                  <w:tcW w:w="84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rPr>
                      <w:sz w:val="12"/>
                      <w:szCs w:val="12"/>
                      <w:lang w:eastAsia="en-US"/>
                    </w:rPr>
                  </w:pPr>
                  <w:r w:rsidRPr="00E83322">
                    <w:rPr>
                      <w:sz w:val="12"/>
                      <w:szCs w:val="12"/>
                      <w:lang w:eastAsia="en-US"/>
                    </w:rPr>
                    <w:t>Номинальная среднемесячная заработная плата 1 (одного) работника</w:t>
                  </w:r>
                  <w:r w:rsidRPr="00E83322">
                    <w:rPr>
                      <w:sz w:val="12"/>
                      <w:szCs w:val="12"/>
                      <w:vertAlign w:val="superscript"/>
                      <w:lang w:eastAsia="en-US"/>
                    </w:rPr>
                    <w:t>7</w:t>
                  </w:r>
                </w:p>
              </w:tc>
              <w:tc>
                <w:tcPr>
                  <w:tcW w:w="50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center"/>
                    <w:rPr>
                      <w:sz w:val="12"/>
                      <w:szCs w:val="12"/>
                      <w:lang w:eastAsia="en-US"/>
                    </w:rPr>
                  </w:pPr>
                  <w:r w:rsidRPr="00E83322">
                    <w:rPr>
                      <w:sz w:val="12"/>
                      <w:szCs w:val="12"/>
                      <w:lang w:eastAsia="en-US"/>
                    </w:rPr>
                    <w:t>рублей</w:t>
                  </w:r>
                </w:p>
              </w:tc>
              <w:tc>
                <w:tcPr>
                  <w:tcW w:w="385"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4 862,0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5 345,0</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jc w:val="right"/>
                    <w:rPr>
                      <w:sz w:val="12"/>
                      <w:szCs w:val="12"/>
                      <w:lang w:eastAsia="en-US"/>
                    </w:rPr>
                  </w:pPr>
                  <w:r w:rsidRPr="00E83322">
                    <w:rPr>
                      <w:sz w:val="12"/>
                      <w:szCs w:val="12"/>
                      <w:lang w:eastAsia="en-US"/>
                    </w:rPr>
                    <w:t>5 596,0</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6 043,7</w:t>
                  </w:r>
                </w:p>
              </w:tc>
              <w:tc>
                <w:tcPr>
                  <w:tcW w:w="399"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6 527,2</w:t>
                  </w:r>
                </w:p>
              </w:tc>
              <w:tc>
                <w:tcPr>
                  <w:tcW w:w="497"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7 049,3</w:t>
                  </w:r>
                </w:p>
              </w:tc>
              <w:tc>
                <w:tcPr>
                  <w:tcW w:w="696" w:type="pct"/>
                  <w:tcBorders>
                    <w:top w:val="single" w:sz="4" w:space="0" w:color="auto"/>
                    <w:left w:val="single" w:sz="4" w:space="0" w:color="auto"/>
                    <w:bottom w:val="single" w:sz="4" w:space="0" w:color="auto"/>
                    <w:right w:val="single" w:sz="4" w:space="0" w:color="auto"/>
                  </w:tcBorders>
                  <w:vAlign w:val="center"/>
                  <w:hideMark/>
                </w:tcPr>
                <w:p w:rsidR="009A25A0" w:rsidRPr="00E83322" w:rsidRDefault="009A25A0" w:rsidP="004F2ADF">
                  <w:pPr>
                    <w:ind w:left="-62" w:right="-35"/>
                    <w:jc w:val="right"/>
                    <w:rPr>
                      <w:sz w:val="12"/>
                      <w:szCs w:val="12"/>
                      <w:lang w:eastAsia="en-US"/>
                    </w:rPr>
                  </w:pPr>
                  <w:r w:rsidRPr="00E83322">
                    <w:rPr>
                      <w:sz w:val="12"/>
                      <w:szCs w:val="12"/>
                      <w:lang w:eastAsia="en-US"/>
                    </w:rPr>
                    <w:t>7 613,3</w:t>
                  </w:r>
                </w:p>
              </w:tc>
            </w:tr>
          </w:tbl>
          <w:p w:rsidR="009A25A0" w:rsidRPr="00E83322" w:rsidRDefault="009A25A0" w:rsidP="004F2ADF">
            <w:pPr>
              <w:ind w:firstLine="709"/>
              <w:jc w:val="both"/>
              <w:rPr>
                <w:sz w:val="12"/>
                <w:szCs w:val="12"/>
              </w:rPr>
            </w:pPr>
            <w:r w:rsidRPr="00E83322">
              <w:rPr>
                <w:sz w:val="12"/>
                <w:szCs w:val="12"/>
              </w:rPr>
              <w:t>Примечания:</w:t>
            </w:r>
          </w:p>
          <w:p w:rsidR="009A25A0" w:rsidRPr="00E83322" w:rsidRDefault="009A25A0" w:rsidP="004F2ADF">
            <w:pPr>
              <w:ind w:firstLine="709"/>
              <w:jc w:val="both"/>
              <w:rPr>
                <w:sz w:val="12"/>
                <w:szCs w:val="12"/>
              </w:rPr>
            </w:pPr>
            <w:r w:rsidRPr="00E83322">
              <w:rPr>
                <w:sz w:val="12"/>
                <w:szCs w:val="12"/>
              </w:rPr>
              <w:t>1 – с учетом объемов субъектов малого предпринимательства, промышленных подразделений при непромышленных организациях;</w:t>
            </w:r>
          </w:p>
          <w:p w:rsidR="009A25A0" w:rsidRPr="00E83322" w:rsidRDefault="009A25A0" w:rsidP="004F2ADF">
            <w:pPr>
              <w:ind w:firstLine="709"/>
              <w:jc w:val="both"/>
              <w:rPr>
                <w:sz w:val="12"/>
                <w:szCs w:val="12"/>
              </w:rPr>
            </w:pPr>
            <w:r w:rsidRPr="00E83322">
              <w:rPr>
                <w:sz w:val="12"/>
                <w:szCs w:val="12"/>
              </w:rPr>
              <w:t>2 – во всех категориях хозяйств;</w:t>
            </w:r>
            <w:r w:rsidRPr="00E83322">
              <w:rPr>
                <w:sz w:val="12"/>
                <w:szCs w:val="12"/>
              </w:rPr>
              <w:tab/>
            </w:r>
          </w:p>
          <w:p w:rsidR="009A25A0" w:rsidRPr="00E83322" w:rsidRDefault="009A25A0" w:rsidP="004F2ADF">
            <w:pPr>
              <w:ind w:firstLine="709"/>
              <w:jc w:val="both"/>
              <w:rPr>
                <w:sz w:val="12"/>
                <w:szCs w:val="12"/>
              </w:rPr>
            </w:pPr>
            <w:r w:rsidRPr="00E83322">
              <w:rPr>
                <w:sz w:val="12"/>
                <w:szCs w:val="12"/>
              </w:rPr>
              <w:t>3 – с учетом объемов субъектов малого предпринимательства и индивидуальных застройщиков;</w:t>
            </w:r>
          </w:p>
          <w:p w:rsidR="009A25A0" w:rsidRPr="00E83322" w:rsidRDefault="009A25A0" w:rsidP="004F2ADF">
            <w:pPr>
              <w:ind w:firstLine="709"/>
              <w:jc w:val="both"/>
              <w:rPr>
                <w:sz w:val="12"/>
                <w:szCs w:val="12"/>
              </w:rPr>
            </w:pPr>
            <w:r w:rsidRPr="00E83322">
              <w:rPr>
                <w:sz w:val="12"/>
                <w:szCs w:val="12"/>
              </w:rPr>
              <w:t>4 – с учетом объемов субъектов малого предпринимательства и физических лиц (2020 год);</w:t>
            </w:r>
          </w:p>
          <w:p w:rsidR="009A25A0" w:rsidRPr="00E83322" w:rsidRDefault="009A25A0" w:rsidP="004F2ADF">
            <w:pPr>
              <w:ind w:firstLine="709"/>
              <w:jc w:val="both"/>
              <w:rPr>
                <w:sz w:val="12"/>
                <w:szCs w:val="12"/>
              </w:rPr>
            </w:pPr>
            <w:r w:rsidRPr="00E83322">
              <w:rPr>
                <w:sz w:val="12"/>
                <w:szCs w:val="12"/>
              </w:rPr>
              <w:t>5 – к декабрю предыдущего года;</w:t>
            </w:r>
            <w:r w:rsidRPr="00E83322">
              <w:rPr>
                <w:sz w:val="12"/>
                <w:szCs w:val="12"/>
              </w:rPr>
              <w:tab/>
            </w:r>
          </w:p>
          <w:p w:rsidR="009A25A0" w:rsidRPr="00E83322" w:rsidRDefault="009A25A0" w:rsidP="004F2ADF">
            <w:pPr>
              <w:ind w:firstLine="709"/>
              <w:jc w:val="both"/>
              <w:rPr>
                <w:sz w:val="12"/>
                <w:szCs w:val="12"/>
              </w:rPr>
            </w:pPr>
            <w:r w:rsidRPr="00E83322">
              <w:rPr>
                <w:sz w:val="12"/>
                <w:szCs w:val="12"/>
              </w:rPr>
              <w:t>6 –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9A25A0" w:rsidRPr="00E83322" w:rsidRDefault="009A25A0" w:rsidP="004F2ADF">
            <w:pPr>
              <w:ind w:firstLine="709"/>
              <w:jc w:val="both"/>
              <w:rPr>
                <w:sz w:val="12"/>
                <w:szCs w:val="12"/>
              </w:rPr>
            </w:pPr>
            <w:r w:rsidRPr="00E83322">
              <w:rPr>
                <w:sz w:val="12"/>
                <w:szCs w:val="12"/>
              </w:rPr>
              <w:t>7 – начисленная заработная плата,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9A25A0" w:rsidRPr="00E83322" w:rsidRDefault="009A25A0" w:rsidP="004F2ADF">
            <w:pPr>
              <w:ind w:firstLine="709"/>
              <w:jc w:val="both"/>
              <w:rPr>
                <w:sz w:val="12"/>
                <w:szCs w:val="12"/>
              </w:rPr>
            </w:pPr>
            <w:r w:rsidRPr="00E83322">
              <w:rPr>
                <w:sz w:val="12"/>
                <w:szCs w:val="12"/>
              </w:rPr>
              <w:t>В некоторых случаях расхождения обусловлены округлением числовых значений</w:t>
            </w:r>
          </w:p>
          <w:p w:rsidR="009A25A0" w:rsidRPr="00E83322" w:rsidRDefault="009A25A0" w:rsidP="004F2ADF">
            <w:pPr>
              <w:jc w:val="both"/>
              <w:rPr>
                <w:sz w:val="14"/>
                <w:szCs w:val="14"/>
              </w:rPr>
            </w:pPr>
          </w:p>
          <w:p w:rsidR="009A25A0" w:rsidRPr="00E83322"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6"/>
                <w:szCs w:val="16"/>
              </w:rPr>
            </w:pPr>
          </w:p>
        </w:tc>
        <w:tc>
          <w:tcPr>
            <w:tcW w:w="7845" w:type="dxa"/>
            <w:shd w:val="clear" w:color="auto" w:fill="auto"/>
          </w:tcPr>
          <w:p w:rsidR="009A25A0" w:rsidRPr="00881766" w:rsidRDefault="009A25A0" w:rsidP="004F2ADF">
            <w:pPr>
              <w:ind w:left="3254"/>
              <w:rPr>
                <w:sz w:val="16"/>
                <w:szCs w:val="16"/>
              </w:rPr>
            </w:pPr>
            <w:r w:rsidRPr="00881766">
              <w:rPr>
                <w:sz w:val="16"/>
                <w:szCs w:val="16"/>
              </w:rPr>
              <w:lastRenderedPageBreak/>
              <w:t>Приложение № 1</w:t>
            </w:r>
          </w:p>
          <w:p w:rsidR="009A25A0" w:rsidRPr="00881766" w:rsidRDefault="009A25A0" w:rsidP="004F2ADF">
            <w:pPr>
              <w:widowControl w:val="0"/>
              <w:ind w:left="3254" w:right="111"/>
              <w:rPr>
                <w:rFonts w:eastAsia="Arial Unicode MS"/>
                <w:sz w:val="16"/>
                <w:szCs w:val="16"/>
                <w:u w:color="000000"/>
              </w:rPr>
            </w:pPr>
            <w:r w:rsidRPr="00881766">
              <w:rPr>
                <w:rFonts w:eastAsia="MS Mincho"/>
                <w:sz w:val="16"/>
                <w:szCs w:val="16"/>
                <w:u w:color="000000"/>
              </w:rPr>
              <w:t xml:space="preserve">к </w:t>
            </w:r>
            <w:r w:rsidRPr="00881766">
              <w:rPr>
                <w:rFonts w:eastAsia="Arial Unicode MS"/>
                <w:sz w:val="16"/>
                <w:szCs w:val="16"/>
                <w:u w:color="000000"/>
              </w:rPr>
              <w:t>Концепции бюджетной и налоговой политики Приднестровской Молдавской Республики на 2024 год и среднесрочную перспективу</w:t>
            </w:r>
          </w:p>
          <w:p w:rsidR="009A25A0" w:rsidRPr="00881766" w:rsidRDefault="009A25A0" w:rsidP="004F2ADF">
            <w:pPr>
              <w:widowControl w:val="0"/>
              <w:ind w:left="5812" w:right="-314"/>
              <w:rPr>
                <w:sz w:val="16"/>
                <w:szCs w:val="16"/>
              </w:rPr>
            </w:pP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6"/>
                <w:szCs w:val="16"/>
              </w:rPr>
            </w:pPr>
            <w:r w:rsidRPr="00881766">
              <w:rPr>
                <w:sz w:val="16"/>
                <w:szCs w:val="16"/>
              </w:rPr>
              <w:t>Основные макроэкономические показатели Приднестровской Молдавской Республики за 2020–2022 годы и прогнозируемый период 2023–2026 годов</w:t>
            </w: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426"/>
              <w:gridCol w:w="853"/>
              <w:gridCol w:w="756"/>
              <w:gridCol w:w="699"/>
              <w:gridCol w:w="690"/>
              <w:gridCol w:w="555"/>
              <w:gridCol w:w="692"/>
              <w:gridCol w:w="626"/>
              <w:gridCol w:w="858"/>
            </w:tblGrid>
            <w:tr w:rsidR="009A25A0" w:rsidRPr="00E83322" w:rsidTr="004F2ADF">
              <w:trPr>
                <w:trHeight w:val="570"/>
              </w:trPr>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9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Показатели</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Единица измерения</w:t>
                  </w:r>
                </w:p>
              </w:tc>
              <w:tc>
                <w:tcPr>
                  <w:tcW w:w="140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Фактические показатели</w:t>
                  </w:r>
                </w:p>
              </w:tc>
              <w:tc>
                <w:tcPr>
                  <w:tcW w:w="179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Прогноз</w:t>
                  </w:r>
                </w:p>
              </w:tc>
            </w:tr>
            <w:tr w:rsidR="009A25A0" w:rsidRPr="00E83322" w:rsidTr="004F2ADF">
              <w:trPr>
                <w:trHeight w:val="855"/>
              </w:trPr>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p>
              </w:tc>
              <w:tc>
                <w:tcPr>
                  <w:tcW w:w="9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p>
              </w:tc>
              <w:tc>
                <w:tcPr>
                  <w:tcW w:w="5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2020 год</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2021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 xml:space="preserve">2022 год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2023 год</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2024 год</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2025 год</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ind w:left="-62" w:right="-35"/>
                    <w:jc w:val="center"/>
                    <w:rPr>
                      <w:sz w:val="12"/>
                      <w:szCs w:val="12"/>
                      <w:lang w:eastAsia="en-US"/>
                    </w:rPr>
                  </w:pPr>
                  <w:r w:rsidRPr="00E83322">
                    <w:rPr>
                      <w:sz w:val="12"/>
                      <w:szCs w:val="12"/>
                      <w:lang w:eastAsia="en-US"/>
                    </w:rPr>
                    <w:t>2026 год</w:t>
                  </w:r>
                </w:p>
              </w:tc>
            </w:tr>
            <w:tr w:rsidR="009A25A0" w:rsidRPr="00E83322" w:rsidTr="004F2ADF">
              <w:trPr>
                <w:trHeight w:val="6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Номинальный объем валового внутреннего продукта</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14 403,2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19 229,1</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18 248,2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19 079,0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A25A0" w:rsidRPr="001213EB" w:rsidRDefault="009A25A0" w:rsidP="004F2ADF">
                  <w:pPr>
                    <w:ind w:left="-41" w:right="-35"/>
                    <w:jc w:val="center"/>
                    <w:rPr>
                      <w:sz w:val="14"/>
                      <w:szCs w:val="14"/>
                      <w:lang w:eastAsia="en-US"/>
                    </w:rPr>
                  </w:pPr>
                  <w:r w:rsidRPr="001213EB">
                    <w:rPr>
                      <w:color w:val="000000"/>
                      <w:sz w:val="14"/>
                      <w:szCs w:val="14"/>
                    </w:rPr>
                    <w:t>19 420,3</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9A25A0" w:rsidRPr="001213EB" w:rsidRDefault="009A25A0" w:rsidP="004F2ADF">
                  <w:pPr>
                    <w:ind w:left="-41" w:right="-35"/>
                    <w:jc w:val="center"/>
                    <w:rPr>
                      <w:sz w:val="14"/>
                      <w:szCs w:val="14"/>
                      <w:lang w:eastAsia="en-US"/>
                    </w:rPr>
                  </w:pPr>
                  <w:r w:rsidRPr="001213EB">
                    <w:rPr>
                      <w:color w:val="000000"/>
                      <w:sz w:val="14"/>
                      <w:szCs w:val="14"/>
                    </w:rPr>
                    <w:t>20 585,5</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9A25A0" w:rsidRPr="001213EB" w:rsidRDefault="009A25A0" w:rsidP="004F2ADF">
                  <w:pPr>
                    <w:ind w:left="-41" w:right="-35"/>
                    <w:jc w:val="center"/>
                    <w:rPr>
                      <w:sz w:val="14"/>
                      <w:szCs w:val="14"/>
                      <w:lang w:eastAsia="en-US"/>
                    </w:rPr>
                  </w:pPr>
                  <w:r w:rsidRPr="001213EB">
                    <w:rPr>
                      <w:color w:val="000000"/>
                      <w:sz w:val="14"/>
                      <w:szCs w:val="14"/>
                    </w:rPr>
                    <w:t>21 820,6</w:t>
                  </w:r>
                </w:p>
              </w:tc>
            </w:tr>
            <w:tr w:rsidR="009A25A0" w:rsidRPr="00E83322" w:rsidTr="004F2ADF">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Реальный объем валового внутреннего продукта</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14 108,4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18 092,9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16 402,9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17 665,7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18 584,0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19 699,1</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20 881,0</w:t>
                  </w:r>
                </w:p>
              </w:tc>
            </w:tr>
            <w:tr w:rsidR="009A25A0" w:rsidRPr="00E83322" w:rsidTr="004F2ADF">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Дефлятор валового внутреннего продукта</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индекс</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1,021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1,063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jc w:val="center"/>
                    <w:rPr>
                      <w:sz w:val="14"/>
                      <w:szCs w:val="14"/>
                      <w:lang w:eastAsia="en-US"/>
                    </w:rPr>
                  </w:pPr>
                  <w:r w:rsidRPr="001213EB">
                    <w:rPr>
                      <w:color w:val="000000"/>
                      <w:sz w:val="14"/>
                      <w:szCs w:val="14"/>
                    </w:rPr>
                    <w:t>1,113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1,080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1,045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1,045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41" w:right="-35"/>
                    <w:jc w:val="center"/>
                    <w:rPr>
                      <w:sz w:val="14"/>
                      <w:szCs w:val="14"/>
                      <w:lang w:eastAsia="en-US"/>
                    </w:rPr>
                  </w:pPr>
                  <w:r w:rsidRPr="001213EB">
                    <w:rPr>
                      <w:color w:val="000000"/>
                      <w:sz w:val="14"/>
                      <w:szCs w:val="14"/>
                    </w:rPr>
                    <w:t>1,045</w:t>
                  </w:r>
                </w:p>
              </w:tc>
            </w:tr>
            <w:tr w:rsidR="009A25A0" w:rsidRPr="00E83322" w:rsidTr="004F2ADF">
              <w:trPr>
                <w:trHeight w:val="66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Объем промышленного производства (в действующих ценах)</w:t>
                  </w:r>
                  <w:r w:rsidRPr="00E83322">
                    <w:rPr>
                      <w:sz w:val="12"/>
                      <w:szCs w:val="12"/>
                      <w:vertAlign w:val="superscript"/>
                      <w:lang w:eastAsia="en-US"/>
                    </w:rPr>
                    <w:t>1</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13 184,8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17 759,2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14 869,4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15 385,0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15 472,3</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16 245,9</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17 058,2</w:t>
                  </w:r>
                </w:p>
              </w:tc>
            </w:tr>
            <w:tr w:rsidR="009A25A0" w:rsidRPr="00E83322" w:rsidTr="004F2ADF">
              <w:trPr>
                <w:trHeight w:val="66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5.</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Объем сельскохозяйственного производства (в действующих ценах)</w:t>
                  </w:r>
                  <w:r w:rsidRPr="00E83322">
                    <w:rPr>
                      <w:sz w:val="12"/>
                      <w:szCs w:val="12"/>
                      <w:vertAlign w:val="superscript"/>
                      <w:lang w:eastAsia="en-US"/>
                    </w:rPr>
                    <w:t>2</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2 974,6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4 630,9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4 225,9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4 996,9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5 111,2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5 520,1</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5 961,7</w:t>
                  </w:r>
                </w:p>
              </w:tc>
            </w:tr>
            <w:tr w:rsidR="009A25A0" w:rsidRPr="00E83322" w:rsidTr="004F2ADF">
              <w:trPr>
                <w:trHeight w:val="66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Инвестиции в основной капитал (в действующих ценах)</w:t>
                  </w:r>
                  <w:r w:rsidRPr="00E83322">
                    <w:rPr>
                      <w:sz w:val="12"/>
                      <w:szCs w:val="12"/>
                      <w:vertAlign w:val="superscript"/>
                      <w:lang w:eastAsia="en-US"/>
                    </w:rPr>
                    <w:t>3</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1 775,0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2 263,8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iCs/>
                      <w:sz w:val="14"/>
                      <w:szCs w:val="14"/>
                      <w:lang w:eastAsia="en-US"/>
                    </w:rPr>
                  </w:pPr>
                  <w:r w:rsidRPr="001213EB">
                    <w:rPr>
                      <w:color w:val="000000"/>
                      <w:sz w:val="14"/>
                      <w:szCs w:val="14"/>
                    </w:rPr>
                    <w:t>2 578,2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2 415,9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2 272,8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2 545,5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2 851,0</w:t>
                  </w:r>
                </w:p>
              </w:tc>
            </w:tr>
            <w:tr w:rsidR="009A25A0" w:rsidRPr="00E83322" w:rsidTr="004F2ADF">
              <w:trPr>
                <w:trHeight w:val="66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7.</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Объем розничного товарооборота (в действующих ценах)</w:t>
                  </w:r>
                  <w:r w:rsidRPr="00E83322">
                    <w:rPr>
                      <w:sz w:val="12"/>
                      <w:szCs w:val="12"/>
                      <w:vertAlign w:val="superscript"/>
                      <w:lang w:eastAsia="en-US"/>
                    </w:rPr>
                    <w:t>4</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7 614,1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9 077,4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9 617,5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10 649,2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11 193,2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11 976,7</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12 815,1</w:t>
                  </w:r>
                </w:p>
              </w:tc>
            </w:tr>
            <w:tr w:rsidR="009A25A0" w:rsidRPr="00E83322" w:rsidTr="004F2ADF">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8.</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87336F" w:rsidRDefault="009A25A0" w:rsidP="004F2ADF">
                  <w:pPr>
                    <w:rPr>
                      <w:sz w:val="12"/>
                      <w:szCs w:val="12"/>
                      <w:vertAlign w:val="superscript"/>
                      <w:lang w:eastAsia="en-US"/>
                    </w:rPr>
                  </w:pPr>
                  <w:r w:rsidRPr="00E83322">
                    <w:rPr>
                      <w:sz w:val="12"/>
                      <w:szCs w:val="12"/>
                      <w:lang w:eastAsia="en-US"/>
                    </w:rPr>
                    <w:t>Внешнеторговый оборот</w:t>
                  </w:r>
                  <w:r>
                    <w:rPr>
                      <w:sz w:val="12"/>
                      <w:szCs w:val="12"/>
                      <w:vertAlign w:val="superscript"/>
                      <w:lang w:eastAsia="en-US"/>
                    </w:rPr>
                    <w:t>5</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миллионов долларов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1 685,8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2 584,9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3 221,0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3 265,6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2 991,2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3 174,7</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3 369,5</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9.</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Инфляция</w:t>
                  </w:r>
                  <w:r>
                    <w:rPr>
                      <w:sz w:val="12"/>
                      <w:szCs w:val="12"/>
                      <w:vertAlign w:val="superscript"/>
                      <w:lang w:eastAsia="en-US"/>
                    </w:rPr>
                    <w:t>6</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7,4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13,2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8-10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5,0 (±1п.п.)</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4,5 (±1п.п.)</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4,0 (±1п.п.)</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10.</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Индекс цен на промышленную продукцию</w:t>
                  </w:r>
                  <w:r>
                    <w:rPr>
                      <w:sz w:val="12"/>
                      <w:szCs w:val="12"/>
                      <w:vertAlign w:val="superscript"/>
                      <w:lang w:eastAsia="en-US"/>
                    </w:rPr>
                    <w:t>6</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5,0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11,4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11,1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6-8</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4,0 (±1п.п.)</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3,5 (±1п.п.)</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3,0 (±1п.п.)</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Доходы государственного бюджета</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2 914,2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96"/>
                    <w:jc w:val="center"/>
                    <w:rPr>
                      <w:sz w:val="14"/>
                      <w:szCs w:val="14"/>
                      <w:lang w:eastAsia="en-US"/>
                    </w:rPr>
                  </w:pPr>
                  <w:r w:rsidRPr="001213EB">
                    <w:rPr>
                      <w:color w:val="000000"/>
                      <w:sz w:val="14"/>
                      <w:szCs w:val="14"/>
                    </w:rPr>
                    <w:t>3 386,9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3 568,3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3 936,3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4 058,1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4 240,7</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4 410,4</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11.1.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 xml:space="preserve"> в том числе текущие доходы</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2 199,5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2 597,6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2 866,4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3 024,2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3 295,8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3 498,8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3 724,8</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11.2.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 xml:space="preserve"> доходы от продажи основного капитала</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17,6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25,9</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56,6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38,4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25,0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25,0</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lastRenderedPageBreak/>
                    <w:t>12.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Расходы государственного бюджета</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78"/>
                    <w:jc w:val="center"/>
                    <w:rPr>
                      <w:sz w:val="14"/>
                      <w:szCs w:val="14"/>
                      <w:lang w:eastAsia="en-US"/>
                    </w:rPr>
                  </w:pPr>
                  <w:r w:rsidRPr="001213EB">
                    <w:rPr>
                      <w:color w:val="000000"/>
                      <w:sz w:val="14"/>
                      <w:szCs w:val="14"/>
                    </w:rPr>
                    <w:t>4 765,8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96" w:right="-99"/>
                    <w:jc w:val="center"/>
                    <w:rPr>
                      <w:sz w:val="14"/>
                      <w:szCs w:val="14"/>
                      <w:lang w:eastAsia="en-US"/>
                    </w:rPr>
                  </w:pPr>
                  <w:r w:rsidRPr="001213EB">
                    <w:rPr>
                      <w:color w:val="000000"/>
                      <w:sz w:val="14"/>
                      <w:szCs w:val="14"/>
                    </w:rPr>
                    <w:t>5 300,4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13"/>
                    <w:jc w:val="center"/>
                    <w:rPr>
                      <w:sz w:val="14"/>
                      <w:szCs w:val="14"/>
                      <w:lang w:eastAsia="en-US"/>
                    </w:rPr>
                  </w:pPr>
                  <w:r w:rsidRPr="001213EB">
                    <w:rPr>
                      <w:color w:val="000000"/>
                      <w:sz w:val="14"/>
                      <w:szCs w:val="14"/>
                    </w:rPr>
                    <w:t>5 585,0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6 635,6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6 967,4</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7 280,9</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7 572,1</w:t>
                  </w:r>
                </w:p>
              </w:tc>
            </w:tr>
            <w:tr w:rsidR="009A25A0" w:rsidRPr="00E83322" w:rsidTr="004F2ADF">
              <w:trPr>
                <w:trHeight w:val="48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Дефицит государственного бюджета</w:t>
                  </w: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9A25A0" w:rsidRPr="00E83322" w:rsidRDefault="009A25A0" w:rsidP="004F2ADF">
                  <w:pPr>
                    <w:jc w:val="center"/>
                    <w:rPr>
                      <w:sz w:val="12"/>
                      <w:szCs w:val="12"/>
                      <w:lang w:eastAsia="en-US"/>
                    </w:rPr>
                  </w:pPr>
                  <w:r w:rsidRPr="00E83322">
                    <w:rPr>
                      <w:sz w:val="12"/>
                      <w:szCs w:val="12"/>
                      <w:lang w:eastAsia="en-US"/>
                    </w:rPr>
                    <w:t>миллионов 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78"/>
                    <w:jc w:val="center"/>
                    <w:rPr>
                      <w:sz w:val="14"/>
                      <w:szCs w:val="14"/>
                      <w:lang w:eastAsia="en-US"/>
                    </w:rPr>
                  </w:pPr>
                  <w:r w:rsidRPr="001213EB">
                    <w:rPr>
                      <w:color w:val="000000"/>
                      <w:sz w:val="14"/>
                      <w:szCs w:val="14"/>
                    </w:rPr>
                    <w:t>1 851,6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96" w:right="-99"/>
                    <w:jc w:val="center"/>
                    <w:rPr>
                      <w:sz w:val="14"/>
                      <w:szCs w:val="14"/>
                      <w:lang w:eastAsia="en-US"/>
                    </w:rPr>
                  </w:pPr>
                  <w:r w:rsidRPr="001213EB">
                    <w:rPr>
                      <w:color w:val="000000"/>
                      <w:sz w:val="14"/>
                      <w:szCs w:val="14"/>
                    </w:rPr>
                    <w:t>1 913,5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113"/>
                    <w:jc w:val="center"/>
                    <w:rPr>
                      <w:sz w:val="14"/>
                      <w:szCs w:val="14"/>
                      <w:lang w:eastAsia="en-US"/>
                    </w:rPr>
                  </w:pPr>
                  <w:r w:rsidRPr="001213EB">
                    <w:rPr>
                      <w:color w:val="000000"/>
                      <w:sz w:val="14"/>
                      <w:szCs w:val="14"/>
                    </w:rPr>
                    <w:t>2 016,7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2 699,3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2 909,3</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3 040,2</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3 161,8</w:t>
                  </w:r>
                </w:p>
              </w:tc>
            </w:tr>
            <w:tr w:rsidR="009A25A0" w:rsidRPr="00E83322" w:rsidTr="004F2ADF">
              <w:trPr>
                <w:trHeight w:val="465"/>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Налоговая нагрузка государственного бюджета на рубль объема промышленного и сельскохозяйственного производства</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15,6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13,3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16,4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16,5</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17,8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17,8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17,9</w:t>
                  </w:r>
                </w:p>
              </w:tc>
            </w:tr>
            <w:tr w:rsidR="009A25A0" w:rsidRPr="00E83322" w:rsidTr="004F2ADF">
              <w:trPr>
                <w:trHeight w:val="465"/>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15.</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 xml:space="preserve">Среднесписочная численность работающих </w:t>
                  </w:r>
                  <w:r>
                    <w:rPr>
                      <w:sz w:val="12"/>
                      <w:szCs w:val="12"/>
                      <w:vertAlign w:val="superscript"/>
                      <w:lang w:eastAsia="en-US"/>
                    </w:rPr>
                    <w:t>7</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тысяч человек</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109,8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107,8</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105,3</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105,0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104,8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104,6</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104,4</w:t>
                  </w:r>
                </w:p>
              </w:tc>
            </w:tr>
            <w:tr w:rsidR="009A25A0" w:rsidRPr="00E83322" w:rsidTr="004F2ADF">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16.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rPr>
                      <w:sz w:val="12"/>
                      <w:szCs w:val="12"/>
                      <w:lang w:eastAsia="en-US"/>
                    </w:rPr>
                  </w:pPr>
                  <w:r w:rsidRPr="00E83322">
                    <w:rPr>
                      <w:sz w:val="12"/>
                      <w:szCs w:val="12"/>
                      <w:lang w:eastAsia="en-US"/>
                    </w:rPr>
                    <w:t>Номинальная среднемесячная заработная плата 1 (одного) работника</w:t>
                  </w:r>
                  <w:r>
                    <w:rPr>
                      <w:sz w:val="12"/>
                      <w:szCs w:val="12"/>
                      <w:vertAlign w:val="superscript"/>
                      <w:lang w:eastAsia="en-US"/>
                    </w:rPr>
                    <w:t>8</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5A0" w:rsidRPr="00E83322" w:rsidRDefault="009A25A0" w:rsidP="004F2ADF">
                  <w:pPr>
                    <w:jc w:val="center"/>
                    <w:rPr>
                      <w:sz w:val="12"/>
                      <w:szCs w:val="12"/>
                      <w:lang w:eastAsia="en-US"/>
                    </w:rPr>
                  </w:pPr>
                  <w:r w:rsidRPr="00E83322">
                    <w:rPr>
                      <w:sz w:val="12"/>
                      <w:szCs w:val="12"/>
                      <w:lang w:eastAsia="en-US"/>
                    </w:rPr>
                    <w:t>рублей</w:t>
                  </w:r>
                </w:p>
              </w:tc>
              <w:tc>
                <w:tcPr>
                  <w:tcW w:w="49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4 858,0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5 345,0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jc w:val="center"/>
                    <w:rPr>
                      <w:sz w:val="14"/>
                      <w:szCs w:val="14"/>
                      <w:lang w:eastAsia="en-US"/>
                    </w:rPr>
                  </w:pPr>
                  <w:r w:rsidRPr="001213EB">
                    <w:rPr>
                      <w:color w:val="000000"/>
                      <w:sz w:val="14"/>
                      <w:szCs w:val="14"/>
                    </w:rPr>
                    <w:t>5 599,0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5 962,9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6 290,9</w:t>
                  </w:r>
                </w:p>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6 794,2</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1213EB" w:rsidRDefault="009A25A0" w:rsidP="004F2ADF">
                  <w:pPr>
                    <w:ind w:left="-62" w:right="-35"/>
                    <w:jc w:val="center"/>
                    <w:rPr>
                      <w:sz w:val="14"/>
                      <w:szCs w:val="14"/>
                      <w:lang w:eastAsia="en-US"/>
                    </w:rPr>
                  </w:pPr>
                  <w:r w:rsidRPr="001213EB">
                    <w:rPr>
                      <w:color w:val="000000"/>
                      <w:sz w:val="14"/>
                      <w:szCs w:val="14"/>
                    </w:rPr>
                    <w:t>7 337,7</w:t>
                  </w:r>
                </w:p>
              </w:tc>
            </w:tr>
          </w:tbl>
          <w:p w:rsidR="009A25A0" w:rsidRPr="00881766" w:rsidRDefault="009A25A0" w:rsidP="004F2ADF">
            <w:pPr>
              <w:jc w:val="both"/>
              <w:rPr>
                <w:sz w:val="14"/>
                <w:szCs w:val="14"/>
              </w:rPr>
            </w:pPr>
          </w:p>
          <w:p w:rsidR="009A25A0" w:rsidRPr="00881766" w:rsidRDefault="009A25A0" w:rsidP="004F2ADF">
            <w:pPr>
              <w:ind w:firstLine="709"/>
              <w:jc w:val="both"/>
              <w:rPr>
                <w:sz w:val="12"/>
                <w:szCs w:val="12"/>
              </w:rPr>
            </w:pPr>
            <w:r w:rsidRPr="00881766">
              <w:rPr>
                <w:sz w:val="12"/>
                <w:szCs w:val="12"/>
              </w:rPr>
              <w:t>Примечани</w:t>
            </w:r>
            <w:r>
              <w:rPr>
                <w:sz w:val="12"/>
                <w:szCs w:val="12"/>
              </w:rPr>
              <w:t>е</w:t>
            </w:r>
            <w:r w:rsidRPr="00881766">
              <w:rPr>
                <w:sz w:val="12"/>
                <w:szCs w:val="12"/>
              </w:rPr>
              <w:t>:</w:t>
            </w:r>
          </w:p>
          <w:p w:rsidR="009A25A0" w:rsidRPr="00881766" w:rsidRDefault="009A25A0" w:rsidP="004F2ADF">
            <w:pPr>
              <w:ind w:firstLine="709"/>
              <w:jc w:val="both"/>
              <w:rPr>
                <w:sz w:val="12"/>
                <w:szCs w:val="12"/>
              </w:rPr>
            </w:pPr>
            <w:r w:rsidRPr="00881766">
              <w:rPr>
                <w:sz w:val="12"/>
                <w:szCs w:val="12"/>
              </w:rPr>
              <w:t>1 – с учетом объемов субъектов малого предпринимательства, промышленных подразделений при непромышленных организациях</w:t>
            </w:r>
            <w:r>
              <w:rPr>
                <w:sz w:val="12"/>
                <w:szCs w:val="12"/>
              </w:rPr>
              <w:t>, уточнен Государственной службой статистики Министерства экономического развития Приднестровской Молдавской Республики</w:t>
            </w:r>
            <w:r w:rsidRPr="00881766">
              <w:rPr>
                <w:sz w:val="12"/>
                <w:szCs w:val="12"/>
              </w:rPr>
              <w:t>;</w:t>
            </w:r>
          </w:p>
          <w:p w:rsidR="009A25A0" w:rsidRPr="00881766" w:rsidRDefault="009A25A0" w:rsidP="004F2ADF">
            <w:pPr>
              <w:ind w:firstLine="709"/>
              <w:jc w:val="both"/>
              <w:rPr>
                <w:sz w:val="12"/>
                <w:szCs w:val="12"/>
              </w:rPr>
            </w:pPr>
            <w:r w:rsidRPr="00881766">
              <w:rPr>
                <w:sz w:val="12"/>
                <w:szCs w:val="12"/>
              </w:rPr>
              <w:t>2 – во всех категориях хозяйств</w:t>
            </w:r>
            <w:r>
              <w:rPr>
                <w:sz w:val="12"/>
                <w:szCs w:val="12"/>
              </w:rPr>
              <w:t>, уточнен Государственной службой статистики Министерства экономического развития Приднестровской Молдавской Республики</w:t>
            </w:r>
            <w:r w:rsidRPr="00881766">
              <w:rPr>
                <w:sz w:val="12"/>
                <w:szCs w:val="12"/>
              </w:rPr>
              <w:t>;</w:t>
            </w:r>
            <w:r w:rsidRPr="00881766">
              <w:rPr>
                <w:sz w:val="12"/>
                <w:szCs w:val="12"/>
              </w:rPr>
              <w:tab/>
            </w:r>
          </w:p>
          <w:p w:rsidR="009A25A0" w:rsidRPr="00881766" w:rsidRDefault="009A25A0" w:rsidP="004F2ADF">
            <w:pPr>
              <w:ind w:firstLine="709"/>
              <w:jc w:val="both"/>
              <w:rPr>
                <w:sz w:val="12"/>
                <w:szCs w:val="12"/>
              </w:rPr>
            </w:pPr>
            <w:r w:rsidRPr="00881766">
              <w:rPr>
                <w:sz w:val="12"/>
                <w:szCs w:val="12"/>
              </w:rPr>
              <w:t>3 – с учетом объемов субъектов малого предпринимательства и индивидуальных застройщиков;</w:t>
            </w:r>
          </w:p>
          <w:p w:rsidR="009A25A0" w:rsidRDefault="009A25A0" w:rsidP="004F2ADF">
            <w:pPr>
              <w:ind w:firstLine="709"/>
              <w:jc w:val="both"/>
              <w:rPr>
                <w:sz w:val="12"/>
                <w:szCs w:val="12"/>
              </w:rPr>
            </w:pPr>
            <w:r w:rsidRPr="00881766">
              <w:rPr>
                <w:sz w:val="12"/>
                <w:szCs w:val="12"/>
              </w:rPr>
              <w:t>4 – с учетом объемов субъектов малого предпринимательства и физических лиц (2020 год);</w:t>
            </w:r>
          </w:p>
          <w:p w:rsidR="009A25A0" w:rsidRPr="00881766" w:rsidRDefault="009A25A0" w:rsidP="004F2ADF">
            <w:pPr>
              <w:ind w:firstLine="709"/>
              <w:jc w:val="both"/>
              <w:rPr>
                <w:sz w:val="12"/>
                <w:szCs w:val="12"/>
              </w:rPr>
            </w:pPr>
            <w:r>
              <w:rPr>
                <w:sz w:val="12"/>
                <w:szCs w:val="12"/>
              </w:rPr>
              <w:t>5 – данные Государственного таможенного комитета Приднестровской Молдавской Республики по итогам соответствующего года;</w:t>
            </w:r>
          </w:p>
          <w:p w:rsidR="009A25A0" w:rsidRPr="00881766" w:rsidRDefault="009A25A0" w:rsidP="004F2ADF">
            <w:pPr>
              <w:ind w:firstLine="709"/>
              <w:jc w:val="both"/>
              <w:rPr>
                <w:sz w:val="12"/>
                <w:szCs w:val="12"/>
              </w:rPr>
            </w:pPr>
            <w:r>
              <w:rPr>
                <w:sz w:val="12"/>
                <w:szCs w:val="12"/>
              </w:rPr>
              <w:t>6</w:t>
            </w:r>
            <w:r w:rsidRPr="00881766">
              <w:rPr>
                <w:sz w:val="12"/>
                <w:szCs w:val="12"/>
              </w:rPr>
              <w:t xml:space="preserve"> – к декабрю предыдущего года;</w:t>
            </w:r>
            <w:r w:rsidRPr="00881766">
              <w:rPr>
                <w:sz w:val="12"/>
                <w:szCs w:val="12"/>
              </w:rPr>
              <w:tab/>
            </w:r>
          </w:p>
          <w:p w:rsidR="009A25A0" w:rsidRPr="00881766" w:rsidRDefault="009A25A0" w:rsidP="004F2ADF">
            <w:pPr>
              <w:ind w:firstLine="709"/>
              <w:jc w:val="both"/>
              <w:rPr>
                <w:sz w:val="12"/>
                <w:szCs w:val="12"/>
              </w:rPr>
            </w:pPr>
            <w:r>
              <w:rPr>
                <w:sz w:val="12"/>
                <w:szCs w:val="12"/>
              </w:rPr>
              <w:t>7</w:t>
            </w:r>
            <w:r w:rsidRPr="00881766">
              <w:rPr>
                <w:sz w:val="12"/>
                <w:szCs w:val="12"/>
              </w:rPr>
              <w:t xml:space="preserve"> –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9A25A0" w:rsidRPr="00881766" w:rsidRDefault="009A25A0" w:rsidP="004F2ADF">
            <w:pPr>
              <w:ind w:firstLine="709"/>
              <w:jc w:val="both"/>
              <w:rPr>
                <w:sz w:val="12"/>
                <w:szCs w:val="12"/>
              </w:rPr>
            </w:pPr>
            <w:r>
              <w:rPr>
                <w:sz w:val="12"/>
                <w:szCs w:val="12"/>
              </w:rPr>
              <w:t>8</w:t>
            </w:r>
            <w:r w:rsidRPr="00881766">
              <w:rPr>
                <w:sz w:val="12"/>
                <w:szCs w:val="12"/>
              </w:rPr>
              <w:t xml:space="preserve"> – начисленная заработная плата,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9A25A0" w:rsidRPr="00881766" w:rsidRDefault="009A25A0" w:rsidP="004F2ADF">
            <w:pPr>
              <w:ind w:firstLine="709"/>
              <w:jc w:val="both"/>
              <w:rPr>
                <w:sz w:val="12"/>
                <w:szCs w:val="12"/>
              </w:rPr>
            </w:pPr>
            <w:r w:rsidRPr="00881766">
              <w:rPr>
                <w:sz w:val="12"/>
                <w:szCs w:val="12"/>
              </w:rPr>
              <w:t>В некоторых случаях расхождения обусловлены округлением числовых значений</w:t>
            </w: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p>
        </w:tc>
      </w:tr>
      <w:tr w:rsidR="009A25A0" w:rsidRPr="00881766" w:rsidTr="005E4AD4">
        <w:tc>
          <w:tcPr>
            <w:tcW w:w="7542" w:type="dxa"/>
            <w:shd w:val="clear" w:color="auto" w:fill="auto"/>
          </w:tcPr>
          <w:p w:rsidR="009A25A0" w:rsidRPr="00881766" w:rsidRDefault="009A25A0" w:rsidP="004F2ADF">
            <w:pPr>
              <w:ind w:left="3864"/>
              <w:rPr>
                <w:sz w:val="28"/>
                <w:szCs w:val="28"/>
              </w:rPr>
            </w:pPr>
            <w:r w:rsidRPr="00881766">
              <w:rPr>
                <w:sz w:val="28"/>
                <w:szCs w:val="28"/>
              </w:rPr>
              <w:lastRenderedPageBreak/>
              <w:t>Приложение № 2</w:t>
            </w:r>
          </w:p>
          <w:p w:rsidR="009A25A0" w:rsidRPr="00881766" w:rsidRDefault="009A25A0" w:rsidP="004F2ADF">
            <w:pPr>
              <w:widowControl w:val="0"/>
              <w:ind w:left="3864" w:right="111"/>
              <w:rPr>
                <w:rFonts w:eastAsia="Arial Unicode MS"/>
                <w:sz w:val="28"/>
                <w:szCs w:val="28"/>
                <w:u w:color="000000"/>
              </w:rPr>
            </w:pPr>
            <w:r w:rsidRPr="00881766">
              <w:rPr>
                <w:rFonts w:eastAsia="MS Mincho"/>
                <w:sz w:val="28"/>
                <w:szCs w:val="28"/>
                <w:u w:color="000000"/>
              </w:rPr>
              <w:t xml:space="preserve">к </w:t>
            </w:r>
            <w:r w:rsidRPr="00881766">
              <w:rPr>
                <w:rFonts w:eastAsia="Arial Unicode MS"/>
                <w:sz w:val="28"/>
                <w:szCs w:val="28"/>
                <w:u w:color="000000"/>
              </w:rPr>
              <w:t xml:space="preserve">Концепции бюджетной </w:t>
            </w:r>
          </w:p>
          <w:p w:rsidR="009A25A0" w:rsidRPr="00881766" w:rsidRDefault="009A25A0" w:rsidP="004F2ADF">
            <w:pPr>
              <w:widowControl w:val="0"/>
              <w:ind w:left="3864" w:right="111"/>
              <w:rPr>
                <w:sz w:val="28"/>
                <w:szCs w:val="28"/>
                <w:u w:color="000000"/>
              </w:rPr>
            </w:pPr>
            <w:r w:rsidRPr="00881766">
              <w:rPr>
                <w:rFonts w:eastAsia="Arial Unicode MS"/>
                <w:sz w:val="28"/>
                <w:szCs w:val="28"/>
                <w:u w:color="000000"/>
              </w:rPr>
              <w:t>и налоговой политики</w:t>
            </w:r>
          </w:p>
          <w:p w:rsidR="009A25A0" w:rsidRPr="00881766" w:rsidRDefault="009A25A0" w:rsidP="004F2ADF">
            <w:pPr>
              <w:widowControl w:val="0"/>
              <w:ind w:left="3864" w:right="-314"/>
              <w:rPr>
                <w:sz w:val="28"/>
                <w:szCs w:val="28"/>
              </w:rPr>
            </w:pPr>
            <w:r w:rsidRPr="00881766">
              <w:rPr>
                <w:sz w:val="28"/>
                <w:szCs w:val="28"/>
              </w:rPr>
              <w:t>Приднестровской Молдавской Республики на 2024 год и среднесрочную перспективу</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Налоговая нагрузка на экономику, а также отраслевая налоговая нагрузка без учета подоходного налога и обязательного страхового взноса на валовую добавленную </w:t>
            </w:r>
            <w:r w:rsidRPr="00881766">
              <w:rPr>
                <w:sz w:val="28"/>
                <w:szCs w:val="28"/>
              </w:rPr>
              <w:lastRenderedPageBreak/>
              <w:t xml:space="preserve">стоимость (метод Российского союза промышленников и предпринимателей) </w:t>
            </w:r>
          </w:p>
          <w:p w:rsidR="009A25A0" w:rsidRPr="00881766" w:rsidRDefault="009A25A0" w:rsidP="005E4AD4">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за 2018–2022 годы и целевые ориентиры на планируемый период</w:t>
            </w:r>
          </w:p>
          <w:tbl>
            <w:tblPr>
              <w:tblW w:w="7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850"/>
              <w:gridCol w:w="851"/>
              <w:gridCol w:w="851"/>
              <w:gridCol w:w="850"/>
              <w:gridCol w:w="851"/>
              <w:gridCol w:w="991"/>
            </w:tblGrid>
            <w:tr w:rsidR="009A25A0" w:rsidRPr="00881766" w:rsidTr="005E4AD4">
              <w:trPr>
                <w:trHeight w:val="570"/>
              </w:trPr>
              <w:tc>
                <w:tcPr>
                  <w:tcW w:w="203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2018 год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2019 год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2020 год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2021 год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5E4AD4">
                  <w:pPr>
                    <w:ind w:left="-107" w:right="-110"/>
                    <w:jc w:val="center"/>
                    <w:rPr>
                      <w:sz w:val="20"/>
                      <w:szCs w:val="20"/>
                      <w:lang w:eastAsia="en-US"/>
                    </w:rPr>
                  </w:pPr>
                  <w:r w:rsidRPr="00881766">
                    <w:rPr>
                      <w:sz w:val="20"/>
                      <w:szCs w:val="20"/>
                      <w:lang w:eastAsia="en-US"/>
                    </w:rPr>
                    <w:t>2022 год (оценка)</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Целевые ориентиры</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Промышленность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23,9%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23,4%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20,2%</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21–22%</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Сельское хозяйство</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39,5%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10,2%</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12–13%</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Транспорт</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20,7%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20,5%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22,3%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23,3%</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22–23%</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Связь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11,8%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11,4%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12,3%</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11–12%</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Строительство</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16,9%</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15–16%</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Торговля и общепит</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7,1%</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7–7,5%</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Операции с недвижимостью</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22,3%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28,6%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26,7%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17,5%</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18–19%</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17,2%</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17–18%</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Непроизводственные виды бытового обслуживания</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15,1%</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14–15%</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Здравоохранение и социальное обеспечение</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12,8%</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12–13%</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Прочие виды</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5,5%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6,6%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8,9%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31,6%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9,3%</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9–10%</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Cs/>
                      <w:sz w:val="20"/>
                      <w:szCs w:val="20"/>
                      <w:lang w:eastAsia="en-US"/>
                    </w:rPr>
                  </w:pPr>
                  <w:r w:rsidRPr="00881766">
                    <w:rPr>
                      <w:bCs/>
                      <w:sz w:val="20"/>
                      <w:szCs w:val="20"/>
                      <w:lang w:eastAsia="en-US"/>
                    </w:rPr>
                    <w:t>Всего (среднеотраслевой показатель)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11,7%</w:t>
                  </w:r>
                </w:p>
              </w:tc>
              <w:tc>
                <w:tcPr>
                  <w:tcW w:w="991"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11–12%</w:t>
                  </w:r>
                </w:p>
              </w:tc>
            </w:tr>
            <w:tr w:rsidR="009A25A0" w:rsidRPr="00881766" w:rsidTr="005E4AD4">
              <w:trPr>
                <w:trHeight w:val="300"/>
              </w:trPr>
              <w:tc>
                <w:tcPr>
                  <w:tcW w:w="203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Cs/>
                      <w:sz w:val="20"/>
                      <w:szCs w:val="20"/>
                      <w:lang w:eastAsia="en-US"/>
                    </w:rPr>
                  </w:pPr>
                  <w:r w:rsidRPr="00881766">
                    <w:rPr>
                      <w:bCs/>
                      <w:sz w:val="20"/>
                      <w:szCs w:val="20"/>
                      <w:lang w:eastAsia="en-US"/>
                    </w:rPr>
                    <w:t xml:space="preserve">Налоговая нагрузка в целом на экономику (процент совокупного объема налогов, пошлин и сборов к валовому внутреннему продукту)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28,3%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27,9%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28,8%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24,8%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27,6%</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ind w:left="-100"/>
                    <w:jc w:val="center"/>
                    <w:rPr>
                      <w:sz w:val="20"/>
                      <w:szCs w:val="20"/>
                      <w:lang w:eastAsia="en-US"/>
                    </w:rPr>
                  </w:pPr>
                  <w:r w:rsidRPr="00881766">
                    <w:rPr>
                      <w:sz w:val="20"/>
                      <w:szCs w:val="20"/>
                      <w:lang w:eastAsia="en-US"/>
                    </w:rPr>
                    <w:t>29%</w:t>
                  </w:r>
                </w:p>
                <w:p w:rsidR="009A25A0" w:rsidRPr="00881766" w:rsidRDefault="009A25A0" w:rsidP="004F2ADF">
                  <w:pPr>
                    <w:ind w:left="-100"/>
                    <w:jc w:val="center"/>
                    <w:rPr>
                      <w:bCs/>
                      <w:sz w:val="20"/>
                      <w:szCs w:val="20"/>
                      <w:lang w:eastAsia="en-US"/>
                    </w:rPr>
                  </w:pPr>
                  <w:r w:rsidRPr="00881766">
                    <w:rPr>
                      <w:sz w:val="20"/>
                      <w:szCs w:val="20"/>
                      <w:lang w:eastAsia="en-US"/>
                    </w:rPr>
                    <w:t>(±1 процентный пункт))</w:t>
                  </w:r>
                </w:p>
              </w:tc>
            </w:tr>
          </w:tbl>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p>
        </w:tc>
        <w:tc>
          <w:tcPr>
            <w:tcW w:w="7845" w:type="dxa"/>
            <w:shd w:val="clear" w:color="auto" w:fill="auto"/>
          </w:tcPr>
          <w:p w:rsidR="009A25A0" w:rsidRPr="00881766" w:rsidRDefault="009A25A0" w:rsidP="004F2ADF">
            <w:pPr>
              <w:tabs>
                <w:tab w:val="left" w:pos="4580"/>
                <w:tab w:val="left" w:pos="5496"/>
                <w:tab w:val="left" w:pos="7328"/>
                <w:tab w:val="left" w:pos="8244"/>
                <w:tab w:val="left" w:pos="8848"/>
              </w:tabs>
              <w:ind w:left="3378"/>
              <w:rPr>
                <w:sz w:val="28"/>
                <w:szCs w:val="28"/>
              </w:rPr>
            </w:pPr>
            <w:r w:rsidRPr="00881766">
              <w:rPr>
                <w:sz w:val="28"/>
                <w:szCs w:val="28"/>
              </w:rPr>
              <w:lastRenderedPageBreak/>
              <w:t>Приложение № 2</w:t>
            </w:r>
          </w:p>
          <w:p w:rsidR="009A25A0" w:rsidRPr="00881766" w:rsidRDefault="009A25A0" w:rsidP="004F2ADF">
            <w:pPr>
              <w:widowControl w:val="0"/>
              <w:tabs>
                <w:tab w:val="left" w:pos="5496"/>
              </w:tabs>
              <w:ind w:left="3378" w:right="111"/>
              <w:rPr>
                <w:rFonts w:eastAsia="Arial Unicode MS"/>
                <w:sz w:val="28"/>
                <w:szCs w:val="28"/>
                <w:u w:color="000000"/>
              </w:rPr>
            </w:pPr>
            <w:r w:rsidRPr="00881766">
              <w:rPr>
                <w:rFonts w:eastAsia="MS Mincho"/>
                <w:sz w:val="28"/>
                <w:szCs w:val="28"/>
                <w:u w:color="000000"/>
              </w:rPr>
              <w:t xml:space="preserve">к </w:t>
            </w:r>
            <w:r w:rsidRPr="00881766">
              <w:rPr>
                <w:rFonts w:eastAsia="Arial Unicode MS"/>
                <w:sz w:val="28"/>
                <w:szCs w:val="28"/>
                <w:u w:color="000000"/>
              </w:rPr>
              <w:t xml:space="preserve">Концепции бюджетной </w:t>
            </w:r>
          </w:p>
          <w:p w:rsidR="009A25A0" w:rsidRPr="00881766" w:rsidRDefault="009A25A0" w:rsidP="004F2ADF">
            <w:pPr>
              <w:widowControl w:val="0"/>
              <w:tabs>
                <w:tab w:val="left" w:pos="4580"/>
                <w:tab w:val="left" w:pos="5496"/>
                <w:tab w:val="left" w:pos="7328"/>
                <w:tab w:val="left" w:pos="8244"/>
                <w:tab w:val="left" w:pos="8848"/>
              </w:tabs>
              <w:ind w:left="3378" w:right="111"/>
              <w:rPr>
                <w:sz w:val="28"/>
                <w:szCs w:val="28"/>
                <w:u w:color="000000"/>
              </w:rPr>
            </w:pPr>
            <w:r w:rsidRPr="00881766">
              <w:rPr>
                <w:rFonts w:eastAsia="Arial Unicode MS"/>
                <w:sz w:val="28"/>
                <w:szCs w:val="28"/>
                <w:u w:color="000000"/>
              </w:rPr>
              <w:t>и налоговой политики</w:t>
            </w:r>
          </w:p>
          <w:p w:rsidR="009A25A0" w:rsidRPr="00881766" w:rsidRDefault="009A25A0" w:rsidP="004F2ADF">
            <w:pPr>
              <w:widowControl w:val="0"/>
              <w:tabs>
                <w:tab w:val="left" w:pos="4580"/>
                <w:tab w:val="left" w:pos="5496"/>
                <w:tab w:val="left" w:pos="7328"/>
                <w:tab w:val="left" w:pos="8244"/>
                <w:tab w:val="left" w:pos="8848"/>
              </w:tabs>
              <w:ind w:left="3378" w:right="-314"/>
              <w:rPr>
                <w:sz w:val="28"/>
                <w:szCs w:val="28"/>
              </w:rPr>
            </w:pPr>
            <w:r w:rsidRPr="00881766">
              <w:rPr>
                <w:sz w:val="28"/>
                <w:szCs w:val="28"/>
              </w:rPr>
              <w:t>Приднестровской Молдавской Республики на 2024 год и среднесрочную перспективу</w:t>
            </w:r>
          </w:p>
          <w:p w:rsidR="009A25A0" w:rsidRPr="00881766" w:rsidRDefault="009A25A0" w:rsidP="004F2ADF">
            <w:pPr>
              <w:widowControl w:val="0"/>
              <w:tabs>
                <w:tab w:val="left" w:pos="4431"/>
                <w:tab w:val="left" w:pos="4580"/>
                <w:tab w:val="left" w:pos="5496"/>
                <w:tab w:val="left" w:pos="7328"/>
                <w:tab w:val="left" w:pos="8244"/>
                <w:tab w:val="left" w:pos="8848"/>
              </w:tabs>
              <w:ind w:left="4431" w:right="-314"/>
              <w:rPr>
                <w:sz w:val="28"/>
                <w:szCs w:val="28"/>
              </w:rPr>
            </w:pPr>
          </w:p>
          <w:p w:rsidR="009A25A0" w:rsidRPr="00881766" w:rsidRDefault="009A25A0" w:rsidP="004F2ADF">
            <w:pPr>
              <w:tabs>
                <w:tab w:val="left" w:pos="4580"/>
                <w:tab w:val="left" w:pos="5496"/>
                <w:tab w:val="left" w:pos="7328"/>
                <w:tab w:val="left" w:pos="8244"/>
                <w:tab w:val="left" w:pos="8848"/>
              </w:tabs>
              <w:ind w:left="-24"/>
              <w:jc w:val="center"/>
              <w:rPr>
                <w:sz w:val="28"/>
                <w:szCs w:val="28"/>
              </w:rPr>
            </w:pPr>
            <w:r w:rsidRPr="00881766">
              <w:rPr>
                <w:sz w:val="28"/>
                <w:szCs w:val="28"/>
              </w:rPr>
              <w:t xml:space="preserve">Налоговая нагрузка на экономику, а также отраслевая налоговая нагрузка без учета подоходного налога и обязательного страхового взноса на валовую добавленную стоимость (метод Российского союза промышленников и </w:t>
            </w:r>
            <w:r w:rsidRPr="00881766">
              <w:rPr>
                <w:sz w:val="28"/>
                <w:szCs w:val="28"/>
              </w:rPr>
              <w:lastRenderedPageBreak/>
              <w:t>предпринимателей) за 2018–2022 годы и целевые ориентиры на планируемый период</w:t>
            </w:r>
          </w:p>
          <w:tbl>
            <w:tblPr>
              <w:tblW w:w="7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848"/>
              <w:gridCol w:w="849"/>
              <w:gridCol w:w="849"/>
              <w:gridCol w:w="818"/>
              <w:gridCol w:w="849"/>
              <w:gridCol w:w="958"/>
            </w:tblGrid>
            <w:tr w:rsidR="009A25A0" w:rsidRPr="00881766" w:rsidTr="004F2ADF">
              <w:trPr>
                <w:trHeight w:val="570"/>
              </w:trPr>
              <w:tc>
                <w:tcPr>
                  <w:tcW w:w="2047"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Наименование</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2018 год</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2019 год</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2020 год</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2021 год</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 xml:space="preserve">2022 год </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Целевые ориентиры</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Промышленность</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23,9%</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23,4%</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21,5%</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19,4%</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19,8%</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21–22%</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Сельское хозяйство</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12,6%</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16,2%</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39,5%</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12,5%</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19,6%</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12–13%</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Транспорт</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20,7%</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20,5%</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22,3%</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21,4%</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21,1%</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22–23%</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Связь</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13,5%</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12,2%</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11,8%</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11,4%</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12,9%</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11–12%</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Строительство</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19,2%</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15,1%</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15,5%</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15,2%</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13,8%</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15–16%</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Торговля и общепит</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7,3%</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7,3%</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7,3%</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7,0%</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6,7%</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7–7,5%</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Операции с недвижимостью</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22,3%</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28,6%</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26,7%</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19,0%</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16,0%</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18–19%</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19,5%</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17,9%</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16,9%</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17,0%</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16,6%</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17–18%</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Непроизводственные виды бытового обслуживания</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19,3%</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16,2%</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13,4%</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14,5%</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13,9%</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14–15%</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Здравоохранение и социальное обеспечение</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14,7%</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13,9%</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15,5%</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12,4%</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14,0%</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12–13%</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20"/>
                      <w:szCs w:val="20"/>
                      <w:lang w:eastAsia="en-US"/>
                    </w:rPr>
                  </w:pPr>
                  <w:r w:rsidRPr="00881766">
                    <w:rPr>
                      <w:sz w:val="20"/>
                      <w:szCs w:val="20"/>
                      <w:lang w:eastAsia="en-US"/>
                    </w:rPr>
                    <w:t>Прочие виды</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5,5%</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6,6%</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8,9%</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31,6%</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9,4%</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sz w:val="20"/>
                      <w:szCs w:val="20"/>
                      <w:lang w:eastAsia="en-US"/>
                    </w:rPr>
                  </w:pPr>
                  <w:r w:rsidRPr="00881766">
                    <w:rPr>
                      <w:sz w:val="20"/>
                      <w:szCs w:val="20"/>
                      <w:lang w:eastAsia="en-US"/>
                    </w:rPr>
                    <w:t>9–10%</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Cs/>
                      <w:sz w:val="20"/>
                      <w:szCs w:val="20"/>
                      <w:lang w:eastAsia="en-US"/>
                    </w:rPr>
                  </w:pPr>
                  <w:r w:rsidRPr="00881766">
                    <w:rPr>
                      <w:bCs/>
                      <w:sz w:val="20"/>
                      <w:szCs w:val="20"/>
                      <w:lang w:eastAsia="en-US"/>
                    </w:rPr>
                    <w:t>Всего (среднеотраслевой показатель)</w:t>
                  </w:r>
                </w:p>
              </w:tc>
              <w:tc>
                <w:tcPr>
                  <w:tcW w:w="84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11,9%</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11,9%</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11,9%</w:t>
                  </w:r>
                </w:p>
              </w:tc>
              <w:tc>
                <w:tcPr>
                  <w:tcW w:w="81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11,4%</w:t>
                  </w:r>
                </w:p>
              </w:tc>
              <w:tc>
                <w:tcPr>
                  <w:tcW w:w="849"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11,1%</w:t>
                  </w:r>
                </w:p>
              </w:tc>
              <w:tc>
                <w:tcPr>
                  <w:tcW w:w="958"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jc w:val="center"/>
                    <w:rPr>
                      <w:bCs/>
                      <w:sz w:val="20"/>
                      <w:szCs w:val="20"/>
                      <w:lang w:eastAsia="en-US"/>
                    </w:rPr>
                  </w:pPr>
                  <w:r w:rsidRPr="00881766">
                    <w:rPr>
                      <w:bCs/>
                      <w:sz w:val="20"/>
                      <w:szCs w:val="20"/>
                      <w:lang w:eastAsia="en-US"/>
                    </w:rPr>
                    <w:t>11–12%</w:t>
                  </w:r>
                </w:p>
              </w:tc>
            </w:tr>
            <w:tr w:rsidR="009A25A0" w:rsidRPr="00881766" w:rsidTr="004F2ADF">
              <w:trPr>
                <w:trHeight w:val="300"/>
              </w:trPr>
              <w:tc>
                <w:tcPr>
                  <w:tcW w:w="2047" w:type="dxa"/>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Cs/>
                      <w:sz w:val="20"/>
                      <w:szCs w:val="20"/>
                      <w:lang w:eastAsia="en-US"/>
                    </w:rPr>
                  </w:pPr>
                  <w:r w:rsidRPr="00881766">
                    <w:rPr>
                      <w:bCs/>
                      <w:sz w:val="20"/>
                      <w:szCs w:val="20"/>
                      <w:lang w:eastAsia="en-US"/>
                    </w:rPr>
                    <w:t xml:space="preserve">Налоговая нагрузка в целом на экономику (процент совокупного объема налогов, пошлин и сборов к валовому внутреннему продукту) </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28,3%</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27,9%</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28,8%</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24,8%</w:t>
                  </w:r>
                </w:p>
              </w:tc>
              <w:tc>
                <w:tcPr>
                  <w:tcW w:w="849"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bCs/>
                      <w:sz w:val="20"/>
                      <w:szCs w:val="20"/>
                      <w:lang w:eastAsia="en-US"/>
                    </w:rPr>
                  </w:pPr>
                  <w:r w:rsidRPr="00881766">
                    <w:rPr>
                      <w:bCs/>
                      <w:sz w:val="20"/>
                      <w:szCs w:val="20"/>
                      <w:lang w:eastAsia="en-US"/>
                    </w:rPr>
                    <w:t>27,6%</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20"/>
                      <w:szCs w:val="20"/>
                      <w:lang w:eastAsia="en-US"/>
                    </w:rPr>
                  </w:pPr>
                  <w:r w:rsidRPr="00881766">
                    <w:rPr>
                      <w:sz w:val="20"/>
                      <w:szCs w:val="20"/>
                      <w:lang w:eastAsia="en-US"/>
                    </w:rPr>
                    <w:t>29%</w:t>
                  </w:r>
                </w:p>
                <w:p w:rsidR="009A25A0" w:rsidRPr="00881766" w:rsidRDefault="009A25A0" w:rsidP="004F2ADF">
                  <w:pPr>
                    <w:ind w:left="-100"/>
                    <w:jc w:val="center"/>
                    <w:rPr>
                      <w:bCs/>
                      <w:sz w:val="20"/>
                      <w:szCs w:val="20"/>
                      <w:lang w:eastAsia="en-US"/>
                    </w:rPr>
                  </w:pPr>
                  <w:r w:rsidRPr="00881766">
                    <w:rPr>
                      <w:sz w:val="20"/>
                      <w:szCs w:val="20"/>
                      <w:lang w:eastAsia="en-US"/>
                    </w:rPr>
                    <w:t>(±1 процентный пункт))</w:t>
                  </w:r>
                </w:p>
              </w:tc>
            </w:tr>
          </w:tbl>
          <w:p w:rsidR="009A25A0" w:rsidRDefault="009A25A0" w:rsidP="004F2ADF">
            <w:pPr>
              <w:tabs>
                <w:tab w:val="left" w:pos="4580"/>
                <w:tab w:val="left" w:pos="5496"/>
                <w:tab w:val="left" w:pos="7328"/>
                <w:tab w:val="left" w:pos="8244"/>
                <w:tab w:val="left" w:pos="8848"/>
              </w:tabs>
              <w:ind w:left="4431"/>
              <w:rPr>
                <w:sz w:val="28"/>
                <w:szCs w:val="28"/>
              </w:rPr>
            </w:pPr>
          </w:p>
          <w:p w:rsidR="006F7B86" w:rsidRDefault="006F7B86" w:rsidP="004F2ADF">
            <w:pPr>
              <w:tabs>
                <w:tab w:val="left" w:pos="4580"/>
                <w:tab w:val="left" w:pos="5496"/>
                <w:tab w:val="left" w:pos="7328"/>
                <w:tab w:val="left" w:pos="8244"/>
                <w:tab w:val="left" w:pos="8848"/>
              </w:tabs>
              <w:ind w:left="4431"/>
              <w:rPr>
                <w:sz w:val="28"/>
                <w:szCs w:val="28"/>
              </w:rPr>
            </w:pPr>
          </w:p>
          <w:p w:rsidR="006F7B86" w:rsidRDefault="006F7B86" w:rsidP="004F2ADF">
            <w:pPr>
              <w:tabs>
                <w:tab w:val="left" w:pos="4580"/>
                <w:tab w:val="left" w:pos="5496"/>
                <w:tab w:val="left" w:pos="7328"/>
                <w:tab w:val="left" w:pos="8244"/>
                <w:tab w:val="left" w:pos="8848"/>
              </w:tabs>
              <w:ind w:left="4431"/>
              <w:rPr>
                <w:sz w:val="28"/>
                <w:szCs w:val="28"/>
              </w:rPr>
            </w:pPr>
          </w:p>
          <w:p w:rsidR="006F7B86" w:rsidRPr="00881766" w:rsidRDefault="006F7B86" w:rsidP="004F2ADF">
            <w:pPr>
              <w:tabs>
                <w:tab w:val="left" w:pos="4580"/>
                <w:tab w:val="left" w:pos="5496"/>
                <w:tab w:val="left" w:pos="7328"/>
                <w:tab w:val="left" w:pos="8244"/>
                <w:tab w:val="left" w:pos="8848"/>
              </w:tabs>
              <w:ind w:left="4431"/>
              <w:rPr>
                <w:sz w:val="28"/>
                <w:szCs w:val="28"/>
              </w:rPr>
            </w:pPr>
          </w:p>
          <w:p w:rsidR="009A25A0" w:rsidRPr="00881766" w:rsidRDefault="009A25A0" w:rsidP="004F2ADF">
            <w:pPr>
              <w:tabs>
                <w:tab w:val="left" w:pos="4431"/>
                <w:tab w:val="left" w:pos="5496"/>
              </w:tabs>
              <w:ind w:left="4431"/>
              <w:jc w:val="center"/>
              <w:rPr>
                <w:sz w:val="28"/>
                <w:szCs w:val="28"/>
              </w:rPr>
            </w:pPr>
          </w:p>
        </w:tc>
      </w:tr>
      <w:tr w:rsidR="009A25A0" w:rsidRPr="00881766" w:rsidTr="005E4AD4">
        <w:tc>
          <w:tcPr>
            <w:tcW w:w="7542" w:type="dxa"/>
            <w:shd w:val="clear" w:color="auto" w:fill="auto"/>
          </w:tcPr>
          <w:p w:rsidR="009A25A0" w:rsidRPr="00881766" w:rsidRDefault="009A25A0" w:rsidP="006F7B86">
            <w:pPr>
              <w:ind w:left="2758"/>
              <w:rPr>
                <w:sz w:val="18"/>
                <w:szCs w:val="18"/>
              </w:rPr>
            </w:pPr>
            <w:r w:rsidRPr="00881766">
              <w:rPr>
                <w:sz w:val="18"/>
                <w:szCs w:val="18"/>
              </w:rPr>
              <w:lastRenderedPageBreak/>
              <w:t>Приложение № 3</w:t>
            </w:r>
          </w:p>
          <w:p w:rsidR="009A25A0" w:rsidRPr="00881766" w:rsidRDefault="009A25A0" w:rsidP="006F7B86">
            <w:pPr>
              <w:widowControl w:val="0"/>
              <w:ind w:left="2758" w:right="111"/>
              <w:rPr>
                <w:rFonts w:eastAsia="Arial Unicode MS"/>
                <w:sz w:val="18"/>
                <w:szCs w:val="18"/>
                <w:u w:color="000000"/>
              </w:rPr>
            </w:pPr>
            <w:r w:rsidRPr="00881766">
              <w:rPr>
                <w:rFonts w:eastAsia="MS Mincho"/>
                <w:sz w:val="18"/>
                <w:szCs w:val="18"/>
                <w:u w:color="000000"/>
              </w:rPr>
              <w:t xml:space="preserve">к </w:t>
            </w:r>
            <w:r w:rsidRPr="00881766">
              <w:rPr>
                <w:rFonts w:eastAsia="Arial Unicode MS"/>
                <w:sz w:val="18"/>
                <w:szCs w:val="18"/>
                <w:u w:color="000000"/>
              </w:rPr>
              <w:t xml:space="preserve">Концепции бюджетной </w:t>
            </w:r>
          </w:p>
          <w:p w:rsidR="009A25A0" w:rsidRPr="00881766" w:rsidRDefault="009A25A0" w:rsidP="006F7B86">
            <w:pPr>
              <w:widowControl w:val="0"/>
              <w:ind w:left="2758" w:right="111"/>
              <w:rPr>
                <w:sz w:val="18"/>
                <w:szCs w:val="18"/>
                <w:u w:color="000000"/>
              </w:rPr>
            </w:pPr>
            <w:r w:rsidRPr="00881766">
              <w:rPr>
                <w:rFonts w:eastAsia="Arial Unicode MS"/>
                <w:sz w:val="18"/>
                <w:szCs w:val="18"/>
                <w:u w:color="000000"/>
              </w:rPr>
              <w:t>и налоговой политики</w:t>
            </w:r>
          </w:p>
          <w:p w:rsidR="009A25A0" w:rsidRPr="00881766" w:rsidRDefault="009A25A0" w:rsidP="006F7B86">
            <w:pPr>
              <w:widowControl w:val="0"/>
              <w:ind w:left="2758" w:right="-314"/>
              <w:rPr>
                <w:sz w:val="18"/>
                <w:szCs w:val="18"/>
              </w:rPr>
            </w:pPr>
            <w:r w:rsidRPr="00881766">
              <w:rPr>
                <w:sz w:val="18"/>
                <w:szCs w:val="18"/>
              </w:rPr>
              <w:t xml:space="preserve">Приднестровской Молдавской Республики на 2024 год </w:t>
            </w:r>
          </w:p>
          <w:p w:rsidR="009A25A0" w:rsidRPr="00881766" w:rsidRDefault="009A25A0" w:rsidP="006F7B86">
            <w:pPr>
              <w:widowControl w:val="0"/>
              <w:ind w:left="2758" w:right="-314"/>
              <w:rPr>
                <w:sz w:val="18"/>
                <w:szCs w:val="18"/>
              </w:rPr>
            </w:pPr>
            <w:r w:rsidRPr="00881766">
              <w:rPr>
                <w:sz w:val="18"/>
                <w:szCs w:val="18"/>
              </w:rPr>
              <w:t>и среднесрочную перспективу</w:t>
            </w:r>
          </w:p>
          <w:p w:rsidR="009A25A0" w:rsidRPr="00881766" w:rsidRDefault="009A25A0" w:rsidP="004F2ADF">
            <w:pPr>
              <w:widowControl w:val="0"/>
              <w:ind w:left="7088" w:right="-314"/>
              <w:rPr>
                <w:sz w:val="18"/>
                <w:szCs w:val="18"/>
              </w:rPr>
            </w:pPr>
          </w:p>
          <w:p w:rsidR="009A25A0" w:rsidRPr="00881766" w:rsidRDefault="009A25A0" w:rsidP="004F2ADF">
            <w:pPr>
              <w:jc w:val="center"/>
              <w:rPr>
                <w:sz w:val="18"/>
                <w:szCs w:val="18"/>
              </w:rPr>
            </w:pPr>
            <w:r w:rsidRPr="00881766">
              <w:rPr>
                <w:sz w:val="18"/>
                <w:szCs w:val="18"/>
              </w:rPr>
              <w:t>Отраслевая налоговая нагрузка в разрезе видов налогов на валовую добавленную стоимость за 2019–2022 годы и целевые ориентиры на планируемый период</w:t>
            </w:r>
          </w:p>
          <w:p w:rsidR="009A25A0" w:rsidRPr="00881766" w:rsidRDefault="009A25A0" w:rsidP="004F2ADF">
            <w:pPr>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59"/>
              <w:gridCol w:w="759"/>
              <w:gridCol w:w="759"/>
              <w:gridCol w:w="843"/>
              <w:gridCol w:w="1064"/>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Налог на доходы организаций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9,7%</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9–10%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8–10%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4,6%</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4–5%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7,6%</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10,3%</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7–8%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2,7%</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8,2%</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7–9%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3–4%</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4,6%</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5,2%</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5,4%</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5–6%</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18,8%</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6–7%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4,8%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4,7%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4,6%</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4,9%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4,5–5%</w:t>
                  </w:r>
                </w:p>
              </w:tc>
            </w:tr>
          </w:tbl>
          <w:p w:rsidR="009A25A0" w:rsidRPr="00881766" w:rsidRDefault="009A25A0" w:rsidP="004F2ADF">
            <w:pPr>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705"/>
              <w:gridCol w:w="626"/>
              <w:gridCol w:w="143"/>
              <w:gridCol w:w="626"/>
              <w:gridCol w:w="143"/>
              <w:gridCol w:w="710"/>
              <w:gridCol w:w="143"/>
              <w:gridCol w:w="1045"/>
            </w:tblGrid>
            <w:tr w:rsidR="009A25A0" w:rsidRPr="00881766" w:rsidTr="004F2ADF">
              <w:trPr>
                <w:trHeight w:val="397"/>
              </w:trPr>
              <w:tc>
                <w:tcPr>
                  <w:tcW w:w="2169"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31" w:type="pct"/>
                  <w:gridSpan w:val="8"/>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Подоходный налог физических лиц к  валовой добавленной стоимости</w:t>
                  </w:r>
                </w:p>
              </w:tc>
            </w:tr>
            <w:tr w:rsidR="009A25A0" w:rsidRPr="00881766" w:rsidTr="004F2ADF">
              <w:trPr>
                <w:trHeight w:val="227"/>
              </w:trPr>
              <w:tc>
                <w:tcPr>
                  <w:tcW w:w="2169"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4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83"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812"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3,3%</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3,2%</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3,2%</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3–3,5%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10,2%</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3,1%</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2–3%</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3,5%</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4,3%</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4,0%</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4,4%</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4–4,5%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3,6%</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3–3,5%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2,5–3%</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0,2%</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0,3–0,4%</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4,0%</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2,7%</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2,7–3%</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3,1%</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3,3%</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3,3%</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3,8%</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3,5–4%</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lastRenderedPageBreak/>
                    <w:t>Непроизводственные виды бытового обслуживания</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3,8%</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4,4%</w:t>
                  </w:r>
                </w:p>
              </w:tc>
              <w:tc>
                <w:tcPr>
                  <w:tcW w:w="812"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3,5–4,5%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2,7%</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w:t>
                  </w:r>
                </w:p>
              </w:tc>
              <w:tc>
                <w:tcPr>
                  <w:tcW w:w="812"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2,7–3%</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4,9%</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2–4%</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w:t>
                  </w:r>
                </w:p>
              </w:tc>
              <w:tc>
                <w:tcPr>
                  <w:tcW w:w="4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1,5%</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1,4%</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1,5%</w:t>
                  </w:r>
                </w:p>
              </w:tc>
              <w:tc>
                <w:tcPr>
                  <w:tcW w:w="812"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1,41,5%</w:t>
                  </w:r>
                </w:p>
              </w:tc>
            </w:tr>
            <w:tr w:rsidR="009A25A0" w:rsidRPr="00881766" w:rsidTr="004F2ADF">
              <w:trPr>
                <w:trHeight w:val="227"/>
              </w:trPr>
              <w:tc>
                <w:tcPr>
                  <w:tcW w:w="2169" w:type="pct"/>
                  <w:tcBorders>
                    <w:top w:val="single" w:sz="4" w:space="0" w:color="auto"/>
                    <w:left w:val="nil"/>
                    <w:bottom w:val="single" w:sz="4" w:space="0" w:color="auto"/>
                    <w:right w:val="nil"/>
                  </w:tcBorders>
                  <w:noWrap/>
                  <w:vAlign w:val="bottom"/>
                </w:tcPr>
                <w:p w:rsidR="009A25A0" w:rsidRPr="00881766" w:rsidRDefault="009A25A0" w:rsidP="004F2ADF">
                  <w:pPr>
                    <w:rPr>
                      <w:bCs/>
                      <w:sz w:val="18"/>
                      <w:szCs w:val="18"/>
                      <w:lang w:eastAsia="en-US"/>
                    </w:rPr>
                  </w:pPr>
                </w:p>
              </w:tc>
              <w:tc>
                <w:tcPr>
                  <w:tcW w:w="482"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428"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26" w:type="pct"/>
                  <w:gridSpan w:val="2"/>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83" w:type="pct"/>
                  <w:gridSpan w:val="2"/>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812" w:type="pct"/>
                  <w:gridSpan w:val="2"/>
                  <w:tcBorders>
                    <w:top w:val="single" w:sz="4" w:space="0" w:color="auto"/>
                    <w:left w:val="nil"/>
                    <w:bottom w:val="single" w:sz="4" w:space="0" w:color="auto"/>
                    <w:right w:val="nil"/>
                  </w:tcBorders>
                </w:tcPr>
                <w:p w:rsidR="009A25A0" w:rsidRPr="00881766" w:rsidRDefault="009A25A0" w:rsidP="004F2ADF">
                  <w:pPr>
                    <w:jc w:val="center"/>
                    <w:rPr>
                      <w:bCs/>
                      <w:sz w:val="18"/>
                      <w:szCs w:val="18"/>
                      <w:lang w:eastAsia="en-US"/>
                    </w:rPr>
                  </w:pPr>
                </w:p>
              </w:tc>
            </w:tr>
            <w:tr w:rsidR="009A25A0" w:rsidRPr="00881766" w:rsidTr="004F2ADF">
              <w:trPr>
                <w:trHeight w:val="397"/>
              </w:trPr>
              <w:tc>
                <w:tcPr>
                  <w:tcW w:w="2169"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31" w:type="pct"/>
                  <w:gridSpan w:val="8"/>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Единый социальный налог к  валовой добавленной стоимости</w:t>
                  </w:r>
                </w:p>
              </w:tc>
            </w:tr>
            <w:tr w:rsidR="009A25A0" w:rsidRPr="00881766" w:rsidTr="004F2ADF">
              <w:trPr>
                <w:trHeight w:val="227"/>
              </w:trPr>
              <w:tc>
                <w:tcPr>
                  <w:tcW w:w="2169"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83"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1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8,6%</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8,2%</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7,2%</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7,7%</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7–8,5%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2–3%</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9,9%</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11,4%</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11,4%</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12,1%</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10–12%</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6,0%</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6,0%</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6,8%</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6–7%</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5,5%</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5,5%</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5,6%</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5,6%</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5,5–6%</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8,6%</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7,5%</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8,7%</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7,5–9%</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11,5%</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11,4%</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11,1%</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12,5%</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11–12,5%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8,7%</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7,2%</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7,9%</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9,6%</w:t>
                  </w:r>
                </w:p>
              </w:tc>
              <w:tc>
                <w:tcPr>
                  <w:tcW w:w="71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8–9,5%</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7,9%</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9,0%</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6,7%</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7,0%</w:t>
                  </w:r>
                </w:p>
              </w:tc>
              <w:tc>
                <w:tcPr>
                  <w:tcW w:w="71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7–9%</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4,1%</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9,2%</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4–9%</w:t>
                  </w:r>
                </w:p>
              </w:tc>
            </w:tr>
            <w:tr w:rsidR="009A25A0" w:rsidRPr="00881766" w:rsidTr="004F2ADF">
              <w:trPr>
                <w:trHeight w:val="227"/>
              </w:trPr>
              <w:tc>
                <w:tcPr>
                  <w:tcW w:w="2169"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482"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3,5%</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3,7%</w:t>
                  </w:r>
                </w:p>
              </w:tc>
              <w:tc>
                <w:tcPr>
                  <w:tcW w:w="526"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3,4%</w:t>
                  </w:r>
                </w:p>
              </w:tc>
              <w:tc>
                <w:tcPr>
                  <w:tcW w:w="583"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3,6%</w:t>
                  </w:r>
                </w:p>
              </w:tc>
              <w:tc>
                <w:tcPr>
                  <w:tcW w:w="714"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3,4–3,7%</w:t>
                  </w:r>
                </w:p>
              </w:tc>
            </w:tr>
          </w:tbl>
          <w:p w:rsidR="009A25A0" w:rsidRPr="00881766" w:rsidRDefault="009A25A0" w:rsidP="004F2ADF">
            <w:pPr>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59"/>
              <w:gridCol w:w="759"/>
              <w:gridCol w:w="759"/>
              <w:gridCol w:w="843"/>
              <w:gridCol w:w="1064"/>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Обязательный страховой взнос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0,9–1%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1,3–1,4%</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1,3–1,4%</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lastRenderedPageBreak/>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0,4–0,5%</w:t>
                  </w:r>
                </w:p>
              </w:tc>
            </w:tr>
          </w:tbl>
          <w:p w:rsidR="009A25A0" w:rsidRPr="00881766" w:rsidRDefault="009A25A0" w:rsidP="004F2ADF">
            <w:pPr>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59"/>
              <w:gridCol w:w="759"/>
              <w:gridCol w:w="759"/>
              <w:gridCol w:w="843"/>
              <w:gridCol w:w="1064"/>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Земельный налог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0,3–0,5%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0,4–0,5%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0,3–0,4%</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0,2%</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0,5–0,7%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0,1–0,3%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0,2–0,3%</w:t>
                  </w:r>
                </w:p>
              </w:tc>
            </w:tr>
            <w:tr w:rsidR="009A25A0" w:rsidRPr="00881766" w:rsidTr="004F2ADF">
              <w:trPr>
                <w:trHeight w:val="227"/>
              </w:trPr>
              <w:tc>
                <w:tcPr>
                  <w:tcW w:w="2140" w:type="pct"/>
                  <w:tcBorders>
                    <w:top w:val="single" w:sz="4" w:space="0" w:color="auto"/>
                    <w:left w:val="nil"/>
                    <w:bottom w:val="single" w:sz="4" w:space="0" w:color="auto"/>
                    <w:right w:val="nil"/>
                  </w:tcBorders>
                  <w:noWrap/>
                  <w:vAlign w:val="bottom"/>
                </w:tcPr>
                <w:p w:rsidR="009A25A0" w:rsidRPr="00881766" w:rsidRDefault="009A25A0" w:rsidP="004F2ADF">
                  <w:pPr>
                    <w:rPr>
                      <w:bCs/>
                      <w:sz w:val="18"/>
                      <w:szCs w:val="18"/>
                      <w:lang w:eastAsia="en-US"/>
                    </w:rPr>
                  </w:pPr>
                </w:p>
              </w:tc>
              <w:tc>
                <w:tcPr>
                  <w:tcW w:w="5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76"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728" w:type="pct"/>
                  <w:tcBorders>
                    <w:top w:val="single" w:sz="4" w:space="0" w:color="auto"/>
                    <w:left w:val="nil"/>
                    <w:bottom w:val="single" w:sz="4" w:space="0" w:color="auto"/>
                    <w:right w:val="nil"/>
                  </w:tcBorders>
                </w:tcPr>
                <w:p w:rsidR="009A25A0" w:rsidRPr="00881766" w:rsidRDefault="009A25A0" w:rsidP="004F2ADF">
                  <w:pPr>
                    <w:jc w:val="center"/>
                    <w:rPr>
                      <w:bCs/>
                      <w:sz w:val="18"/>
                      <w:szCs w:val="18"/>
                      <w:lang w:eastAsia="en-US"/>
                    </w:rPr>
                  </w:pPr>
                </w:p>
              </w:tc>
            </w:tr>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Акцизы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0,5–0,6%</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1–1,3%</w:t>
                  </w:r>
                </w:p>
              </w:tc>
            </w:tr>
          </w:tbl>
          <w:p w:rsidR="009A25A0" w:rsidRPr="00881766" w:rsidRDefault="009A25A0" w:rsidP="004F2ADF">
            <w:pPr>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59"/>
              <w:gridCol w:w="759"/>
              <w:gridCol w:w="759"/>
              <w:gridCol w:w="843"/>
              <w:gridCol w:w="1064"/>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lastRenderedPageBreak/>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Прочие налоги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2–2,1%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5,5–7%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0,6–0,7%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2–2,1%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0,4–0,5%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2,1%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1,9–2,2%</w:t>
                  </w:r>
                </w:p>
              </w:tc>
            </w:tr>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Всего налоги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 (оценка)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27,8%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24,4%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23–25%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52,9%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15–17%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26,8%</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27–29%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15–17%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18–20%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7,5–8%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34,2%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22,8%</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22–30%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21,6%</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21–23%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20,7%</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17–21%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15,9%</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16,4%</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16–20%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39,1%</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11,7%</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12–20%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13,3%</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13,5–14%</w:t>
                  </w:r>
                </w:p>
              </w:tc>
            </w:tr>
          </w:tbl>
          <w:p w:rsidR="009A25A0" w:rsidRPr="00881766" w:rsidRDefault="009A25A0" w:rsidP="004F2ADF">
            <w:pPr>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59"/>
              <w:gridCol w:w="759"/>
              <w:gridCol w:w="759"/>
              <w:gridCol w:w="843"/>
              <w:gridCol w:w="1064"/>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Налоги без подоходного налога и обязательного страхового взноса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6F5314">
                  <w:pPr>
                    <w:ind w:left="-73" w:right="-144"/>
                    <w:jc w:val="center"/>
                    <w:rPr>
                      <w:sz w:val="18"/>
                      <w:szCs w:val="18"/>
                      <w:lang w:eastAsia="en-US"/>
                    </w:rPr>
                  </w:pPr>
                  <w:r w:rsidRPr="00881766">
                    <w:rPr>
                      <w:sz w:val="18"/>
                      <w:szCs w:val="18"/>
                      <w:lang w:eastAsia="en-US"/>
                    </w:rPr>
                    <w:t xml:space="preserve">2022 год </w:t>
                  </w:r>
                  <w:bookmarkStart w:id="1" w:name="_GoBack"/>
                  <w:bookmarkEnd w:id="1"/>
                  <w:r w:rsidRPr="00881766">
                    <w:rPr>
                      <w:sz w:val="18"/>
                      <w:szCs w:val="18"/>
                      <w:lang w:eastAsia="en-US"/>
                    </w:rPr>
                    <w:t>(оценка)</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lastRenderedPageBreak/>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20,2%</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21–22%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39,5%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10,2%</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23,3%</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22–23%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12,3%</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15,2%</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16,9%</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15–16%</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7,1%</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7–7,5%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17,5%</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18–19%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17,0%</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17,2%</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17–18%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14,5%</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14–15%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12,8%</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31,6%</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9,3%</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9–10%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11,4%</w:t>
                  </w:r>
                </w:p>
              </w:tc>
              <w:tc>
                <w:tcPr>
                  <w:tcW w:w="576"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11,7%</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11–12%</w:t>
                  </w:r>
                </w:p>
              </w:tc>
            </w:tr>
          </w:tbl>
          <w:p w:rsidR="009A25A0" w:rsidRPr="00881766" w:rsidRDefault="009A25A0" w:rsidP="004F2ADF">
            <w:pPr>
              <w:rPr>
                <w:sz w:val="18"/>
                <w:szCs w:val="18"/>
              </w:rPr>
            </w:pP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8"/>
                <w:szCs w:val="18"/>
              </w:rPr>
            </w:pPr>
          </w:p>
        </w:tc>
        <w:tc>
          <w:tcPr>
            <w:tcW w:w="7845" w:type="dxa"/>
            <w:shd w:val="clear" w:color="auto" w:fill="auto"/>
          </w:tcPr>
          <w:p w:rsidR="009A25A0" w:rsidRPr="00881766" w:rsidRDefault="009A25A0" w:rsidP="006F7B86">
            <w:pPr>
              <w:tabs>
                <w:tab w:val="left" w:pos="916"/>
                <w:tab w:val="left" w:pos="1832"/>
                <w:tab w:val="left" w:pos="2748"/>
                <w:tab w:val="left" w:pos="4580"/>
                <w:tab w:val="left" w:pos="5496"/>
                <w:tab w:val="left" w:pos="6412"/>
                <w:tab w:val="left" w:pos="7328"/>
                <w:tab w:val="left" w:pos="8244"/>
                <w:tab w:val="left" w:pos="8848"/>
              </w:tabs>
              <w:ind w:left="3468"/>
              <w:rPr>
                <w:sz w:val="18"/>
                <w:szCs w:val="18"/>
              </w:rPr>
            </w:pPr>
            <w:r w:rsidRPr="00881766">
              <w:rPr>
                <w:sz w:val="18"/>
                <w:szCs w:val="18"/>
              </w:rPr>
              <w:lastRenderedPageBreak/>
              <w:t>Приложение № 3</w:t>
            </w:r>
          </w:p>
          <w:p w:rsidR="009A25A0" w:rsidRPr="00881766" w:rsidRDefault="009A25A0" w:rsidP="006F7B86">
            <w:pPr>
              <w:widowControl w:val="0"/>
              <w:tabs>
                <w:tab w:val="left" w:pos="916"/>
                <w:tab w:val="left" w:pos="1832"/>
                <w:tab w:val="left" w:pos="2748"/>
                <w:tab w:val="left" w:pos="4580"/>
                <w:tab w:val="left" w:pos="5496"/>
                <w:tab w:val="left" w:pos="6412"/>
                <w:tab w:val="left" w:pos="7328"/>
                <w:tab w:val="left" w:pos="8244"/>
                <w:tab w:val="left" w:pos="8848"/>
              </w:tabs>
              <w:ind w:left="3468" w:right="111"/>
              <w:rPr>
                <w:rFonts w:eastAsia="Arial Unicode MS"/>
                <w:sz w:val="18"/>
                <w:szCs w:val="18"/>
                <w:u w:color="000000"/>
              </w:rPr>
            </w:pPr>
            <w:r w:rsidRPr="00881766">
              <w:rPr>
                <w:rFonts w:eastAsia="MS Mincho"/>
                <w:sz w:val="18"/>
                <w:szCs w:val="18"/>
                <w:u w:color="000000"/>
              </w:rPr>
              <w:t xml:space="preserve">к </w:t>
            </w:r>
            <w:r w:rsidRPr="00881766">
              <w:rPr>
                <w:rFonts w:eastAsia="Arial Unicode MS"/>
                <w:sz w:val="18"/>
                <w:szCs w:val="18"/>
                <w:u w:color="000000"/>
              </w:rPr>
              <w:t xml:space="preserve">Концепции бюджетной </w:t>
            </w:r>
          </w:p>
          <w:p w:rsidR="009A25A0" w:rsidRPr="00881766" w:rsidRDefault="009A25A0" w:rsidP="006F7B86">
            <w:pPr>
              <w:widowControl w:val="0"/>
              <w:tabs>
                <w:tab w:val="left" w:pos="916"/>
                <w:tab w:val="left" w:pos="1832"/>
                <w:tab w:val="left" w:pos="2748"/>
                <w:tab w:val="left" w:pos="4580"/>
                <w:tab w:val="left" w:pos="5496"/>
                <w:tab w:val="left" w:pos="6412"/>
                <w:tab w:val="left" w:pos="7328"/>
                <w:tab w:val="left" w:pos="8244"/>
                <w:tab w:val="left" w:pos="8848"/>
              </w:tabs>
              <w:ind w:left="3468" w:right="111"/>
              <w:rPr>
                <w:sz w:val="18"/>
                <w:szCs w:val="18"/>
                <w:u w:color="000000"/>
              </w:rPr>
            </w:pPr>
            <w:r w:rsidRPr="00881766">
              <w:rPr>
                <w:rFonts w:eastAsia="Arial Unicode MS"/>
                <w:sz w:val="18"/>
                <w:szCs w:val="18"/>
                <w:u w:color="000000"/>
              </w:rPr>
              <w:t>и налоговой политики</w:t>
            </w:r>
          </w:p>
          <w:p w:rsidR="009A25A0" w:rsidRPr="00881766" w:rsidRDefault="009A25A0" w:rsidP="006F7B86">
            <w:pPr>
              <w:widowControl w:val="0"/>
              <w:tabs>
                <w:tab w:val="left" w:pos="916"/>
                <w:tab w:val="left" w:pos="1832"/>
                <w:tab w:val="left" w:pos="2748"/>
                <w:tab w:val="left" w:pos="4580"/>
                <w:tab w:val="left" w:pos="5496"/>
                <w:tab w:val="left" w:pos="6412"/>
                <w:tab w:val="left" w:pos="7328"/>
                <w:tab w:val="left" w:pos="8244"/>
                <w:tab w:val="left" w:pos="8848"/>
              </w:tabs>
              <w:ind w:left="3468" w:right="-314"/>
              <w:rPr>
                <w:sz w:val="18"/>
                <w:szCs w:val="18"/>
              </w:rPr>
            </w:pPr>
            <w:r w:rsidRPr="00881766">
              <w:rPr>
                <w:sz w:val="18"/>
                <w:szCs w:val="18"/>
              </w:rPr>
              <w:t xml:space="preserve">Приднестровской Молдавской Республики на 2024 год </w:t>
            </w:r>
          </w:p>
          <w:p w:rsidR="009A25A0" w:rsidRPr="00881766" w:rsidRDefault="009A25A0" w:rsidP="006F7B86">
            <w:pPr>
              <w:widowControl w:val="0"/>
              <w:tabs>
                <w:tab w:val="left" w:pos="916"/>
                <w:tab w:val="left" w:pos="1832"/>
                <w:tab w:val="left" w:pos="2748"/>
                <w:tab w:val="left" w:pos="4580"/>
                <w:tab w:val="left" w:pos="5496"/>
                <w:tab w:val="left" w:pos="6412"/>
                <w:tab w:val="left" w:pos="7328"/>
                <w:tab w:val="left" w:pos="8244"/>
                <w:tab w:val="left" w:pos="8848"/>
              </w:tabs>
              <w:ind w:left="3468" w:right="-314"/>
              <w:rPr>
                <w:sz w:val="18"/>
                <w:szCs w:val="18"/>
              </w:rPr>
            </w:pPr>
            <w:r w:rsidRPr="00881766">
              <w:rPr>
                <w:sz w:val="18"/>
                <w:szCs w:val="18"/>
              </w:rPr>
              <w:t>и среднесрочную перспективу</w:t>
            </w:r>
          </w:p>
          <w:p w:rsidR="009A25A0" w:rsidRPr="00881766" w:rsidRDefault="009A25A0" w:rsidP="004F2ADF">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18"/>
                <w:szCs w:val="18"/>
              </w:rPr>
            </w:pP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8"/>
                <w:szCs w:val="18"/>
              </w:rPr>
            </w:pPr>
            <w:r w:rsidRPr="00881766">
              <w:rPr>
                <w:sz w:val="18"/>
                <w:szCs w:val="18"/>
              </w:rPr>
              <w:t>Отраслевая налоговая нагрузка в разрезе видов налогов на валовую добавленную стоимость за 2019</w:t>
            </w:r>
            <w:r w:rsidR="00D21829">
              <w:rPr>
                <w:sz w:val="18"/>
                <w:szCs w:val="18"/>
              </w:rPr>
              <w:t>-</w:t>
            </w:r>
            <w:r w:rsidRPr="00881766">
              <w:rPr>
                <w:sz w:val="18"/>
                <w:szCs w:val="18"/>
              </w:rPr>
              <w:t>2022 годы и целевые ориентиры на планируемый период</w:t>
            </w: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693"/>
              <w:gridCol w:w="693"/>
              <w:gridCol w:w="693"/>
              <w:gridCol w:w="833"/>
              <w:gridCol w:w="1109"/>
            </w:tblGrid>
            <w:tr w:rsidR="009A25A0" w:rsidRPr="00881766" w:rsidTr="00D76CE9">
              <w:trPr>
                <w:trHeight w:val="397"/>
              </w:trPr>
              <w:tc>
                <w:tcPr>
                  <w:tcW w:w="2336"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664"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Налог на доходы организаций к валовой добавленной стоимости</w:t>
                  </w:r>
                </w:p>
              </w:tc>
            </w:tr>
            <w:tr w:rsidR="00D76CE9" w:rsidRPr="00881766" w:rsidTr="00D76CE9">
              <w:trPr>
                <w:trHeight w:val="227"/>
              </w:trPr>
              <w:tc>
                <w:tcPr>
                  <w:tcW w:w="2336"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45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45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735"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10,9%</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10,1%</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9,1%</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9,5%</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9–10%</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0,9%</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3,5%</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1,0%</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1,8%</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2–3%</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8,8%</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8,0%</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8,0%</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8–10%</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5,2%</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5,0%</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4,6%</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5,0%</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4–5%</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8,2%</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6,6%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7,6%</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7,2%</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7–8%</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2,7%</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2,7%</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2–3%</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13,1%</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9,5%</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6,9%</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7–9%</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3,7%</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4,0%</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4,0%</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3–4%</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4,4%</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5,1%</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4,7%</w:t>
                  </w:r>
                </w:p>
              </w:tc>
              <w:tc>
                <w:tcPr>
                  <w:tcW w:w="735"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4–5%</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5,5%</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5,9%</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5,2%</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5,2%</w:t>
                  </w:r>
                </w:p>
              </w:tc>
              <w:tc>
                <w:tcPr>
                  <w:tcW w:w="735"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5–6%</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2,6%</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3,7%</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18,8%</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bottom"/>
                </w:tcPr>
                <w:p w:rsidR="009A25A0" w:rsidRPr="00881766" w:rsidRDefault="009A25A0" w:rsidP="004F2ADF">
                  <w:pPr>
                    <w:jc w:val="center"/>
                    <w:rPr>
                      <w:sz w:val="16"/>
                      <w:szCs w:val="16"/>
                      <w:lang w:eastAsia="en-US"/>
                    </w:rPr>
                  </w:pPr>
                  <w:r w:rsidRPr="00881766">
                    <w:rPr>
                      <w:sz w:val="16"/>
                      <w:szCs w:val="16"/>
                      <w:lang w:eastAsia="en-US"/>
                    </w:rPr>
                    <w:t>5,3%</w:t>
                  </w:r>
                </w:p>
              </w:tc>
              <w:tc>
                <w:tcPr>
                  <w:tcW w:w="735"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6–7%</w:t>
                  </w:r>
                </w:p>
              </w:tc>
            </w:tr>
            <w:tr w:rsidR="00D76CE9" w:rsidRPr="00881766" w:rsidTr="00D76CE9">
              <w:trPr>
                <w:trHeight w:val="227"/>
              </w:trPr>
              <w:tc>
                <w:tcPr>
                  <w:tcW w:w="233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4,8%</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4,7%</w:t>
                  </w:r>
                </w:p>
              </w:tc>
              <w:tc>
                <w:tcPr>
                  <w:tcW w:w="45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4,6%</w:t>
                  </w:r>
                </w:p>
              </w:tc>
              <w:tc>
                <w:tcPr>
                  <w:tcW w:w="552"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6"/>
                      <w:szCs w:val="16"/>
                      <w:lang w:eastAsia="en-US"/>
                    </w:rPr>
                  </w:pPr>
                  <w:r w:rsidRPr="00881766">
                    <w:rPr>
                      <w:bCs/>
                      <w:sz w:val="16"/>
                      <w:szCs w:val="16"/>
                      <w:lang w:eastAsia="en-US"/>
                    </w:rPr>
                    <w:t>4,6%</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rsidR="009A25A0" w:rsidRPr="00881766" w:rsidRDefault="009A25A0" w:rsidP="004F2ADF">
                  <w:pPr>
                    <w:jc w:val="center"/>
                    <w:rPr>
                      <w:bCs/>
                      <w:sz w:val="16"/>
                      <w:szCs w:val="16"/>
                      <w:lang w:eastAsia="en-US"/>
                    </w:rPr>
                  </w:pPr>
                  <w:r w:rsidRPr="00881766">
                    <w:rPr>
                      <w:bCs/>
                      <w:sz w:val="16"/>
                      <w:szCs w:val="16"/>
                      <w:lang w:eastAsia="en-US"/>
                    </w:rPr>
                    <w:t>4,5–5%</w:t>
                  </w:r>
                </w:p>
              </w:tc>
            </w:tr>
          </w:tbl>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248"/>
              <w:gridCol w:w="646"/>
              <w:gridCol w:w="160"/>
              <w:gridCol w:w="536"/>
              <w:gridCol w:w="177"/>
              <w:gridCol w:w="559"/>
              <w:gridCol w:w="169"/>
              <w:gridCol w:w="975"/>
            </w:tblGrid>
            <w:tr w:rsidR="009A25A0" w:rsidRPr="00881766" w:rsidTr="004F2ADF">
              <w:trPr>
                <w:trHeight w:val="397"/>
              </w:trPr>
              <w:tc>
                <w:tcPr>
                  <w:tcW w:w="2066"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934" w:type="pct"/>
                  <w:gridSpan w:val="8"/>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Подоходный налог физических лиц к  валовой добавленной стоимости</w:t>
                  </w:r>
                </w:p>
              </w:tc>
            </w:tr>
            <w:tr w:rsidR="009A25A0" w:rsidRPr="00881766" w:rsidTr="004F2ADF">
              <w:trPr>
                <w:trHeight w:val="227"/>
              </w:trPr>
              <w:tc>
                <w:tcPr>
                  <w:tcW w:w="2066"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424"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3,3%</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3,2%</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3,0%</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3,0%</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3–3,5%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2,9%</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10,2%</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2,2%</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3,8%</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2–3%</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3,5%</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4,3%</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4,0%</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3,9%</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4–4,5%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2,9%</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2,9%</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3,0%</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3,5%</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3–3,5%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2,6%</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2,2%</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2,8%</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2,7%</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2,5–3%</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0,3%</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0,4%</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0,3%</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0,3%</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0,3–0,4%</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4,0%</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2,8%</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2,8%</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3,2%</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2,7–3%</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3,1%</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3,3%</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3,3%</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3,1%</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3,5–4%</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3,0%</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3,0%</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3,8%</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3,3%</w:t>
                  </w:r>
                </w:p>
              </w:tc>
              <w:tc>
                <w:tcPr>
                  <w:tcW w:w="750"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3,5–4,5%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3,0%</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4,1%</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2,7%</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2,9%</w:t>
                  </w:r>
                </w:p>
              </w:tc>
              <w:tc>
                <w:tcPr>
                  <w:tcW w:w="750"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2,7–3%</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1,5%</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2,0%</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4,9%</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1,5%</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2–4%</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1,3%</w:t>
                  </w:r>
                </w:p>
              </w:tc>
              <w:tc>
                <w:tcPr>
                  <w:tcW w:w="424"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1,5%</w:t>
                  </w:r>
                </w:p>
              </w:tc>
              <w:tc>
                <w:tcPr>
                  <w:tcW w:w="457"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1,4%</w:t>
                  </w:r>
                </w:p>
              </w:tc>
              <w:tc>
                <w:tcPr>
                  <w:tcW w:w="4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6"/>
                      <w:szCs w:val="16"/>
                      <w:lang w:eastAsia="en-US"/>
                    </w:rPr>
                  </w:pPr>
                  <w:r w:rsidRPr="00881766">
                    <w:rPr>
                      <w:bCs/>
                      <w:sz w:val="16"/>
                      <w:szCs w:val="16"/>
                      <w:lang w:eastAsia="en-US"/>
                    </w:rPr>
                    <w:t>1,4%</w:t>
                  </w:r>
                </w:p>
              </w:tc>
              <w:tc>
                <w:tcPr>
                  <w:tcW w:w="750" w:type="pct"/>
                  <w:gridSpan w:val="2"/>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6"/>
                      <w:szCs w:val="16"/>
                      <w:lang w:eastAsia="en-US"/>
                    </w:rPr>
                  </w:pPr>
                  <w:r w:rsidRPr="00881766">
                    <w:rPr>
                      <w:bCs/>
                      <w:sz w:val="16"/>
                      <w:szCs w:val="16"/>
                      <w:lang w:eastAsia="en-US"/>
                    </w:rPr>
                    <w:t>1,4–1,5%</w:t>
                  </w:r>
                </w:p>
              </w:tc>
            </w:tr>
            <w:tr w:rsidR="009A25A0" w:rsidRPr="00881766" w:rsidTr="004F2ADF">
              <w:trPr>
                <w:trHeight w:val="227"/>
              </w:trPr>
              <w:tc>
                <w:tcPr>
                  <w:tcW w:w="2066" w:type="pct"/>
                  <w:tcBorders>
                    <w:top w:val="single" w:sz="4" w:space="0" w:color="auto"/>
                    <w:left w:val="nil"/>
                    <w:bottom w:val="single" w:sz="4" w:space="0" w:color="auto"/>
                    <w:right w:val="nil"/>
                  </w:tcBorders>
                  <w:noWrap/>
                  <w:vAlign w:val="bottom"/>
                </w:tcPr>
                <w:p w:rsidR="009A25A0" w:rsidRPr="00881766" w:rsidRDefault="009A25A0" w:rsidP="004F2ADF">
                  <w:pPr>
                    <w:rPr>
                      <w:bCs/>
                      <w:sz w:val="18"/>
                      <w:szCs w:val="18"/>
                      <w:lang w:eastAsia="en-US"/>
                    </w:rPr>
                  </w:pPr>
                </w:p>
              </w:tc>
              <w:tc>
                <w:tcPr>
                  <w:tcW w:w="8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424"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457" w:type="pct"/>
                  <w:gridSpan w:val="2"/>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483" w:type="pct"/>
                  <w:gridSpan w:val="2"/>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750" w:type="pct"/>
                  <w:gridSpan w:val="2"/>
                  <w:tcBorders>
                    <w:top w:val="single" w:sz="4" w:space="0" w:color="auto"/>
                    <w:left w:val="nil"/>
                    <w:bottom w:val="single" w:sz="4" w:space="0" w:color="auto"/>
                    <w:right w:val="nil"/>
                  </w:tcBorders>
                </w:tcPr>
                <w:p w:rsidR="009A25A0" w:rsidRPr="00881766" w:rsidRDefault="009A25A0" w:rsidP="004F2ADF">
                  <w:pPr>
                    <w:jc w:val="center"/>
                    <w:rPr>
                      <w:bCs/>
                      <w:sz w:val="18"/>
                      <w:szCs w:val="18"/>
                      <w:lang w:eastAsia="en-US"/>
                    </w:rPr>
                  </w:pPr>
                </w:p>
              </w:tc>
            </w:tr>
            <w:tr w:rsidR="009A25A0" w:rsidRPr="00881766" w:rsidTr="004F2ADF">
              <w:trPr>
                <w:trHeight w:val="397"/>
              </w:trPr>
              <w:tc>
                <w:tcPr>
                  <w:tcW w:w="2066"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934" w:type="pct"/>
                  <w:gridSpan w:val="8"/>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Единый социальный налог к  валовой добавленной стоимости</w:t>
                  </w:r>
                </w:p>
              </w:tc>
            </w:tr>
            <w:tr w:rsidR="009A25A0" w:rsidRPr="00881766" w:rsidTr="004F2ADF">
              <w:trPr>
                <w:trHeight w:val="227"/>
              </w:trPr>
              <w:tc>
                <w:tcPr>
                  <w:tcW w:w="2066"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29"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468"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w:t>
                  </w:r>
                </w:p>
              </w:tc>
              <w:tc>
                <w:tcPr>
                  <w:tcW w:w="640"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8,6%</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8,2%</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7,2%</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7,2%</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7–8,5%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2,1%</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8,1%</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2,0%</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3,1%</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2–3%</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9,9%</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11,4%</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11,4%</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11,3%</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10–12%</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6,1%</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6,0%</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6,0%</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7,1%</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6–7%</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5,5%</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5,5%</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5,6%</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4,8%</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5,5–6%</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1,0%</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1,0%</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1,0%</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1–1,2%</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11,1%</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8,6%</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7,5%</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6,5%</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7,5–9%</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11,5%</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11,4%</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11,1%</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10,8%</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11–12,5%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8,7%</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7,2%</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7,9%</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8,0%</w:t>
                  </w:r>
                </w:p>
              </w:tc>
              <w:tc>
                <w:tcPr>
                  <w:tcW w:w="640"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8–9,5%</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7,9%</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9,0%</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6,7%</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8,1%</w:t>
                  </w:r>
                </w:p>
              </w:tc>
              <w:tc>
                <w:tcPr>
                  <w:tcW w:w="640"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7–9%</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2,9%</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4,1%</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6"/>
                      <w:szCs w:val="16"/>
                      <w:lang w:eastAsia="en-US"/>
                    </w:rPr>
                  </w:pPr>
                  <w:r w:rsidRPr="00881766">
                    <w:rPr>
                      <w:sz w:val="16"/>
                      <w:szCs w:val="16"/>
                      <w:lang w:eastAsia="en-US"/>
                    </w:rPr>
                    <w:t>9,2%</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6"/>
                      <w:szCs w:val="16"/>
                      <w:lang w:eastAsia="en-US"/>
                    </w:rPr>
                  </w:pPr>
                  <w:r w:rsidRPr="00881766">
                    <w:rPr>
                      <w:sz w:val="16"/>
                      <w:szCs w:val="16"/>
                      <w:lang w:eastAsia="en-US"/>
                    </w:rPr>
                    <w:t>3,1%</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6"/>
                      <w:szCs w:val="16"/>
                      <w:lang w:eastAsia="en-US"/>
                    </w:rPr>
                  </w:pPr>
                  <w:r w:rsidRPr="00881766">
                    <w:rPr>
                      <w:sz w:val="16"/>
                      <w:szCs w:val="16"/>
                      <w:lang w:eastAsia="en-US"/>
                    </w:rPr>
                    <w:t>4–9%</w:t>
                  </w:r>
                </w:p>
              </w:tc>
            </w:tr>
            <w:tr w:rsidR="009A25A0" w:rsidRPr="00881766" w:rsidTr="004F2ADF">
              <w:trPr>
                <w:trHeight w:val="227"/>
              </w:trPr>
              <w:tc>
                <w:tcPr>
                  <w:tcW w:w="2066"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8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3,5%</w:t>
                  </w:r>
                </w:p>
              </w:tc>
              <w:tc>
                <w:tcPr>
                  <w:tcW w:w="529"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3,7%</w:t>
                  </w:r>
                </w:p>
              </w:tc>
              <w:tc>
                <w:tcPr>
                  <w:tcW w:w="468" w:type="pct"/>
                  <w:gridSpan w:val="2"/>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6"/>
                      <w:szCs w:val="16"/>
                      <w:lang w:eastAsia="en-US"/>
                    </w:rPr>
                  </w:pPr>
                  <w:r w:rsidRPr="00881766">
                    <w:rPr>
                      <w:bCs/>
                      <w:sz w:val="16"/>
                      <w:szCs w:val="16"/>
                      <w:lang w:eastAsia="en-US"/>
                    </w:rPr>
                    <w:t>3,4%</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6"/>
                      <w:szCs w:val="16"/>
                      <w:lang w:eastAsia="en-US"/>
                    </w:rPr>
                  </w:pPr>
                  <w:r w:rsidRPr="00881766">
                    <w:rPr>
                      <w:bCs/>
                      <w:sz w:val="16"/>
                      <w:szCs w:val="16"/>
                      <w:lang w:eastAsia="en-US"/>
                    </w:rPr>
                    <w:t>3,3%</w:t>
                  </w:r>
                </w:p>
              </w:tc>
              <w:tc>
                <w:tcPr>
                  <w:tcW w:w="640"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6"/>
                      <w:szCs w:val="16"/>
                      <w:lang w:eastAsia="en-US"/>
                    </w:rPr>
                  </w:pPr>
                  <w:r w:rsidRPr="00881766">
                    <w:rPr>
                      <w:bCs/>
                      <w:sz w:val="16"/>
                      <w:szCs w:val="16"/>
                      <w:lang w:eastAsia="en-US"/>
                    </w:rPr>
                    <w:t>3,4–3,7%</w:t>
                  </w:r>
                </w:p>
              </w:tc>
            </w:tr>
          </w:tbl>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606"/>
              <w:gridCol w:w="606"/>
              <w:gridCol w:w="606"/>
              <w:gridCol w:w="710"/>
              <w:gridCol w:w="1047"/>
            </w:tblGrid>
            <w:tr w:rsidR="009A25A0" w:rsidRPr="00881766" w:rsidTr="004F2ADF">
              <w:trPr>
                <w:trHeight w:val="397"/>
              </w:trPr>
              <w:tc>
                <w:tcPr>
                  <w:tcW w:w="2653"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347"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Обязательный страховой взнос к  валовой добавленной стоимости</w:t>
                  </w:r>
                </w:p>
              </w:tc>
            </w:tr>
            <w:tr w:rsidR="009A25A0" w:rsidRPr="00881766" w:rsidTr="004F2ADF">
              <w:trPr>
                <w:trHeight w:val="227"/>
              </w:trPr>
              <w:tc>
                <w:tcPr>
                  <w:tcW w:w="2653"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39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46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687"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0,9%</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0,9–1%</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3,2%</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1,0%</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0,7–0,8%</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1,4%</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1,3–1,4%</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0,8%</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0,7–0,8%</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1,0%</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0,7–0,9%</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0,1%</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0,1%</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0,9%</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1,3%</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1,3–1,4%</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1,1%</w:t>
                  </w:r>
                </w:p>
              </w:tc>
              <w:tc>
                <w:tcPr>
                  <w:tcW w:w="687"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1,1–1,2%</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1,2%</w:t>
                  </w:r>
                </w:p>
              </w:tc>
              <w:tc>
                <w:tcPr>
                  <w:tcW w:w="687"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0,8–1%</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0,8%</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w:t>
                  </w:r>
                </w:p>
              </w:tc>
            </w:tr>
            <w:tr w:rsidR="009A25A0" w:rsidRPr="00881766" w:rsidTr="004F2ADF">
              <w:trPr>
                <w:trHeight w:val="227"/>
              </w:trPr>
              <w:tc>
                <w:tcPr>
                  <w:tcW w:w="2653"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0,4%</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0,5%</w:t>
                  </w:r>
                </w:p>
              </w:tc>
              <w:tc>
                <w:tcPr>
                  <w:tcW w:w="39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8"/>
                      <w:szCs w:val="18"/>
                      <w:lang w:eastAsia="en-US"/>
                    </w:rPr>
                  </w:pPr>
                  <w:r w:rsidRPr="00881766">
                    <w:rPr>
                      <w:bCs/>
                      <w:sz w:val="18"/>
                      <w:szCs w:val="18"/>
                      <w:lang w:eastAsia="en-US"/>
                    </w:rPr>
                    <w:t>0,4%</w:t>
                  </w:r>
                </w:p>
              </w:tc>
              <w:tc>
                <w:tcPr>
                  <w:tcW w:w="687"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0,4–0,5%</w:t>
                  </w:r>
                </w:p>
              </w:tc>
            </w:tr>
          </w:tbl>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791"/>
              <w:gridCol w:w="791"/>
              <w:gridCol w:w="791"/>
              <w:gridCol w:w="878"/>
              <w:gridCol w:w="1108"/>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Земельный налог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166"/>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0,3%</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0,3–0,5%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lastRenderedPageBreak/>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4,8%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3,3%</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0,4–0,5%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0,3%</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0,3–0,4%</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0,7%</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0,7–0,9%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0,2%</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0,5–0,7%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0,1–0,3%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5A0" w:rsidRPr="00881766" w:rsidRDefault="009A25A0" w:rsidP="004F2ADF">
                  <w:pPr>
                    <w:jc w:val="center"/>
                    <w:rPr>
                      <w:bCs/>
                      <w:sz w:val="18"/>
                      <w:szCs w:val="18"/>
                      <w:lang w:eastAsia="en-US"/>
                    </w:rPr>
                  </w:pPr>
                  <w:r w:rsidRPr="00881766">
                    <w:rPr>
                      <w:bCs/>
                      <w:sz w:val="18"/>
                      <w:szCs w:val="18"/>
                      <w:lang w:eastAsia="en-US"/>
                    </w:rPr>
                    <w:t>0,2%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0,2–0,3%</w:t>
                  </w:r>
                </w:p>
              </w:tc>
            </w:tr>
            <w:tr w:rsidR="009A25A0" w:rsidRPr="00881766" w:rsidTr="004F2ADF">
              <w:trPr>
                <w:trHeight w:val="227"/>
              </w:trPr>
              <w:tc>
                <w:tcPr>
                  <w:tcW w:w="2140" w:type="pct"/>
                  <w:tcBorders>
                    <w:top w:val="single" w:sz="4" w:space="0" w:color="auto"/>
                    <w:left w:val="nil"/>
                    <w:bottom w:val="single" w:sz="4" w:space="0" w:color="auto"/>
                    <w:right w:val="nil"/>
                  </w:tcBorders>
                  <w:noWrap/>
                  <w:vAlign w:val="bottom"/>
                </w:tcPr>
                <w:p w:rsidR="009A25A0" w:rsidRPr="00881766" w:rsidRDefault="009A25A0" w:rsidP="004F2ADF">
                  <w:pPr>
                    <w:rPr>
                      <w:bCs/>
                      <w:sz w:val="18"/>
                      <w:szCs w:val="18"/>
                      <w:lang w:eastAsia="en-US"/>
                    </w:rPr>
                  </w:pPr>
                </w:p>
              </w:tc>
              <w:tc>
                <w:tcPr>
                  <w:tcW w:w="5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19"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576" w:type="pct"/>
                  <w:tcBorders>
                    <w:top w:val="single" w:sz="4" w:space="0" w:color="auto"/>
                    <w:left w:val="nil"/>
                    <w:bottom w:val="single" w:sz="4" w:space="0" w:color="auto"/>
                    <w:right w:val="nil"/>
                  </w:tcBorders>
                  <w:vAlign w:val="bottom"/>
                </w:tcPr>
                <w:p w:rsidR="009A25A0" w:rsidRPr="00881766" w:rsidRDefault="009A25A0" w:rsidP="004F2ADF">
                  <w:pPr>
                    <w:jc w:val="center"/>
                    <w:rPr>
                      <w:bCs/>
                      <w:sz w:val="18"/>
                      <w:szCs w:val="18"/>
                      <w:lang w:eastAsia="en-US"/>
                    </w:rPr>
                  </w:pPr>
                </w:p>
              </w:tc>
              <w:tc>
                <w:tcPr>
                  <w:tcW w:w="728" w:type="pct"/>
                  <w:tcBorders>
                    <w:top w:val="single" w:sz="4" w:space="0" w:color="auto"/>
                    <w:left w:val="nil"/>
                    <w:bottom w:val="single" w:sz="4" w:space="0" w:color="auto"/>
                    <w:right w:val="nil"/>
                  </w:tcBorders>
                </w:tcPr>
                <w:p w:rsidR="009A25A0" w:rsidRPr="00881766" w:rsidRDefault="009A25A0" w:rsidP="004F2ADF">
                  <w:pPr>
                    <w:jc w:val="center"/>
                    <w:rPr>
                      <w:bCs/>
                      <w:sz w:val="18"/>
                      <w:szCs w:val="18"/>
                      <w:lang w:eastAsia="en-US"/>
                    </w:rPr>
                  </w:pPr>
                </w:p>
              </w:tc>
            </w:tr>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Акцизы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2022 год</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0,5–0,6%</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0,9%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8"/>
                      <w:szCs w:val="18"/>
                      <w:lang w:eastAsia="en-US"/>
                    </w:rPr>
                  </w:pPr>
                  <w:r w:rsidRPr="00881766">
                    <w:rPr>
                      <w:bCs/>
                      <w:sz w:val="18"/>
                      <w:szCs w:val="18"/>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1–1,3%</w:t>
                  </w:r>
                </w:p>
              </w:tc>
            </w:tr>
          </w:tbl>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791"/>
              <w:gridCol w:w="791"/>
              <w:gridCol w:w="791"/>
              <w:gridCol w:w="878"/>
              <w:gridCol w:w="1108"/>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Прочие налоги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2–2,1%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11,5%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5,5–7%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0,7%</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0,6–0,7%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1,8%</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2–2,1%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1,3%</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lastRenderedPageBreak/>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0,6%</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0,4–0,5%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2,1%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1,9–2,2%</w:t>
                  </w:r>
                </w:p>
              </w:tc>
            </w:tr>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Всего налоги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27,8%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23,6%</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23–25%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52,9%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24,5%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15–17%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25,1%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26,4%</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27–29%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17,2%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15–17%</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17,5%</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18–20%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7,1%</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7,5–8%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34,2%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20,2%</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22–30%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21,0%</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21–23%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18,3%</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17–21%</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18,0%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16–20%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12,0%</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39,1%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11,7%</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sz w:val="18"/>
                      <w:szCs w:val="18"/>
                      <w:lang w:eastAsia="en-US"/>
                    </w:rPr>
                  </w:pPr>
                  <w:r w:rsidRPr="00881766">
                    <w:rPr>
                      <w:sz w:val="18"/>
                      <w:szCs w:val="18"/>
                      <w:lang w:eastAsia="en-US"/>
                    </w:rPr>
                    <w:t>12–20%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13,3%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8"/>
                      <w:szCs w:val="18"/>
                      <w:lang w:eastAsia="en-US"/>
                    </w:rPr>
                  </w:pPr>
                  <w:r w:rsidRPr="00881766">
                    <w:rPr>
                      <w:bCs/>
                      <w:sz w:val="18"/>
                      <w:szCs w:val="18"/>
                      <w:lang w:eastAsia="en-US"/>
                    </w:rPr>
                    <w:t>12,9%</w:t>
                  </w:r>
                </w:p>
              </w:tc>
              <w:tc>
                <w:tcPr>
                  <w:tcW w:w="728" w:type="pct"/>
                  <w:tcBorders>
                    <w:top w:val="single" w:sz="4" w:space="0" w:color="auto"/>
                    <w:left w:val="single" w:sz="4" w:space="0" w:color="auto"/>
                    <w:bottom w:val="single" w:sz="4" w:space="0" w:color="auto"/>
                    <w:right w:val="single" w:sz="4" w:space="0" w:color="auto"/>
                  </w:tcBorders>
                  <w:hideMark/>
                </w:tcPr>
                <w:p w:rsidR="009A25A0" w:rsidRPr="00881766" w:rsidRDefault="009A25A0" w:rsidP="004F2ADF">
                  <w:pPr>
                    <w:jc w:val="center"/>
                    <w:rPr>
                      <w:bCs/>
                      <w:sz w:val="18"/>
                      <w:szCs w:val="18"/>
                      <w:lang w:eastAsia="en-US"/>
                    </w:rPr>
                  </w:pPr>
                  <w:r w:rsidRPr="00881766">
                    <w:rPr>
                      <w:bCs/>
                      <w:sz w:val="18"/>
                      <w:szCs w:val="18"/>
                      <w:lang w:eastAsia="en-US"/>
                    </w:rPr>
                    <w:t>13,5–14%</w:t>
                  </w:r>
                </w:p>
              </w:tc>
            </w:tr>
          </w:tbl>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791"/>
              <w:gridCol w:w="791"/>
              <w:gridCol w:w="791"/>
              <w:gridCol w:w="878"/>
              <w:gridCol w:w="1108"/>
            </w:tblGrid>
            <w:tr w:rsidR="009A25A0" w:rsidRPr="00881766" w:rsidTr="004F2ADF">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Налоги без подоходного налога и обязательного страхового взноса к валовой добавленной стоимости</w:t>
                  </w:r>
                </w:p>
              </w:tc>
            </w:tr>
            <w:tr w:rsidR="009A25A0" w:rsidRPr="00881766" w:rsidTr="004F2ADF">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rPr>
                      <w:sz w:val="18"/>
                      <w:szCs w:val="18"/>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9A25A0" w:rsidRPr="00881766" w:rsidRDefault="009A25A0" w:rsidP="004F2ADF">
                  <w:pPr>
                    <w:jc w:val="center"/>
                    <w:rPr>
                      <w:sz w:val="18"/>
                      <w:szCs w:val="18"/>
                      <w:lang w:eastAsia="en-US"/>
                    </w:rPr>
                  </w:pPr>
                  <w:r w:rsidRPr="00881766">
                    <w:rPr>
                      <w:sz w:val="18"/>
                      <w:szCs w:val="18"/>
                      <w:lang w:eastAsia="en-US"/>
                    </w:rPr>
                    <w:t>Целевые ориентиры</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23,4%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19,8%</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21–22%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39,5%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19,6%</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20,5%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21,1%</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22–23%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11,8%</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12,9%</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11–12%</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15,2%</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13,8%</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15–16%</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7,3%</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6,7%</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7–7,5%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28,6%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26,7%</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19,0%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16,0%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18–19%</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16,6%</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17–18%</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16,2%</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13,4%</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13,9%</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14–15%</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13,9%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15,5%</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14,0%</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12–13%</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sz w:val="18"/>
                      <w:szCs w:val="18"/>
                      <w:lang w:eastAsia="en-US"/>
                    </w:rPr>
                  </w:pPr>
                  <w:r w:rsidRPr="00881766">
                    <w:rPr>
                      <w:sz w:val="18"/>
                      <w:szCs w:val="18"/>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6,6%</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8,9%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31,6%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sz w:val="18"/>
                      <w:szCs w:val="18"/>
                      <w:lang w:eastAsia="en-US"/>
                    </w:rPr>
                  </w:pPr>
                  <w:r w:rsidRPr="00881766">
                    <w:rPr>
                      <w:sz w:val="18"/>
                      <w:szCs w:val="18"/>
                      <w:lang w:eastAsia="en-US"/>
                    </w:rPr>
                    <w:t>9,4%</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sz w:val="18"/>
                      <w:szCs w:val="18"/>
                      <w:lang w:eastAsia="en-US"/>
                    </w:rPr>
                  </w:pPr>
                  <w:r w:rsidRPr="00881766">
                    <w:rPr>
                      <w:sz w:val="18"/>
                      <w:szCs w:val="18"/>
                      <w:lang w:eastAsia="en-US"/>
                    </w:rPr>
                    <w:t>9–10%</w:t>
                  </w:r>
                </w:p>
              </w:tc>
            </w:tr>
            <w:tr w:rsidR="009A25A0" w:rsidRPr="00881766" w:rsidTr="004F2ADF">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9A25A0" w:rsidRPr="00881766" w:rsidRDefault="009A25A0" w:rsidP="004F2ADF">
                  <w:pPr>
                    <w:rPr>
                      <w:b/>
                      <w:bCs/>
                      <w:sz w:val="18"/>
                      <w:szCs w:val="18"/>
                      <w:lang w:eastAsia="en-US"/>
                    </w:rPr>
                  </w:pPr>
                  <w:r w:rsidRPr="00881766">
                    <w:rPr>
                      <w:bCs/>
                      <w:sz w:val="18"/>
                      <w:szCs w:val="18"/>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9A25A0" w:rsidRPr="00881766" w:rsidRDefault="009A25A0" w:rsidP="004F2ADF">
                  <w:pPr>
                    <w:jc w:val="center"/>
                    <w:rPr>
                      <w:bCs/>
                      <w:sz w:val="18"/>
                      <w:szCs w:val="18"/>
                      <w:lang w:eastAsia="en-US"/>
                    </w:rPr>
                  </w:pPr>
                  <w:r w:rsidRPr="00881766">
                    <w:rPr>
                      <w:bCs/>
                      <w:sz w:val="18"/>
                      <w:szCs w:val="18"/>
                      <w:lang w:eastAsia="en-US"/>
                    </w:rPr>
                    <w:t>11,1%</w:t>
                  </w:r>
                </w:p>
              </w:tc>
              <w:tc>
                <w:tcPr>
                  <w:tcW w:w="728" w:type="pct"/>
                  <w:tcBorders>
                    <w:top w:val="single" w:sz="4" w:space="0" w:color="auto"/>
                    <w:left w:val="single" w:sz="4" w:space="0" w:color="auto"/>
                    <w:bottom w:val="single" w:sz="4" w:space="0" w:color="auto"/>
                    <w:right w:val="single" w:sz="4" w:space="0" w:color="auto"/>
                  </w:tcBorders>
                  <w:vAlign w:val="bottom"/>
                  <w:hideMark/>
                </w:tcPr>
                <w:p w:rsidR="009A25A0" w:rsidRPr="00881766" w:rsidRDefault="009A25A0" w:rsidP="004F2ADF">
                  <w:pPr>
                    <w:jc w:val="center"/>
                    <w:rPr>
                      <w:bCs/>
                      <w:sz w:val="18"/>
                      <w:szCs w:val="18"/>
                      <w:lang w:eastAsia="en-US"/>
                    </w:rPr>
                  </w:pPr>
                  <w:r w:rsidRPr="00881766">
                    <w:rPr>
                      <w:bCs/>
                      <w:sz w:val="18"/>
                      <w:szCs w:val="18"/>
                      <w:lang w:eastAsia="en-US"/>
                    </w:rPr>
                    <w:t>11–12%</w:t>
                  </w:r>
                </w:p>
              </w:tc>
            </w:tr>
          </w:tbl>
          <w:p w:rsidR="009A25A0" w:rsidRPr="00881766" w:rsidRDefault="009A25A0" w:rsidP="004F2ADF">
            <w:pPr>
              <w:rPr>
                <w:sz w:val="18"/>
                <w:szCs w:val="18"/>
              </w:rPr>
            </w:pPr>
          </w:p>
          <w:p w:rsidR="009A25A0" w:rsidRPr="00881766" w:rsidRDefault="009A25A0" w:rsidP="004F2ADF">
            <w:pPr>
              <w:tabs>
                <w:tab w:val="left" w:pos="916"/>
                <w:tab w:val="left" w:pos="1832"/>
                <w:tab w:val="left" w:pos="2748"/>
                <w:tab w:val="left" w:pos="3664"/>
                <w:tab w:val="left" w:pos="4580"/>
                <w:tab w:val="left" w:pos="5496"/>
                <w:tab w:val="left" w:pos="6412"/>
                <w:tab w:val="left" w:pos="7328"/>
                <w:tab w:val="left" w:pos="8244"/>
                <w:tab w:val="left" w:pos="8848"/>
              </w:tabs>
              <w:jc w:val="center"/>
              <w:rPr>
                <w:sz w:val="18"/>
                <w:szCs w:val="18"/>
              </w:rPr>
            </w:pPr>
          </w:p>
        </w:tc>
      </w:tr>
    </w:tbl>
    <w:p w:rsidR="009A25A0" w:rsidRDefault="009A25A0" w:rsidP="009A25A0">
      <w:pPr>
        <w:tabs>
          <w:tab w:val="left" w:pos="916"/>
          <w:tab w:val="left" w:pos="1832"/>
          <w:tab w:val="left" w:pos="2748"/>
          <w:tab w:val="left" w:pos="3664"/>
          <w:tab w:val="left" w:pos="4580"/>
          <w:tab w:val="left" w:pos="5496"/>
          <w:tab w:val="left" w:pos="6412"/>
          <w:tab w:val="left" w:pos="7328"/>
          <w:tab w:val="left" w:pos="8244"/>
          <w:tab w:val="left" w:pos="8848"/>
        </w:tabs>
        <w:rPr>
          <w:sz w:val="28"/>
          <w:szCs w:val="28"/>
        </w:rPr>
      </w:pPr>
    </w:p>
    <w:sectPr w:rsidR="009A25A0" w:rsidSect="006F7B86">
      <w:pgSz w:w="16838" w:h="11906" w:orient="landscape"/>
      <w:pgMar w:top="567"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98C"/>
    <w:multiLevelType w:val="hybridMultilevel"/>
    <w:tmpl w:val="0B089104"/>
    <w:lvl w:ilvl="0" w:tplc="100CFEA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012435"/>
    <w:multiLevelType w:val="hybridMultilevel"/>
    <w:tmpl w:val="50564B2A"/>
    <w:lvl w:ilvl="0" w:tplc="C77C60EE">
      <w:start w:val="1"/>
      <w:numFmt w:val="russianLower"/>
      <w:suff w:val="space"/>
      <w:lvlText w:val="%1)"/>
      <w:lvlJc w:val="left"/>
      <w:pPr>
        <w:ind w:left="114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 w15:restartNumberingAfterBreak="0">
    <w:nsid w:val="4B3C0163"/>
    <w:multiLevelType w:val="hybridMultilevel"/>
    <w:tmpl w:val="D3D0718C"/>
    <w:lvl w:ilvl="0" w:tplc="60483638">
      <w:start w:val="1"/>
      <w:numFmt w:val="russianLower"/>
      <w:suff w:val="space"/>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 w15:restartNumberingAfterBreak="0">
    <w:nsid w:val="6FDD3774"/>
    <w:multiLevelType w:val="hybridMultilevel"/>
    <w:tmpl w:val="8752B8C4"/>
    <w:lvl w:ilvl="0" w:tplc="1EA4F954">
      <w:start w:val="1"/>
      <w:numFmt w:val="russianLower"/>
      <w:suff w:val="space"/>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97"/>
    <w:rsid w:val="004539E3"/>
    <w:rsid w:val="00456264"/>
    <w:rsid w:val="00486797"/>
    <w:rsid w:val="005E4AD4"/>
    <w:rsid w:val="006F5314"/>
    <w:rsid w:val="006F7B86"/>
    <w:rsid w:val="007605FB"/>
    <w:rsid w:val="00872767"/>
    <w:rsid w:val="009A25A0"/>
    <w:rsid w:val="00D21829"/>
    <w:rsid w:val="00D7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82BF"/>
  <w15:chartTrackingRefBased/>
  <w15:docId w15:val="{5479E782-D15C-4A4C-8028-322B574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25A0"/>
    <w:pPr>
      <w:keepNext/>
      <w:spacing w:before="240" w:after="60"/>
      <w:outlineLvl w:val="0"/>
    </w:pPr>
    <w:rPr>
      <w:rFonts w:ascii="Calibri Light" w:hAnsi="Calibri Light"/>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5A0"/>
    <w:rPr>
      <w:rFonts w:ascii="Calibri Light" w:eastAsia="Times New Roman" w:hAnsi="Calibri Light" w:cs="Times New Roman"/>
      <w:b/>
      <w:bCs/>
      <w:color w:val="2F5496"/>
      <w:sz w:val="28"/>
      <w:szCs w:val="28"/>
      <w:lang w:eastAsia="ru-RU"/>
    </w:rPr>
  </w:style>
  <w:style w:type="table" w:styleId="a3">
    <w:name w:val="Table Grid"/>
    <w:basedOn w:val="a1"/>
    <w:rsid w:val="009A25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A25A0"/>
    <w:rPr>
      <w:rFonts w:ascii="Tahoma" w:hAnsi="Tahoma" w:cs="Tahoma"/>
      <w:sz w:val="16"/>
      <w:szCs w:val="16"/>
    </w:rPr>
  </w:style>
  <w:style w:type="character" w:customStyle="1" w:styleId="a5">
    <w:name w:val="Текст выноски Знак"/>
    <w:basedOn w:val="a0"/>
    <w:link w:val="a4"/>
    <w:uiPriority w:val="99"/>
    <w:semiHidden/>
    <w:rsid w:val="009A25A0"/>
    <w:rPr>
      <w:rFonts w:ascii="Tahoma" w:eastAsia="Times New Roman" w:hAnsi="Tahoma" w:cs="Tahoma"/>
      <w:sz w:val="16"/>
      <w:szCs w:val="16"/>
      <w:lang w:eastAsia="ru-RU"/>
    </w:rPr>
  </w:style>
  <w:style w:type="paragraph" w:customStyle="1" w:styleId="11">
    <w:name w:val="Заголовок 11"/>
    <w:basedOn w:val="a"/>
    <w:next w:val="a"/>
    <w:uiPriority w:val="9"/>
    <w:qFormat/>
    <w:rsid w:val="009A25A0"/>
    <w:pPr>
      <w:keepNext/>
      <w:keepLines/>
      <w:spacing w:before="480"/>
      <w:outlineLvl w:val="0"/>
    </w:pPr>
    <w:rPr>
      <w:rFonts w:ascii="Calibri Light" w:hAnsi="Calibri Light"/>
      <w:b/>
      <w:bCs/>
      <w:color w:val="2F5496"/>
      <w:sz w:val="28"/>
      <w:szCs w:val="28"/>
    </w:rPr>
  </w:style>
  <w:style w:type="character" w:styleId="a6">
    <w:name w:val="Hyperlink"/>
    <w:uiPriority w:val="99"/>
    <w:unhideWhenUsed/>
    <w:rsid w:val="009A25A0"/>
    <w:rPr>
      <w:color w:val="0000FF"/>
      <w:u w:val="single"/>
    </w:rPr>
  </w:style>
  <w:style w:type="character" w:customStyle="1" w:styleId="12">
    <w:name w:val="Просмотренная гиперссылка1"/>
    <w:uiPriority w:val="99"/>
    <w:semiHidden/>
    <w:unhideWhenUsed/>
    <w:rsid w:val="009A25A0"/>
    <w:rPr>
      <w:color w:val="954F72"/>
      <w:u w:val="single"/>
    </w:rPr>
  </w:style>
  <w:style w:type="paragraph" w:styleId="HTML">
    <w:name w:val="HTML Preformatted"/>
    <w:link w:val="HTML0"/>
    <w:unhideWhenUsed/>
    <w:rsid w:val="009A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Arial Unicode MS" w:eastAsia="Arial Unicode MS" w:hAnsi="Arial Unicode MS" w:cs="Arial Unicode MS"/>
      <w:color w:val="000000"/>
      <w:sz w:val="20"/>
      <w:szCs w:val="20"/>
      <w:u w:color="000000"/>
      <w:lang w:eastAsia="ru-RU"/>
    </w:rPr>
  </w:style>
  <w:style w:type="character" w:customStyle="1" w:styleId="HTML0">
    <w:name w:val="Стандартный HTML Знак"/>
    <w:basedOn w:val="a0"/>
    <w:link w:val="HTML"/>
    <w:rsid w:val="009A25A0"/>
    <w:rPr>
      <w:rFonts w:ascii="Arial Unicode MS" w:eastAsia="Arial Unicode MS" w:hAnsi="Arial Unicode MS" w:cs="Arial Unicode MS"/>
      <w:color w:val="000000"/>
      <w:sz w:val="20"/>
      <w:szCs w:val="20"/>
      <w:u w:color="000000"/>
      <w:lang w:eastAsia="ru-RU"/>
    </w:rPr>
  </w:style>
  <w:style w:type="paragraph" w:styleId="a7">
    <w:name w:val="Normal (Web)"/>
    <w:basedOn w:val="a"/>
    <w:uiPriority w:val="99"/>
    <w:unhideWhenUsed/>
    <w:rsid w:val="009A25A0"/>
    <w:pPr>
      <w:spacing w:before="100" w:beforeAutospacing="1" w:after="100" w:afterAutospacing="1"/>
    </w:pPr>
  </w:style>
  <w:style w:type="paragraph" w:styleId="a8">
    <w:name w:val="footnote text"/>
    <w:basedOn w:val="a"/>
    <w:link w:val="a9"/>
    <w:uiPriority w:val="99"/>
    <w:unhideWhenUsed/>
    <w:rsid w:val="009A25A0"/>
    <w:rPr>
      <w:sz w:val="20"/>
      <w:szCs w:val="20"/>
    </w:rPr>
  </w:style>
  <w:style w:type="character" w:customStyle="1" w:styleId="a9">
    <w:name w:val="Текст сноски Знак"/>
    <w:basedOn w:val="a0"/>
    <w:link w:val="a8"/>
    <w:uiPriority w:val="99"/>
    <w:rsid w:val="009A25A0"/>
    <w:rPr>
      <w:rFonts w:ascii="Times New Roman" w:eastAsia="Times New Roman" w:hAnsi="Times New Roman" w:cs="Times New Roman"/>
      <w:sz w:val="20"/>
      <w:szCs w:val="20"/>
      <w:lang w:eastAsia="ru-RU"/>
    </w:rPr>
  </w:style>
  <w:style w:type="paragraph" w:styleId="aa">
    <w:name w:val="annotation text"/>
    <w:basedOn w:val="a"/>
    <w:link w:val="ab"/>
    <w:uiPriority w:val="99"/>
    <w:unhideWhenUsed/>
    <w:rsid w:val="009A25A0"/>
    <w:rPr>
      <w:sz w:val="20"/>
      <w:szCs w:val="20"/>
    </w:rPr>
  </w:style>
  <w:style w:type="character" w:customStyle="1" w:styleId="ab">
    <w:name w:val="Текст примечания Знак"/>
    <w:basedOn w:val="a0"/>
    <w:link w:val="aa"/>
    <w:uiPriority w:val="99"/>
    <w:rsid w:val="009A25A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9A25A0"/>
    <w:pPr>
      <w:tabs>
        <w:tab w:val="center" w:pos="4677"/>
        <w:tab w:val="right" w:pos="9355"/>
      </w:tabs>
    </w:pPr>
  </w:style>
  <w:style w:type="character" w:customStyle="1" w:styleId="ad">
    <w:name w:val="Верхний колонтитул Знак"/>
    <w:basedOn w:val="a0"/>
    <w:link w:val="ac"/>
    <w:uiPriority w:val="99"/>
    <w:rsid w:val="009A25A0"/>
    <w:rPr>
      <w:rFonts w:ascii="Times New Roman" w:eastAsia="Times New Roman" w:hAnsi="Times New Roman" w:cs="Times New Roman"/>
      <w:sz w:val="24"/>
      <w:szCs w:val="24"/>
      <w:lang w:eastAsia="ru-RU"/>
    </w:rPr>
  </w:style>
  <w:style w:type="paragraph" w:styleId="ae">
    <w:name w:val="Body Text"/>
    <w:link w:val="af"/>
    <w:uiPriority w:val="99"/>
    <w:unhideWhenUsed/>
    <w:rsid w:val="009A25A0"/>
    <w:pPr>
      <w:spacing w:after="120" w:line="240" w:lineRule="auto"/>
      <w:ind w:firstLine="709"/>
      <w:jc w:val="both"/>
    </w:pPr>
    <w:rPr>
      <w:rFonts w:ascii="Arial Unicode MS" w:eastAsia="Arial Unicode MS" w:hAnsi="Arial Unicode MS" w:cs="Arial Unicode MS"/>
      <w:color w:val="000000"/>
      <w:sz w:val="28"/>
      <w:szCs w:val="28"/>
      <w:u w:color="000000"/>
      <w:lang w:eastAsia="ru-RU"/>
    </w:rPr>
  </w:style>
  <w:style w:type="character" w:customStyle="1" w:styleId="af">
    <w:name w:val="Основной текст Знак"/>
    <w:basedOn w:val="a0"/>
    <w:link w:val="ae"/>
    <w:uiPriority w:val="99"/>
    <w:rsid w:val="009A25A0"/>
    <w:rPr>
      <w:rFonts w:ascii="Arial Unicode MS" w:eastAsia="Arial Unicode MS" w:hAnsi="Arial Unicode MS" w:cs="Arial Unicode MS"/>
      <w:color w:val="000000"/>
      <w:sz w:val="28"/>
      <w:szCs w:val="28"/>
      <w:u w:color="000000"/>
      <w:lang w:eastAsia="ru-RU"/>
    </w:rPr>
  </w:style>
  <w:style w:type="character" w:customStyle="1" w:styleId="3">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locked/>
    <w:rsid w:val="009A25A0"/>
    <w:rPr>
      <w:rFonts w:ascii="Courier New" w:eastAsia="Times New Roman" w:hAnsi="Courier New" w:cs="Courier New" w:hint="default"/>
      <w:sz w:val="20"/>
      <w:szCs w:val="20"/>
      <w:lang w:eastAsia="ru-RU"/>
    </w:rPr>
  </w:style>
  <w:style w:type="paragraph" w:customStyle="1" w:styleId="13">
    <w:name w:val="Текст1"/>
    <w:aliases w:val="Текст Знак1 Знак,Текст Знак Знак Знак,Знак Знак Знак Знак,Знак,Текст Знак1,Знак Знак Знак,Текст Знак2,Текст Знак1 Знак Знак,Текст Знак Знак Знак Знак,Знак Знак Знак Знак Знак,Зна,1"/>
    <w:basedOn w:val="a"/>
    <w:rsid w:val="009A25A0"/>
    <w:rPr>
      <w:rFonts w:ascii="Courier New" w:hAnsi="Courier New" w:cs="Courier New"/>
      <w:sz w:val="20"/>
      <w:szCs w:val="20"/>
    </w:rPr>
  </w:style>
  <w:style w:type="paragraph" w:styleId="af0">
    <w:name w:val="annotation subject"/>
    <w:basedOn w:val="aa"/>
    <w:next w:val="aa"/>
    <w:link w:val="af1"/>
    <w:uiPriority w:val="99"/>
    <w:unhideWhenUsed/>
    <w:rsid w:val="009A25A0"/>
    <w:rPr>
      <w:b/>
      <w:bCs/>
    </w:rPr>
  </w:style>
  <w:style w:type="character" w:customStyle="1" w:styleId="af1">
    <w:name w:val="Тема примечания Знак"/>
    <w:basedOn w:val="ab"/>
    <w:link w:val="af0"/>
    <w:uiPriority w:val="99"/>
    <w:rsid w:val="009A25A0"/>
    <w:rPr>
      <w:rFonts w:ascii="Times New Roman" w:eastAsia="Times New Roman" w:hAnsi="Times New Roman" w:cs="Times New Roman"/>
      <w:b/>
      <w:bCs/>
      <w:sz w:val="20"/>
      <w:szCs w:val="20"/>
      <w:lang w:eastAsia="ru-RU"/>
    </w:rPr>
  </w:style>
  <w:style w:type="paragraph" w:styleId="af2">
    <w:name w:val="List Paragraph"/>
    <w:basedOn w:val="a"/>
    <w:uiPriority w:val="34"/>
    <w:qFormat/>
    <w:rsid w:val="009A25A0"/>
    <w:pPr>
      <w:ind w:left="720"/>
      <w:contextualSpacing/>
    </w:pPr>
  </w:style>
  <w:style w:type="character" w:customStyle="1" w:styleId="4">
    <w:name w:val="Основной текст (4)_"/>
    <w:link w:val="41"/>
    <w:uiPriority w:val="99"/>
    <w:locked/>
    <w:rsid w:val="009A25A0"/>
    <w:rPr>
      <w:sz w:val="26"/>
      <w:szCs w:val="26"/>
      <w:shd w:val="clear" w:color="auto" w:fill="FFFFFF"/>
    </w:rPr>
  </w:style>
  <w:style w:type="paragraph" w:customStyle="1" w:styleId="41">
    <w:name w:val="Основной текст (4)1"/>
    <w:basedOn w:val="a"/>
    <w:link w:val="4"/>
    <w:uiPriority w:val="99"/>
    <w:rsid w:val="009A25A0"/>
    <w:pPr>
      <w:shd w:val="clear" w:color="auto" w:fill="FFFFFF"/>
      <w:spacing w:before="720" w:after="360" w:line="240" w:lineRule="atLeast"/>
    </w:pPr>
    <w:rPr>
      <w:rFonts w:asciiTheme="minorHAnsi" w:eastAsiaTheme="minorHAnsi" w:hAnsiTheme="minorHAnsi" w:cstheme="minorBidi"/>
      <w:sz w:val="26"/>
      <w:szCs w:val="26"/>
      <w:lang w:eastAsia="en-US"/>
    </w:rPr>
  </w:style>
  <w:style w:type="character" w:styleId="af3">
    <w:name w:val="footnote reference"/>
    <w:uiPriority w:val="99"/>
    <w:unhideWhenUsed/>
    <w:rsid w:val="009A25A0"/>
    <w:rPr>
      <w:vertAlign w:val="superscript"/>
    </w:rPr>
  </w:style>
  <w:style w:type="character" w:styleId="af4">
    <w:name w:val="annotation reference"/>
    <w:uiPriority w:val="99"/>
    <w:unhideWhenUsed/>
    <w:rsid w:val="009A25A0"/>
    <w:rPr>
      <w:sz w:val="16"/>
      <w:szCs w:val="16"/>
    </w:rPr>
  </w:style>
  <w:style w:type="character" w:customStyle="1" w:styleId="af5">
    <w:name w:val="Текст Знак"/>
    <w:uiPriority w:val="99"/>
    <w:semiHidden/>
    <w:rsid w:val="009A25A0"/>
    <w:rPr>
      <w:rFonts w:ascii="Consolas" w:eastAsia="Times New Roman" w:hAnsi="Consolas" w:hint="default"/>
      <w:sz w:val="21"/>
      <w:szCs w:val="21"/>
      <w:lang w:eastAsia="ru-RU"/>
    </w:rPr>
  </w:style>
  <w:style w:type="character" w:customStyle="1" w:styleId="morecontent">
    <w:name w:val="morecontent"/>
    <w:rsid w:val="009A25A0"/>
  </w:style>
  <w:style w:type="character" w:customStyle="1" w:styleId="14">
    <w:name w:val="Основной текст Знак1"/>
    <w:uiPriority w:val="99"/>
    <w:rsid w:val="009A25A0"/>
    <w:rPr>
      <w:rFonts w:ascii="Times New Roman" w:hAnsi="Times New Roman" w:cs="Times New Roman" w:hint="default"/>
      <w:strike w:val="0"/>
      <w:dstrike w:val="0"/>
      <w:spacing w:val="-6"/>
      <w:sz w:val="23"/>
      <w:szCs w:val="23"/>
      <w:u w:val="none"/>
      <w:effect w:val="none"/>
    </w:rPr>
  </w:style>
  <w:style w:type="character" w:customStyle="1" w:styleId="apple-converted-space">
    <w:name w:val="apple-converted-space"/>
    <w:rsid w:val="009A25A0"/>
  </w:style>
  <w:style w:type="table" w:customStyle="1" w:styleId="15">
    <w:name w:val="Сетка таблицы1"/>
    <w:basedOn w:val="a1"/>
    <w:next w:val="a3"/>
    <w:uiPriority w:val="39"/>
    <w:rsid w:val="009A25A0"/>
    <w:pPr>
      <w:spacing w:after="0" w:line="240" w:lineRule="auto"/>
    </w:pPr>
    <w:rPr>
      <w:rFonts w:ascii="Times New Roman" w:eastAsia="Calibri" w:hAnsi="Times New Roman" w:cs="Times New Roman"/>
      <w:sz w:val="28"/>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rsid w:val="009A25A0"/>
    <w:rPr>
      <w:rFonts w:ascii="Calibri Light" w:eastAsia="Times New Roman" w:hAnsi="Calibri Light" w:cs="Times New Roman"/>
      <w:b/>
      <w:bCs/>
      <w:kern w:val="32"/>
      <w:sz w:val="32"/>
      <w:szCs w:val="32"/>
    </w:rPr>
  </w:style>
  <w:style w:type="character" w:styleId="af6">
    <w:name w:val="FollowedHyperlink"/>
    <w:rsid w:val="009A25A0"/>
    <w:rPr>
      <w:color w:val="954F72"/>
      <w:u w:val="single"/>
    </w:rPr>
  </w:style>
  <w:style w:type="paragraph" w:styleId="af7">
    <w:name w:val="footer"/>
    <w:basedOn w:val="a"/>
    <w:link w:val="af8"/>
    <w:rsid w:val="009A25A0"/>
    <w:pPr>
      <w:tabs>
        <w:tab w:val="center" w:pos="4677"/>
        <w:tab w:val="right" w:pos="9355"/>
      </w:tabs>
    </w:pPr>
  </w:style>
  <w:style w:type="character" w:customStyle="1" w:styleId="af8">
    <w:name w:val="Нижний колонтитул Знак"/>
    <w:basedOn w:val="a0"/>
    <w:link w:val="af7"/>
    <w:rsid w:val="009A25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5877</Words>
  <Characters>33501</Characters>
  <Application>Microsoft Office Word</Application>
  <DocSecurity>0</DocSecurity>
  <Lines>279</Lines>
  <Paragraphs>78</Paragraphs>
  <ScaleCrop>false</ScaleCrop>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Бушманова Ирина Владимировна</dc:creator>
  <cp:keywords/>
  <dc:description/>
  <cp:lastModifiedBy>Бушманова Ирина Владимировна</cp:lastModifiedBy>
  <cp:revision>10</cp:revision>
  <dcterms:created xsi:type="dcterms:W3CDTF">2023-08-24T11:45:00Z</dcterms:created>
  <dcterms:modified xsi:type="dcterms:W3CDTF">2023-08-24T12:00:00Z</dcterms:modified>
</cp:coreProperties>
</file>