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15" w:rsidRPr="00A24902" w:rsidRDefault="00864915" w:rsidP="00864915">
      <w:pPr>
        <w:jc w:val="center"/>
        <w:outlineLvl w:val="0"/>
        <w:rPr>
          <w:b/>
          <w:sz w:val="28"/>
          <w:szCs w:val="28"/>
        </w:rPr>
      </w:pPr>
      <w:r w:rsidRPr="00A24902">
        <w:rPr>
          <w:b/>
          <w:sz w:val="28"/>
          <w:szCs w:val="28"/>
        </w:rPr>
        <w:t>Обоснование</w:t>
      </w:r>
    </w:p>
    <w:p w:rsidR="00864915" w:rsidRPr="00A24902" w:rsidRDefault="00864915" w:rsidP="00864915">
      <w:pPr>
        <w:jc w:val="center"/>
        <w:outlineLvl w:val="0"/>
        <w:rPr>
          <w:b/>
          <w:sz w:val="28"/>
          <w:szCs w:val="28"/>
        </w:rPr>
      </w:pPr>
      <w:r w:rsidRPr="00A24902">
        <w:rPr>
          <w:b/>
          <w:sz w:val="28"/>
          <w:szCs w:val="28"/>
        </w:rPr>
        <w:t>к проекту закона «О внесении изменения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p>
    <w:p w:rsidR="00864915" w:rsidRPr="000524A2" w:rsidRDefault="00864915" w:rsidP="00864915">
      <w:pPr>
        <w:jc w:val="center"/>
        <w:outlineLvl w:val="0"/>
        <w:rPr>
          <w:b/>
          <w:sz w:val="28"/>
          <w:szCs w:val="28"/>
        </w:rPr>
      </w:pPr>
    </w:p>
    <w:p w:rsidR="00864915" w:rsidRDefault="00864915" w:rsidP="00864915">
      <w:pPr>
        <w:ind w:firstLine="709"/>
        <w:jc w:val="both"/>
        <w:rPr>
          <w:sz w:val="28"/>
          <w:szCs w:val="28"/>
        </w:rPr>
      </w:pPr>
      <w:r>
        <w:rPr>
          <w:sz w:val="28"/>
          <w:szCs w:val="28"/>
        </w:rPr>
        <w:t>П</w:t>
      </w:r>
      <w:r w:rsidRPr="00613A56">
        <w:rPr>
          <w:sz w:val="28"/>
          <w:szCs w:val="28"/>
        </w:rPr>
        <w:t>роект закона Приднестровской Молдавской Республики «О внесении изменений и дополнений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r>
        <w:rPr>
          <w:sz w:val="28"/>
          <w:szCs w:val="28"/>
        </w:rPr>
        <w:t xml:space="preserve"> </w:t>
      </w:r>
      <w:r w:rsidRPr="00613A56">
        <w:rPr>
          <w:sz w:val="28"/>
          <w:szCs w:val="28"/>
        </w:rPr>
        <w:t>разработан в целях совершенствования законодательства Приднестровской Молдавской Республики</w:t>
      </w:r>
      <w:r>
        <w:rPr>
          <w:sz w:val="28"/>
          <w:szCs w:val="28"/>
        </w:rPr>
        <w:t xml:space="preserve"> в части конкретизации полномочий государственной администрации в области использования земли</w:t>
      </w:r>
      <w:r w:rsidRPr="00613A56">
        <w:rPr>
          <w:sz w:val="28"/>
          <w:szCs w:val="28"/>
        </w:rPr>
        <w:t>.</w:t>
      </w:r>
    </w:p>
    <w:p w:rsidR="00864915" w:rsidRPr="00D26E68" w:rsidRDefault="00864915" w:rsidP="00864915">
      <w:pPr>
        <w:ind w:firstLine="709"/>
        <w:jc w:val="both"/>
        <w:rPr>
          <w:sz w:val="28"/>
          <w:szCs w:val="28"/>
        </w:rPr>
      </w:pPr>
      <w:r w:rsidRPr="00D26E68">
        <w:rPr>
          <w:sz w:val="28"/>
          <w:szCs w:val="28"/>
        </w:rPr>
        <w:t>Нормами статьи 5 Конституции Приднестровской Молдавской Республики определено, что земля, недра, воды, леса, воздушное пространство, а также иные природные ресурсы являются объектами исключительной собственности государства. Тем самым конституционными нормами закреплено исключительное право государства осуществлять полномочия владения и распоряжения земельными участками, в том числе посредством предоставления и прекращения прав на земельные участки.</w:t>
      </w:r>
    </w:p>
    <w:p w:rsidR="00864915" w:rsidRDefault="00864915" w:rsidP="00864915">
      <w:pPr>
        <w:ind w:firstLine="709"/>
        <w:jc w:val="both"/>
        <w:rPr>
          <w:sz w:val="28"/>
          <w:szCs w:val="28"/>
        </w:rPr>
      </w:pPr>
      <w:r w:rsidRPr="00D26E68">
        <w:rPr>
          <w:sz w:val="28"/>
          <w:szCs w:val="28"/>
        </w:rPr>
        <w:t>Пунктом 1 статьи 21 Земельного кодека ПМР определено, что граждане и юридические лица обладают в силу закона такими правами на земельные участки как: право пожизненно наследуемого владения, долгосрочного пользования, краткосрочного пользования, аренды, субаренды, земельным сервитутом. Следовательно, действующие нормы земельного законодательная закрепляют в отношении земельных участков обладание определенными правами.</w:t>
      </w:r>
    </w:p>
    <w:p w:rsidR="00864915" w:rsidRDefault="00864915" w:rsidP="00864915">
      <w:pPr>
        <w:ind w:firstLine="709"/>
        <w:jc w:val="both"/>
        <w:rPr>
          <w:sz w:val="28"/>
          <w:szCs w:val="28"/>
        </w:rPr>
      </w:pPr>
      <w:r>
        <w:rPr>
          <w:rFonts w:eastAsia="Calibri"/>
          <w:sz w:val="28"/>
          <w:szCs w:val="28"/>
        </w:rPr>
        <w:t>Совокупность правовых норм, определенных в рамках Постановления Правительства ПМР от 28 апреля 2017 года №89 «Об утверждении перечня земель Приднестровской Молдавской Республики, отнесённых к ведению республиканских органов государственной власти и ведению местных органов власти», а также</w:t>
      </w:r>
      <w:r w:rsidRPr="00DE463F">
        <w:rPr>
          <w:rFonts w:eastAsia="Calibri"/>
          <w:sz w:val="28"/>
          <w:szCs w:val="28"/>
        </w:rPr>
        <w:t xml:space="preserve"> Постановлени</w:t>
      </w:r>
      <w:r>
        <w:rPr>
          <w:rFonts w:eastAsia="Calibri"/>
          <w:sz w:val="28"/>
          <w:szCs w:val="28"/>
        </w:rPr>
        <w:t>я</w:t>
      </w:r>
      <w:r w:rsidRPr="00DE463F">
        <w:rPr>
          <w:rFonts w:eastAsia="Calibri"/>
          <w:sz w:val="28"/>
          <w:szCs w:val="28"/>
        </w:rPr>
        <w:t xml:space="preserve"> Правительства Приднестровской Молдавской Республики от 28 апреля 2017 года </w:t>
      </w:r>
      <w:r>
        <w:rPr>
          <w:rFonts w:eastAsia="Calibri"/>
          <w:sz w:val="28"/>
          <w:szCs w:val="28"/>
        </w:rPr>
        <w:t xml:space="preserve">№90 </w:t>
      </w:r>
      <w:r w:rsidRPr="00DE463F">
        <w:rPr>
          <w:rFonts w:eastAsia="Calibri"/>
          <w:sz w:val="28"/>
          <w:szCs w:val="28"/>
        </w:rPr>
        <w:t xml:space="preserve">«О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 </w:t>
      </w:r>
      <w:r>
        <w:rPr>
          <w:rFonts w:eastAsia="Calibri"/>
          <w:sz w:val="28"/>
          <w:szCs w:val="28"/>
        </w:rPr>
        <w:t>устанавливает компетенцию уполномоченных органов власти в части предоставления и прекращения прав на земельные участки.</w:t>
      </w:r>
    </w:p>
    <w:p w:rsidR="00864915" w:rsidRPr="00E5465D" w:rsidRDefault="00864915" w:rsidP="00864915">
      <w:pPr>
        <w:pStyle w:val="a3"/>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подпунктом 1) статьи 38 Закона ПМР «</w:t>
      </w:r>
      <w:r w:rsidRPr="00B84A89">
        <w:rPr>
          <w:rFonts w:ascii="Times New Roman" w:hAnsi="Times New Roman" w:cs="Times New Roman"/>
          <w:sz w:val="28"/>
          <w:szCs w:val="28"/>
        </w:rPr>
        <w:t>Об органах местной власти, местного самоуправления и государственной администрации в Приднестровской Молдавской Республике»</w:t>
      </w:r>
      <w:r>
        <w:rPr>
          <w:rFonts w:ascii="Times New Roman" w:hAnsi="Times New Roman" w:cs="Times New Roman"/>
          <w:sz w:val="28"/>
          <w:szCs w:val="28"/>
        </w:rPr>
        <w:t>,    регулирующей</w:t>
      </w:r>
      <w:r w:rsidRPr="00E5465D">
        <w:rPr>
          <w:rFonts w:ascii="Times New Roman" w:hAnsi="Times New Roman" w:cs="Times New Roman"/>
          <w:sz w:val="28"/>
          <w:szCs w:val="28"/>
        </w:rPr>
        <w:t xml:space="preserve"> </w:t>
      </w:r>
      <w:r>
        <w:rPr>
          <w:rFonts w:ascii="Times New Roman" w:hAnsi="Times New Roman" w:cs="Times New Roman"/>
          <w:sz w:val="28"/>
          <w:szCs w:val="28"/>
        </w:rPr>
        <w:t>п</w:t>
      </w:r>
      <w:r w:rsidRPr="00E5465D">
        <w:rPr>
          <w:rFonts w:ascii="Times New Roman" w:hAnsi="Times New Roman" w:cs="Times New Roman"/>
          <w:sz w:val="28"/>
          <w:szCs w:val="28"/>
        </w:rPr>
        <w:t>олномочия</w:t>
      </w:r>
      <w:r>
        <w:rPr>
          <w:rFonts w:ascii="Times New Roman" w:hAnsi="Times New Roman" w:cs="Times New Roman"/>
          <w:sz w:val="28"/>
          <w:szCs w:val="28"/>
        </w:rPr>
        <w:t xml:space="preserve"> государственной администрации</w:t>
      </w:r>
      <w:r w:rsidRPr="00E5465D">
        <w:rPr>
          <w:rFonts w:ascii="Times New Roman" w:hAnsi="Times New Roman" w:cs="Times New Roman"/>
          <w:sz w:val="28"/>
          <w:szCs w:val="28"/>
        </w:rPr>
        <w:t xml:space="preserve"> в области использования и охраны земли,</w:t>
      </w:r>
      <w:r>
        <w:rPr>
          <w:rFonts w:ascii="Times New Roman" w:hAnsi="Times New Roman" w:cs="Times New Roman"/>
          <w:sz w:val="28"/>
          <w:szCs w:val="28"/>
        </w:rPr>
        <w:t xml:space="preserve"> </w:t>
      </w:r>
      <w:r w:rsidRPr="00E5465D">
        <w:rPr>
          <w:rFonts w:ascii="Times New Roman" w:hAnsi="Times New Roman" w:cs="Times New Roman"/>
          <w:sz w:val="28"/>
          <w:szCs w:val="28"/>
        </w:rPr>
        <w:t>других природных ресурсов, окружающей среды</w:t>
      </w:r>
      <w:r>
        <w:rPr>
          <w:rFonts w:ascii="Times New Roman" w:hAnsi="Times New Roman" w:cs="Times New Roman"/>
          <w:sz w:val="28"/>
          <w:szCs w:val="28"/>
        </w:rPr>
        <w:t xml:space="preserve"> определено, что государственная </w:t>
      </w:r>
      <w:r w:rsidRPr="00600E2D">
        <w:rPr>
          <w:rFonts w:ascii="Times New Roman" w:hAnsi="Times New Roman" w:cs="Times New Roman"/>
          <w:sz w:val="28"/>
          <w:szCs w:val="28"/>
        </w:rPr>
        <w:t>администрация  предоставляет</w:t>
      </w:r>
      <w:r w:rsidRPr="00B84A89">
        <w:rPr>
          <w:rFonts w:ascii="Times New Roman" w:hAnsi="Times New Roman" w:cs="Times New Roman"/>
          <w:sz w:val="28"/>
          <w:szCs w:val="28"/>
        </w:rPr>
        <w:t xml:space="preserve"> земельные участки в пределах своей территории, </w:t>
      </w:r>
      <w:r w:rsidRPr="00B84A89">
        <w:rPr>
          <w:rFonts w:ascii="Times New Roman" w:hAnsi="Times New Roman" w:cs="Times New Roman"/>
          <w:sz w:val="28"/>
          <w:szCs w:val="28"/>
          <w:u w:val="single"/>
        </w:rPr>
        <w:t>изымает их</w:t>
      </w:r>
      <w:r w:rsidRPr="00B84A89">
        <w:rPr>
          <w:rFonts w:ascii="Times New Roman" w:hAnsi="Times New Roman" w:cs="Times New Roman"/>
          <w:sz w:val="28"/>
          <w:szCs w:val="28"/>
        </w:rPr>
        <w:t>,</w:t>
      </w:r>
      <w:r w:rsidRPr="00E5465D">
        <w:rPr>
          <w:rFonts w:ascii="Times New Roman" w:hAnsi="Times New Roman" w:cs="Times New Roman"/>
          <w:sz w:val="28"/>
          <w:szCs w:val="28"/>
        </w:rPr>
        <w:t xml:space="preserve"> передает в аренду и другие виды временного </w:t>
      </w:r>
      <w:r w:rsidRPr="00E5465D">
        <w:rPr>
          <w:rFonts w:ascii="Times New Roman" w:hAnsi="Times New Roman" w:cs="Times New Roman"/>
          <w:sz w:val="28"/>
          <w:szCs w:val="28"/>
        </w:rPr>
        <w:lastRenderedPageBreak/>
        <w:t xml:space="preserve">пользования гражданам, </w:t>
      </w:r>
      <w:r w:rsidRPr="008E0D22">
        <w:rPr>
          <w:rFonts w:ascii="Times New Roman" w:hAnsi="Times New Roman" w:cs="Times New Roman"/>
          <w:sz w:val="28"/>
          <w:szCs w:val="28"/>
        </w:rPr>
        <w:t>юридически</w:t>
      </w:r>
      <w:r>
        <w:rPr>
          <w:rFonts w:ascii="Times New Roman" w:hAnsi="Times New Roman" w:cs="Times New Roman"/>
          <w:sz w:val="28"/>
          <w:szCs w:val="28"/>
        </w:rPr>
        <w:t>м</w:t>
      </w:r>
      <w:r w:rsidRPr="008E0D22">
        <w:rPr>
          <w:rFonts w:ascii="Times New Roman" w:hAnsi="Times New Roman" w:cs="Times New Roman"/>
          <w:sz w:val="28"/>
          <w:szCs w:val="28"/>
        </w:rPr>
        <w:t xml:space="preserve"> лиц</w:t>
      </w:r>
      <w:r>
        <w:rPr>
          <w:rFonts w:ascii="Times New Roman" w:hAnsi="Times New Roman" w:cs="Times New Roman"/>
          <w:sz w:val="28"/>
          <w:szCs w:val="28"/>
        </w:rPr>
        <w:t>ам</w:t>
      </w:r>
      <w:r w:rsidRPr="008E0D22">
        <w:rPr>
          <w:rFonts w:ascii="Times New Roman" w:hAnsi="Times New Roman" w:cs="Times New Roman"/>
          <w:sz w:val="28"/>
          <w:szCs w:val="28"/>
        </w:rPr>
        <w:t>, общественны</w:t>
      </w:r>
      <w:r>
        <w:rPr>
          <w:rFonts w:ascii="Times New Roman" w:hAnsi="Times New Roman" w:cs="Times New Roman"/>
          <w:sz w:val="28"/>
          <w:szCs w:val="28"/>
        </w:rPr>
        <w:t>м</w:t>
      </w:r>
      <w:r w:rsidRPr="008E0D22">
        <w:rPr>
          <w:rFonts w:ascii="Times New Roman" w:hAnsi="Times New Roman" w:cs="Times New Roman"/>
          <w:sz w:val="28"/>
          <w:szCs w:val="28"/>
        </w:rPr>
        <w:t xml:space="preserve"> объединени</w:t>
      </w:r>
      <w:r>
        <w:rPr>
          <w:rFonts w:ascii="Times New Roman" w:hAnsi="Times New Roman" w:cs="Times New Roman"/>
          <w:sz w:val="28"/>
          <w:szCs w:val="28"/>
        </w:rPr>
        <w:t>ям</w:t>
      </w:r>
      <w:r w:rsidRPr="00E5465D">
        <w:rPr>
          <w:rFonts w:ascii="Times New Roman" w:hAnsi="Times New Roman" w:cs="Times New Roman"/>
          <w:sz w:val="28"/>
          <w:szCs w:val="28"/>
        </w:rPr>
        <w:t xml:space="preserve"> в порядке, предусмотренном земельным законодательством Придне</w:t>
      </w:r>
      <w:r>
        <w:rPr>
          <w:rFonts w:ascii="Times New Roman" w:hAnsi="Times New Roman" w:cs="Times New Roman"/>
          <w:sz w:val="28"/>
          <w:szCs w:val="28"/>
        </w:rPr>
        <w:t>стровской Молдавской Республики.</w:t>
      </w:r>
    </w:p>
    <w:p w:rsidR="00864915" w:rsidRPr="00613A56" w:rsidRDefault="00864915" w:rsidP="00864915">
      <w:pPr>
        <w:ind w:firstLine="709"/>
        <w:jc w:val="both"/>
        <w:rPr>
          <w:sz w:val="28"/>
          <w:szCs w:val="28"/>
        </w:rPr>
      </w:pPr>
      <w:r w:rsidRPr="00613A56">
        <w:rPr>
          <w:sz w:val="28"/>
          <w:szCs w:val="28"/>
        </w:rPr>
        <w:t>Изъятие земельных участков для государственных или муниципальных нужд является самостоятельным основанием прекращения прав на земельные участки, которое не зависит от характера использования землепользователем предоставленных земельных участков и которое наступает исключительно ввиду государственной или муниципальной необходимости</w:t>
      </w:r>
      <w:r w:rsidRPr="00933360">
        <w:rPr>
          <w:sz w:val="28"/>
          <w:szCs w:val="28"/>
        </w:rPr>
        <w:t xml:space="preserve"> </w:t>
      </w:r>
      <w:r>
        <w:rPr>
          <w:sz w:val="28"/>
          <w:szCs w:val="28"/>
        </w:rPr>
        <w:t xml:space="preserve">и </w:t>
      </w:r>
      <w:r w:rsidRPr="00613A56">
        <w:rPr>
          <w:sz w:val="28"/>
          <w:szCs w:val="28"/>
        </w:rPr>
        <w:t xml:space="preserve">влечет за собой прекращение прав у землепользователя и обращение земельного участка в пользу муниципального образования или государства. </w:t>
      </w:r>
    </w:p>
    <w:p w:rsidR="00864915" w:rsidRPr="00613A56" w:rsidRDefault="00864915" w:rsidP="00864915">
      <w:pPr>
        <w:ind w:firstLine="709"/>
        <w:jc w:val="both"/>
        <w:rPr>
          <w:sz w:val="28"/>
          <w:szCs w:val="28"/>
        </w:rPr>
      </w:pPr>
      <w:r w:rsidRPr="00613A56">
        <w:rPr>
          <w:sz w:val="28"/>
          <w:szCs w:val="28"/>
        </w:rPr>
        <w:t>Решение об изъятии земельного участка с прекращением права пользования и (или) владения земельным участком для государственных или муниципальных нужд принимается уполномоченным органом</w:t>
      </w:r>
      <w:r>
        <w:rPr>
          <w:sz w:val="28"/>
          <w:szCs w:val="28"/>
        </w:rPr>
        <w:t xml:space="preserve"> (часть первая пункта 2 статьи 297 Гражданского кодекса ПМР).</w:t>
      </w:r>
    </w:p>
    <w:p w:rsidR="00864915" w:rsidRPr="00613A56" w:rsidRDefault="00864915" w:rsidP="00864915">
      <w:pPr>
        <w:ind w:firstLine="709"/>
        <w:jc w:val="both"/>
        <w:rPr>
          <w:sz w:val="28"/>
          <w:szCs w:val="28"/>
        </w:rPr>
      </w:pPr>
      <w:r>
        <w:rPr>
          <w:sz w:val="28"/>
          <w:szCs w:val="28"/>
        </w:rPr>
        <w:t xml:space="preserve">Конкретизация </w:t>
      </w:r>
      <w:r w:rsidRPr="00613A56">
        <w:rPr>
          <w:sz w:val="28"/>
          <w:szCs w:val="28"/>
        </w:rPr>
        <w:t xml:space="preserve">в понимании </w:t>
      </w:r>
      <w:r>
        <w:rPr>
          <w:sz w:val="28"/>
          <w:szCs w:val="28"/>
        </w:rPr>
        <w:t>правовых действий направленных на прекращение прав на земельные участки, по основаниям предусмотренным земельным законодательством и изъятие земельных участков для государственных и муниципальных нужд, с последующим прекращением прав на них, является целью разработки данной законодательной инициативы.</w:t>
      </w:r>
    </w:p>
    <w:p w:rsidR="00864915" w:rsidRDefault="00864915" w:rsidP="00864915">
      <w:pPr>
        <w:ind w:firstLine="709"/>
        <w:jc w:val="both"/>
        <w:rPr>
          <w:iCs/>
          <w:sz w:val="28"/>
          <w:szCs w:val="28"/>
        </w:rPr>
      </w:pPr>
      <w:r w:rsidRPr="00613A56">
        <w:rPr>
          <w:sz w:val="28"/>
          <w:szCs w:val="28"/>
        </w:rPr>
        <w:t xml:space="preserve">Социально-экономическими последствиями принятия данного проекта закона будет являться устранение неоднозначности понимания отдельных норм </w:t>
      </w:r>
      <w:r>
        <w:rPr>
          <w:sz w:val="28"/>
          <w:szCs w:val="28"/>
        </w:rPr>
        <w:t>законодательства в области использования земельных участков</w:t>
      </w:r>
      <w:r w:rsidRPr="00613A56">
        <w:rPr>
          <w:sz w:val="28"/>
          <w:szCs w:val="28"/>
        </w:rPr>
        <w:t xml:space="preserve"> Приднестровской Молдавской Республики, что будет способствовать правильной трактовке и применению норм законодательства Приднестровской Молдавской Республики</w:t>
      </w:r>
      <w:r>
        <w:rPr>
          <w:iCs/>
          <w:sz w:val="28"/>
          <w:szCs w:val="28"/>
        </w:rPr>
        <w:t>.</w:t>
      </w:r>
    </w:p>
    <w:p w:rsidR="00864915" w:rsidRPr="00A24902" w:rsidRDefault="00864915" w:rsidP="00864915">
      <w:pPr>
        <w:ind w:firstLine="709"/>
        <w:jc w:val="both"/>
        <w:rPr>
          <w:iCs/>
          <w:sz w:val="28"/>
          <w:szCs w:val="28"/>
        </w:rPr>
      </w:pPr>
      <w:r>
        <w:rPr>
          <w:iCs/>
          <w:sz w:val="28"/>
          <w:szCs w:val="28"/>
        </w:rPr>
        <w:t>В настоящее время на рассмотрении Верховного Совета ПМР находится проект закона Приднестровской Молдавской Республики «О внесении изменений в Земельный кодекс Приднестровской Молдавской Республики» (папка 1076 (</w:t>
      </w:r>
      <w:r>
        <w:rPr>
          <w:iCs/>
          <w:sz w:val="28"/>
          <w:szCs w:val="28"/>
          <w:lang w:val="en-US"/>
        </w:rPr>
        <w:t>VII</w:t>
      </w:r>
      <w:r w:rsidRPr="00A24902">
        <w:rPr>
          <w:iCs/>
          <w:sz w:val="28"/>
          <w:szCs w:val="28"/>
        </w:rPr>
        <w:t>))</w:t>
      </w:r>
      <w:r>
        <w:rPr>
          <w:iCs/>
          <w:sz w:val="28"/>
          <w:szCs w:val="28"/>
        </w:rPr>
        <w:t>,</w:t>
      </w:r>
      <w:r w:rsidRPr="00A24902">
        <w:rPr>
          <w:iCs/>
          <w:sz w:val="28"/>
          <w:szCs w:val="28"/>
        </w:rPr>
        <w:t xml:space="preserve"> </w:t>
      </w:r>
      <w:r>
        <w:rPr>
          <w:iCs/>
          <w:sz w:val="28"/>
          <w:szCs w:val="28"/>
        </w:rPr>
        <w:t xml:space="preserve">нормами которого предлагается уточнить, что решения о прекращении прав на земельные участки принимаются органом государственной власти в ведении, которого, находятся соответствующие земельные участки. </w:t>
      </w:r>
    </w:p>
    <w:p w:rsidR="00864915" w:rsidRPr="00613A56" w:rsidRDefault="00864915" w:rsidP="00864915">
      <w:pPr>
        <w:ind w:firstLine="709"/>
        <w:jc w:val="both"/>
        <w:rPr>
          <w:sz w:val="28"/>
          <w:szCs w:val="28"/>
        </w:rPr>
      </w:pPr>
      <w:r>
        <w:rPr>
          <w:sz w:val="28"/>
          <w:szCs w:val="28"/>
        </w:rPr>
        <w:t>В</w:t>
      </w:r>
      <w:r w:rsidRPr="00613A56">
        <w:rPr>
          <w:sz w:val="28"/>
          <w:szCs w:val="28"/>
        </w:rPr>
        <w:t xml:space="preserve"> данной сфере правового регулирования действуют:</w:t>
      </w:r>
    </w:p>
    <w:p w:rsidR="00864915" w:rsidRPr="00613A56" w:rsidRDefault="00864915" w:rsidP="00864915">
      <w:pPr>
        <w:ind w:firstLine="709"/>
        <w:jc w:val="both"/>
        <w:rPr>
          <w:sz w:val="28"/>
          <w:szCs w:val="28"/>
        </w:rPr>
      </w:pPr>
      <w:r w:rsidRPr="00613A56">
        <w:rPr>
          <w:sz w:val="28"/>
          <w:szCs w:val="28"/>
        </w:rPr>
        <w:t>1) Конституция Приднестровской Молдавской Республики;</w:t>
      </w:r>
    </w:p>
    <w:p w:rsidR="00864915" w:rsidRPr="00613A56" w:rsidRDefault="00864915" w:rsidP="00864915">
      <w:pPr>
        <w:ind w:firstLine="709"/>
        <w:jc w:val="both"/>
        <w:rPr>
          <w:sz w:val="28"/>
          <w:szCs w:val="28"/>
        </w:rPr>
      </w:pPr>
      <w:r w:rsidRPr="00613A56">
        <w:rPr>
          <w:sz w:val="28"/>
          <w:szCs w:val="28"/>
        </w:rPr>
        <w:t>2)  Земельный кодекс Приднестровской Молдавской Республики;</w:t>
      </w:r>
    </w:p>
    <w:p w:rsidR="00864915" w:rsidRDefault="00864915" w:rsidP="00864915">
      <w:pPr>
        <w:ind w:firstLine="709"/>
        <w:jc w:val="both"/>
        <w:rPr>
          <w:sz w:val="28"/>
          <w:szCs w:val="28"/>
        </w:rPr>
      </w:pPr>
      <w:r>
        <w:rPr>
          <w:sz w:val="28"/>
          <w:szCs w:val="28"/>
        </w:rPr>
        <w:t>3</w:t>
      </w:r>
      <w:r w:rsidRPr="00613A56">
        <w:rPr>
          <w:sz w:val="28"/>
          <w:szCs w:val="28"/>
        </w:rPr>
        <w:t xml:space="preserve">) </w:t>
      </w:r>
      <w:r>
        <w:rPr>
          <w:rFonts w:eastAsia="Calibri"/>
          <w:sz w:val="28"/>
          <w:szCs w:val="28"/>
        </w:rPr>
        <w:t>Постановления Правительства ПМР от 28 апреля 2017 года №89 «Об утверждении перечня земель Приднестровской Молдавской Республики, отнесённых к ведению республиканских органов государственной власти и ведению местных органов власти»;</w:t>
      </w:r>
    </w:p>
    <w:p w:rsidR="00864915" w:rsidRPr="00613A56" w:rsidRDefault="00864915" w:rsidP="00864915">
      <w:pPr>
        <w:ind w:firstLine="709"/>
        <w:jc w:val="both"/>
        <w:rPr>
          <w:sz w:val="28"/>
          <w:szCs w:val="28"/>
        </w:rPr>
      </w:pPr>
      <w:r>
        <w:rPr>
          <w:sz w:val="28"/>
          <w:szCs w:val="28"/>
        </w:rPr>
        <w:t xml:space="preserve">4) </w:t>
      </w:r>
      <w:r w:rsidRPr="00613A56">
        <w:rPr>
          <w:sz w:val="28"/>
          <w:szCs w:val="28"/>
        </w:rPr>
        <w:t>Постановление Приднестровской Молдавской Республики от 28 апреля 2017 года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w:t>
      </w:r>
      <w:r w:rsidRPr="00613A56">
        <w:rPr>
          <w:rFonts w:ascii="Helvetica" w:hAnsi="Helvetica" w:cs="Helvetica"/>
          <w:sz w:val="28"/>
          <w:szCs w:val="28"/>
          <w:shd w:val="clear" w:color="auto" w:fill="FFFFFF"/>
        </w:rPr>
        <w:t xml:space="preserve"> </w:t>
      </w:r>
      <w:r w:rsidRPr="00613A56">
        <w:rPr>
          <w:sz w:val="28"/>
          <w:szCs w:val="28"/>
        </w:rPr>
        <w:t>(САЗ 17-18);</w:t>
      </w:r>
    </w:p>
    <w:p w:rsidR="00864915" w:rsidRPr="00613A56" w:rsidRDefault="00864915" w:rsidP="00864915">
      <w:pPr>
        <w:ind w:firstLine="709"/>
        <w:jc w:val="both"/>
        <w:rPr>
          <w:sz w:val="28"/>
          <w:szCs w:val="28"/>
        </w:rPr>
      </w:pPr>
      <w:r>
        <w:rPr>
          <w:sz w:val="28"/>
          <w:szCs w:val="28"/>
        </w:rPr>
        <w:lastRenderedPageBreak/>
        <w:t>П</w:t>
      </w:r>
      <w:r w:rsidRPr="00613A56">
        <w:rPr>
          <w:sz w:val="28"/>
          <w:szCs w:val="28"/>
        </w:rPr>
        <w:t>ринятие данного проекта закона потребует внесени</w:t>
      </w:r>
      <w:r>
        <w:rPr>
          <w:sz w:val="28"/>
          <w:szCs w:val="28"/>
        </w:rPr>
        <w:t>е</w:t>
      </w:r>
      <w:r w:rsidRPr="00613A56">
        <w:rPr>
          <w:sz w:val="28"/>
          <w:szCs w:val="28"/>
        </w:rPr>
        <w:t xml:space="preserve"> изменений в </w:t>
      </w:r>
      <w:r>
        <w:rPr>
          <w:sz w:val="28"/>
          <w:szCs w:val="28"/>
        </w:rPr>
        <w:t>Гражданский кодекс Приднестровской Молдавской Республики.</w:t>
      </w:r>
    </w:p>
    <w:p w:rsidR="00864915" w:rsidRPr="00613A56" w:rsidRDefault="00864915" w:rsidP="00864915">
      <w:pPr>
        <w:ind w:firstLine="709"/>
        <w:jc w:val="both"/>
        <w:rPr>
          <w:sz w:val="28"/>
          <w:szCs w:val="28"/>
        </w:rPr>
      </w:pPr>
      <w:r>
        <w:rPr>
          <w:sz w:val="28"/>
          <w:szCs w:val="28"/>
        </w:rPr>
        <w:t>Р</w:t>
      </w:r>
      <w:r w:rsidRPr="00613A56">
        <w:rPr>
          <w:sz w:val="28"/>
          <w:szCs w:val="28"/>
        </w:rPr>
        <w:t>еализация данного проекта закона не потребует дополнител</w:t>
      </w:r>
      <w:r>
        <w:rPr>
          <w:sz w:val="28"/>
          <w:szCs w:val="28"/>
        </w:rPr>
        <w:t>ьных материальных и иных затрат.</w:t>
      </w:r>
    </w:p>
    <w:p w:rsidR="00864915" w:rsidRPr="00613A56" w:rsidRDefault="00864915" w:rsidP="00864915">
      <w:pPr>
        <w:ind w:firstLine="709"/>
        <w:jc w:val="both"/>
        <w:rPr>
          <w:sz w:val="28"/>
          <w:szCs w:val="28"/>
        </w:rPr>
      </w:pPr>
      <w:r>
        <w:rPr>
          <w:sz w:val="28"/>
          <w:szCs w:val="28"/>
        </w:rPr>
        <w:t>Д</w:t>
      </w:r>
      <w:r w:rsidRPr="00613A56">
        <w:rPr>
          <w:sz w:val="28"/>
          <w:szCs w:val="28"/>
        </w:rPr>
        <w:t>ля вступления в силу данного проекта закона не потребуется принятия отдельного законодательного акта.</w:t>
      </w:r>
    </w:p>
    <w:p w:rsidR="00864915" w:rsidRDefault="00864915" w:rsidP="00864915">
      <w:pPr>
        <w:ind w:firstLine="714"/>
        <w:jc w:val="both"/>
        <w:rPr>
          <w:bCs/>
          <w:sz w:val="28"/>
          <w:szCs w:val="28"/>
        </w:rPr>
      </w:pPr>
    </w:p>
    <w:p w:rsidR="00864915" w:rsidRDefault="00864915" w:rsidP="00864915">
      <w:pPr>
        <w:ind w:firstLine="714"/>
        <w:jc w:val="both"/>
        <w:rPr>
          <w:bCs/>
          <w:sz w:val="28"/>
          <w:szCs w:val="28"/>
        </w:rPr>
      </w:pPr>
    </w:p>
    <w:p w:rsidR="00611914" w:rsidRDefault="00611914">
      <w:bookmarkStart w:id="0" w:name="_GoBack"/>
      <w:bookmarkEnd w:id="0"/>
    </w:p>
    <w:sectPr w:rsidR="00611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15"/>
    <w:rsid w:val="00611914"/>
    <w:rsid w:val="00864915"/>
    <w:rsid w:val="00A4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7E0F-7153-4020-B420-CA7A1262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9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
    <w:basedOn w:val="a"/>
    <w:link w:val="1"/>
    <w:rsid w:val="00864915"/>
    <w:rPr>
      <w:rFonts w:ascii="Courier New" w:hAnsi="Courier New" w:cs="Courier New"/>
      <w:sz w:val="20"/>
      <w:szCs w:val="20"/>
    </w:rPr>
  </w:style>
  <w:style w:type="character" w:customStyle="1" w:styleId="a4">
    <w:name w:val="Текст Знак"/>
    <w:basedOn w:val="a0"/>
    <w:uiPriority w:val="99"/>
    <w:semiHidden/>
    <w:rsid w:val="00864915"/>
    <w:rPr>
      <w:rFonts w:ascii="Consolas" w:eastAsia="Times New Roman" w:hAnsi="Consolas" w:cs="Times New Roman"/>
      <w:sz w:val="21"/>
      <w:szCs w:val="21"/>
      <w:lang w:eastAsia="ru-RU"/>
    </w:rPr>
  </w:style>
  <w:style w:type="character" w:customStyle="1" w:styleId="1">
    <w:name w:val="Текст Знак1"/>
    <w:aliases w:val=" Знак Знак,Текст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3"/>
    <w:locked/>
    <w:rsid w:val="008649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2023-10-30T07:31:00Z</dcterms:created>
  <dcterms:modified xsi:type="dcterms:W3CDTF">2023-10-30T07:38:00Z</dcterms:modified>
</cp:coreProperties>
</file>