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39" w:rsidRPr="002C5E50" w:rsidRDefault="00EF5839" w:rsidP="007D643F">
      <w:pPr>
        <w:pStyle w:val="a3"/>
        <w:ind w:right="-5"/>
        <w:jc w:val="center"/>
        <w:rPr>
          <w:rFonts w:ascii="Times New Roman" w:hAnsi="Times New Roman" w:cs="Times New Roman"/>
          <w:b/>
          <w:sz w:val="28"/>
          <w:szCs w:val="28"/>
        </w:rPr>
      </w:pPr>
      <w:r w:rsidRPr="002C5E50">
        <w:rPr>
          <w:rFonts w:ascii="Times New Roman" w:hAnsi="Times New Roman" w:cs="Times New Roman"/>
          <w:b/>
          <w:sz w:val="28"/>
          <w:szCs w:val="28"/>
        </w:rPr>
        <w:t>ОБОСНОВАНИЕ</w:t>
      </w:r>
    </w:p>
    <w:p w:rsidR="00EF5839" w:rsidRPr="002C5E50" w:rsidRDefault="00EF5839" w:rsidP="007D643F">
      <w:pPr>
        <w:pStyle w:val="a3"/>
        <w:ind w:right="-5"/>
        <w:jc w:val="center"/>
        <w:rPr>
          <w:rFonts w:ascii="Times New Roman" w:hAnsi="Times New Roman" w:cs="Times New Roman"/>
          <w:b/>
          <w:sz w:val="28"/>
          <w:szCs w:val="28"/>
        </w:rPr>
      </w:pPr>
      <w:r w:rsidRPr="002C5E50">
        <w:rPr>
          <w:rFonts w:ascii="Times New Roman" w:hAnsi="Times New Roman" w:cs="Times New Roman"/>
          <w:b/>
          <w:sz w:val="28"/>
          <w:szCs w:val="28"/>
        </w:rPr>
        <w:t xml:space="preserve">к проекту постановления Верховного Совета </w:t>
      </w:r>
    </w:p>
    <w:p w:rsidR="00EF5839" w:rsidRPr="002C5E50" w:rsidRDefault="00EF5839" w:rsidP="007D643F">
      <w:pPr>
        <w:pStyle w:val="a3"/>
        <w:ind w:right="-5"/>
        <w:jc w:val="center"/>
        <w:rPr>
          <w:rFonts w:ascii="Times New Roman" w:hAnsi="Times New Roman" w:cs="Times New Roman"/>
          <w:b/>
          <w:sz w:val="28"/>
          <w:szCs w:val="28"/>
        </w:rPr>
      </w:pPr>
      <w:r w:rsidRPr="002C5E50">
        <w:rPr>
          <w:rFonts w:ascii="Times New Roman" w:hAnsi="Times New Roman" w:cs="Times New Roman"/>
          <w:b/>
          <w:sz w:val="28"/>
          <w:szCs w:val="28"/>
        </w:rPr>
        <w:t>Приднестровской Молдавской Республики</w:t>
      </w:r>
    </w:p>
    <w:p w:rsidR="00102B13" w:rsidRPr="002C5E50" w:rsidRDefault="00102B13" w:rsidP="007D643F">
      <w:pPr>
        <w:pStyle w:val="a3"/>
        <w:ind w:right="-5"/>
        <w:jc w:val="center"/>
        <w:rPr>
          <w:rFonts w:ascii="Times New Roman" w:hAnsi="Times New Roman" w:cs="Times New Roman"/>
          <w:b/>
          <w:sz w:val="28"/>
          <w:szCs w:val="28"/>
        </w:rPr>
      </w:pPr>
      <w:r w:rsidRPr="002C5E50">
        <w:rPr>
          <w:rFonts w:ascii="Times New Roman" w:hAnsi="Times New Roman" w:cs="Times New Roman"/>
          <w:b/>
          <w:sz w:val="28"/>
          <w:szCs w:val="28"/>
        </w:rPr>
        <w:t>«О толковании пункта 1 статьи 11, пункта 2 статьи 14, пункта 2                  статьи 42, пункта 1 статьи 48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102B13" w:rsidRPr="002C5E50" w:rsidRDefault="00102B13" w:rsidP="007D643F">
      <w:pPr>
        <w:pStyle w:val="a3"/>
        <w:ind w:right="-5"/>
        <w:jc w:val="center"/>
        <w:rPr>
          <w:rFonts w:ascii="Times New Roman" w:hAnsi="Times New Roman" w:cs="Times New Roman"/>
          <w:b/>
          <w:sz w:val="28"/>
          <w:szCs w:val="28"/>
        </w:rPr>
      </w:pPr>
    </w:p>
    <w:p w:rsidR="00EF5839" w:rsidRPr="002C5E50" w:rsidRDefault="00EF5839" w:rsidP="007D643F">
      <w:pPr>
        <w:ind w:firstLine="600"/>
        <w:jc w:val="both"/>
        <w:rPr>
          <w:sz w:val="28"/>
          <w:szCs w:val="28"/>
        </w:rPr>
      </w:pPr>
      <w:r w:rsidRPr="002C5E50">
        <w:rPr>
          <w:spacing w:val="-8"/>
          <w:sz w:val="28"/>
          <w:szCs w:val="28"/>
        </w:rPr>
        <w:t xml:space="preserve">Настоящий проект постановления Верховного Совета Приднестровской Молдавской Республики подготовлен </w:t>
      </w:r>
      <w:r w:rsidR="002648BC" w:rsidRPr="002C5E50">
        <w:rPr>
          <w:spacing w:val="-8"/>
          <w:sz w:val="28"/>
          <w:szCs w:val="28"/>
        </w:rPr>
        <w:t>во исполнение</w:t>
      </w:r>
      <w:r w:rsidRPr="002C5E50">
        <w:rPr>
          <w:spacing w:val="-8"/>
          <w:sz w:val="28"/>
          <w:szCs w:val="28"/>
        </w:rPr>
        <w:t xml:space="preserve"> поручения Председателя Верховного Совета Приднестровской Молдавской Республики </w:t>
      </w:r>
      <w:r w:rsidRPr="002C5E50">
        <w:rPr>
          <w:sz w:val="28"/>
          <w:szCs w:val="28"/>
        </w:rPr>
        <w:t xml:space="preserve">(от </w:t>
      </w:r>
      <w:r w:rsidR="00102B13" w:rsidRPr="002C5E50">
        <w:rPr>
          <w:sz w:val="28"/>
          <w:szCs w:val="28"/>
        </w:rPr>
        <w:t>28</w:t>
      </w:r>
      <w:r w:rsidRPr="002C5E50">
        <w:rPr>
          <w:sz w:val="28"/>
          <w:szCs w:val="28"/>
        </w:rPr>
        <w:t xml:space="preserve"> </w:t>
      </w:r>
      <w:r w:rsidR="00102B13" w:rsidRPr="002C5E50">
        <w:rPr>
          <w:sz w:val="28"/>
          <w:szCs w:val="28"/>
        </w:rPr>
        <w:t xml:space="preserve">июля          </w:t>
      </w:r>
      <w:r w:rsidR="002648BC" w:rsidRPr="002C5E50">
        <w:rPr>
          <w:sz w:val="28"/>
          <w:szCs w:val="28"/>
        </w:rPr>
        <w:t xml:space="preserve"> </w:t>
      </w:r>
      <w:r w:rsidRPr="002C5E50">
        <w:rPr>
          <w:sz w:val="28"/>
          <w:szCs w:val="28"/>
        </w:rPr>
        <w:t>2022 года № 30-</w:t>
      </w:r>
      <w:r w:rsidR="00102B13" w:rsidRPr="002C5E50">
        <w:rPr>
          <w:sz w:val="28"/>
          <w:szCs w:val="28"/>
        </w:rPr>
        <w:t>46</w:t>
      </w:r>
      <w:r w:rsidRPr="002C5E50">
        <w:rPr>
          <w:sz w:val="28"/>
          <w:szCs w:val="28"/>
        </w:rPr>
        <w:t>/</w:t>
      </w:r>
      <w:r w:rsidR="004517AE" w:rsidRPr="002C5E50">
        <w:rPr>
          <w:sz w:val="28"/>
          <w:szCs w:val="28"/>
        </w:rPr>
        <w:t>-</w:t>
      </w:r>
      <w:r w:rsidR="00102B13" w:rsidRPr="002C5E50">
        <w:rPr>
          <w:sz w:val="28"/>
          <w:szCs w:val="28"/>
        </w:rPr>
        <w:t>376</w:t>
      </w:r>
      <w:r w:rsidRPr="002C5E50">
        <w:rPr>
          <w:sz w:val="28"/>
          <w:szCs w:val="28"/>
        </w:rPr>
        <w:t xml:space="preserve">), </w:t>
      </w:r>
      <w:r w:rsidRPr="002C5E50">
        <w:rPr>
          <w:spacing w:val="-8"/>
          <w:sz w:val="28"/>
          <w:szCs w:val="28"/>
        </w:rPr>
        <w:t xml:space="preserve">на основании запроса об официальном толковании, направленного </w:t>
      </w:r>
      <w:r w:rsidR="00102B13" w:rsidRPr="002C5E50">
        <w:rPr>
          <w:spacing w:val="-8"/>
          <w:sz w:val="28"/>
          <w:szCs w:val="28"/>
        </w:rPr>
        <w:t>Правительством</w:t>
      </w:r>
      <w:r w:rsidRPr="002C5E50">
        <w:rPr>
          <w:spacing w:val="-8"/>
          <w:sz w:val="28"/>
          <w:szCs w:val="28"/>
        </w:rPr>
        <w:t xml:space="preserve"> Придне</w:t>
      </w:r>
      <w:r w:rsidR="004517AE" w:rsidRPr="002C5E50">
        <w:rPr>
          <w:spacing w:val="-8"/>
          <w:sz w:val="28"/>
          <w:szCs w:val="28"/>
        </w:rPr>
        <w:t>стровской Молдавской Республики</w:t>
      </w:r>
      <w:r w:rsidRPr="002C5E50">
        <w:rPr>
          <w:spacing w:val="-8"/>
          <w:sz w:val="28"/>
          <w:szCs w:val="28"/>
        </w:rPr>
        <w:t>.</w:t>
      </w:r>
    </w:p>
    <w:p w:rsidR="007D643F" w:rsidRPr="002C5E50" w:rsidRDefault="00EF5839" w:rsidP="007D643F">
      <w:pPr>
        <w:ind w:firstLine="600"/>
        <w:jc w:val="both"/>
        <w:rPr>
          <w:spacing w:val="-8"/>
          <w:sz w:val="28"/>
          <w:szCs w:val="28"/>
        </w:rPr>
      </w:pPr>
      <w:r w:rsidRPr="002C5E50">
        <w:rPr>
          <w:spacing w:val="-8"/>
          <w:sz w:val="28"/>
          <w:szCs w:val="28"/>
        </w:rPr>
        <w:t xml:space="preserve">Автор запроса о толковании указывает, что </w:t>
      </w:r>
      <w:r w:rsidR="00102B13" w:rsidRPr="002C5E50">
        <w:rPr>
          <w:spacing w:val="-8"/>
          <w:sz w:val="28"/>
          <w:szCs w:val="28"/>
        </w:rPr>
        <w:t>лицам, имеющим право на пенсионное обеспечение в соответствии с нормами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(далее по тексту – Закон), пенсии за выслугу лет назначаются и выплачиваются, после увольнения со службы, в</w:t>
      </w:r>
      <w:r w:rsidR="007D643F" w:rsidRPr="002C5E50">
        <w:rPr>
          <w:spacing w:val="-8"/>
          <w:sz w:val="28"/>
          <w:szCs w:val="28"/>
        </w:rPr>
        <w:t xml:space="preserve"> </w:t>
      </w:r>
      <w:r w:rsidR="00102B13" w:rsidRPr="002C5E50">
        <w:rPr>
          <w:spacing w:val="-8"/>
          <w:sz w:val="28"/>
          <w:szCs w:val="28"/>
        </w:rPr>
        <w:t>размере, исчисленном с учетом имеющейся выслуги лет согласно статьям 13 и</w:t>
      </w:r>
      <w:r w:rsidR="007D643F" w:rsidRPr="002C5E50">
        <w:rPr>
          <w:spacing w:val="-8"/>
          <w:sz w:val="28"/>
          <w:szCs w:val="28"/>
        </w:rPr>
        <w:t xml:space="preserve"> 14 Закона.</w:t>
      </w:r>
    </w:p>
    <w:p w:rsidR="00102B13" w:rsidRPr="002C5E50" w:rsidRDefault="007D643F" w:rsidP="007D643F">
      <w:pPr>
        <w:ind w:firstLine="600"/>
        <w:jc w:val="both"/>
        <w:rPr>
          <w:spacing w:val="-8"/>
          <w:sz w:val="28"/>
          <w:szCs w:val="28"/>
        </w:rPr>
      </w:pPr>
      <w:r w:rsidRPr="002C5E50">
        <w:rPr>
          <w:spacing w:val="-8"/>
          <w:sz w:val="28"/>
          <w:szCs w:val="28"/>
        </w:rPr>
        <w:t>П</w:t>
      </w:r>
      <w:r w:rsidR="00102B13" w:rsidRPr="002C5E50">
        <w:rPr>
          <w:spacing w:val="-8"/>
          <w:sz w:val="28"/>
          <w:szCs w:val="28"/>
        </w:rPr>
        <w:t>унктом 2 статьи 14 и пунктом 2 статьи 42</w:t>
      </w:r>
      <w:r w:rsidRPr="002C5E50">
        <w:rPr>
          <w:spacing w:val="-8"/>
          <w:sz w:val="28"/>
          <w:szCs w:val="28"/>
        </w:rPr>
        <w:t xml:space="preserve"> </w:t>
      </w:r>
      <w:r w:rsidR="00102B13" w:rsidRPr="002C5E50">
        <w:rPr>
          <w:spacing w:val="-8"/>
          <w:sz w:val="28"/>
          <w:szCs w:val="28"/>
        </w:rPr>
        <w:t>Закона установлено, что в случае повторного определения на службу по</w:t>
      </w:r>
      <w:r w:rsidRPr="002C5E50">
        <w:rPr>
          <w:spacing w:val="-8"/>
          <w:sz w:val="28"/>
          <w:szCs w:val="28"/>
        </w:rPr>
        <w:t xml:space="preserve"> </w:t>
      </w:r>
      <w:r w:rsidR="00102B13" w:rsidRPr="002C5E50">
        <w:rPr>
          <w:spacing w:val="-8"/>
          <w:sz w:val="28"/>
          <w:szCs w:val="28"/>
        </w:rPr>
        <w:t>контракту лиц, получавших ранее пенсию, при последующем увольнении их со</w:t>
      </w:r>
      <w:r w:rsidRPr="002C5E50">
        <w:rPr>
          <w:spacing w:val="-8"/>
          <w:sz w:val="28"/>
          <w:szCs w:val="28"/>
        </w:rPr>
        <w:t xml:space="preserve"> </w:t>
      </w:r>
      <w:r w:rsidR="00102B13" w:rsidRPr="002C5E50">
        <w:rPr>
          <w:spacing w:val="-8"/>
          <w:sz w:val="28"/>
          <w:szCs w:val="28"/>
        </w:rPr>
        <w:t>службы выплата пенсии им возобновляется исходя из выслуги лет и трудового</w:t>
      </w:r>
      <w:r w:rsidRPr="002C5E50">
        <w:rPr>
          <w:spacing w:val="-8"/>
          <w:sz w:val="28"/>
          <w:szCs w:val="28"/>
        </w:rPr>
        <w:t xml:space="preserve"> </w:t>
      </w:r>
      <w:r w:rsidR="00102B13" w:rsidRPr="002C5E50">
        <w:rPr>
          <w:spacing w:val="-8"/>
          <w:sz w:val="28"/>
          <w:szCs w:val="28"/>
        </w:rPr>
        <w:t>стажа на день последнего увольнения, а также суммы денежного довольствия,</w:t>
      </w:r>
      <w:r w:rsidRPr="002C5E50">
        <w:rPr>
          <w:spacing w:val="-8"/>
          <w:sz w:val="28"/>
          <w:szCs w:val="28"/>
        </w:rPr>
        <w:t xml:space="preserve"> </w:t>
      </w:r>
      <w:r w:rsidR="00102B13" w:rsidRPr="002C5E50">
        <w:rPr>
          <w:spacing w:val="-8"/>
          <w:sz w:val="28"/>
          <w:szCs w:val="28"/>
        </w:rPr>
        <w:t xml:space="preserve">исчисленного на день их последнего увольнения. </w:t>
      </w:r>
    </w:p>
    <w:p w:rsidR="00102B13" w:rsidRPr="002C5E50" w:rsidRDefault="00102B13" w:rsidP="007D643F">
      <w:pPr>
        <w:ind w:firstLine="600"/>
        <w:jc w:val="both"/>
        <w:rPr>
          <w:spacing w:val="-8"/>
          <w:sz w:val="28"/>
          <w:szCs w:val="28"/>
        </w:rPr>
      </w:pPr>
      <w:r w:rsidRPr="002C5E50">
        <w:rPr>
          <w:spacing w:val="-8"/>
          <w:sz w:val="28"/>
          <w:szCs w:val="28"/>
        </w:rPr>
        <w:t>По желанию лиц, указанных в части первой пункта 2 статьи 42 Закона, им</w:t>
      </w:r>
      <w:r w:rsidR="007D643F" w:rsidRPr="002C5E50">
        <w:rPr>
          <w:spacing w:val="-8"/>
          <w:sz w:val="28"/>
          <w:szCs w:val="28"/>
        </w:rPr>
        <w:t xml:space="preserve"> </w:t>
      </w:r>
      <w:r w:rsidRPr="002C5E50">
        <w:rPr>
          <w:spacing w:val="-8"/>
          <w:sz w:val="28"/>
          <w:szCs w:val="28"/>
        </w:rPr>
        <w:t>может быть возобновлена выплата пенсии, исчисленная из суммы денежного</w:t>
      </w:r>
      <w:r w:rsidR="007D643F" w:rsidRPr="002C5E50">
        <w:rPr>
          <w:spacing w:val="-8"/>
          <w:sz w:val="28"/>
          <w:szCs w:val="28"/>
        </w:rPr>
        <w:t xml:space="preserve"> </w:t>
      </w:r>
      <w:r w:rsidRPr="002C5E50">
        <w:rPr>
          <w:spacing w:val="-8"/>
          <w:sz w:val="28"/>
          <w:szCs w:val="28"/>
        </w:rPr>
        <w:t>довольствия, применяемого при первоначальном назначении им пенсии исходя</w:t>
      </w:r>
      <w:r w:rsidR="007D643F" w:rsidRPr="002C5E50">
        <w:rPr>
          <w:spacing w:val="-8"/>
          <w:sz w:val="28"/>
          <w:szCs w:val="28"/>
        </w:rPr>
        <w:t xml:space="preserve"> </w:t>
      </w:r>
      <w:r w:rsidRPr="002C5E50">
        <w:rPr>
          <w:spacing w:val="-8"/>
          <w:sz w:val="28"/>
          <w:szCs w:val="28"/>
        </w:rPr>
        <w:t>из норм и условий предыдущих увольнений.</w:t>
      </w:r>
    </w:p>
    <w:p w:rsidR="00102B13" w:rsidRPr="002C5E50" w:rsidRDefault="00102B13" w:rsidP="007D643F">
      <w:pPr>
        <w:ind w:firstLine="600"/>
        <w:jc w:val="both"/>
        <w:rPr>
          <w:spacing w:val="-8"/>
          <w:sz w:val="28"/>
          <w:szCs w:val="28"/>
        </w:rPr>
      </w:pPr>
      <w:r w:rsidRPr="002C5E50">
        <w:rPr>
          <w:spacing w:val="-8"/>
          <w:sz w:val="28"/>
          <w:szCs w:val="28"/>
        </w:rPr>
        <w:t>Порядок обращения с заявлениями о назначении пенсий установлен в</w:t>
      </w:r>
      <w:r w:rsidR="007D643F" w:rsidRPr="002C5E50">
        <w:rPr>
          <w:spacing w:val="-8"/>
          <w:sz w:val="28"/>
          <w:szCs w:val="28"/>
        </w:rPr>
        <w:t xml:space="preserve"> статье 48 Закона</w:t>
      </w:r>
      <w:r w:rsidRPr="002C5E50">
        <w:rPr>
          <w:spacing w:val="-8"/>
          <w:sz w:val="28"/>
          <w:szCs w:val="28"/>
        </w:rPr>
        <w:t>, в которой закреплено, что лица, указанные в</w:t>
      </w:r>
      <w:r w:rsidR="007D643F" w:rsidRPr="002C5E50">
        <w:rPr>
          <w:spacing w:val="-8"/>
          <w:sz w:val="28"/>
          <w:szCs w:val="28"/>
        </w:rPr>
        <w:t xml:space="preserve"> </w:t>
      </w:r>
      <w:r w:rsidRPr="002C5E50">
        <w:rPr>
          <w:spacing w:val="-8"/>
          <w:sz w:val="28"/>
          <w:szCs w:val="28"/>
        </w:rPr>
        <w:t>статье 1 Закона, и члены их семей обращаются с заявлениями о назначении пенсий в соответствующие</w:t>
      </w:r>
      <w:r w:rsidR="007D643F" w:rsidRPr="002C5E50">
        <w:rPr>
          <w:spacing w:val="-8"/>
          <w:sz w:val="28"/>
          <w:szCs w:val="28"/>
        </w:rPr>
        <w:t xml:space="preserve"> </w:t>
      </w:r>
      <w:r w:rsidRPr="002C5E50">
        <w:rPr>
          <w:spacing w:val="-8"/>
          <w:sz w:val="28"/>
          <w:szCs w:val="28"/>
        </w:rPr>
        <w:t>пенсионные органы по ведомственной принадлежности, указанной в статье 11</w:t>
      </w:r>
      <w:r w:rsidR="007D643F" w:rsidRPr="002C5E50">
        <w:rPr>
          <w:spacing w:val="-8"/>
          <w:sz w:val="28"/>
          <w:szCs w:val="28"/>
        </w:rPr>
        <w:t xml:space="preserve"> </w:t>
      </w:r>
      <w:r w:rsidRPr="002C5E50">
        <w:rPr>
          <w:spacing w:val="-8"/>
          <w:sz w:val="28"/>
          <w:szCs w:val="28"/>
        </w:rPr>
        <w:t>Закона.</w:t>
      </w:r>
      <w:r w:rsidR="007D643F" w:rsidRPr="002C5E50">
        <w:rPr>
          <w:spacing w:val="-8"/>
          <w:sz w:val="28"/>
          <w:szCs w:val="28"/>
        </w:rPr>
        <w:t xml:space="preserve"> В статье 11 Закона </w:t>
      </w:r>
      <w:r w:rsidRPr="002C5E50">
        <w:rPr>
          <w:spacing w:val="-8"/>
          <w:sz w:val="28"/>
          <w:szCs w:val="28"/>
        </w:rPr>
        <w:t>места службы, отнесенные по ведомственной принадлежности к</w:t>
      </w:r>
      <w:r w:rsidR="007D643F" w:rsidRPr="002C5E50">
        <w:rPr>
          <w:spacing w:val="-8"/>
          <w:sz w:val="28"/>
          <w:szCs w:val="28"/>
        </w:rPr>
        <w:t xml:space="preserve"> </w:t>
      </w:r>
      <w:r w:rsidRPr="002C5E50">
        <w:rPr>
          <w:spacing w:val="-8"/>
          <w:sz w:val="28"/>
          <w:szCs w:val="28"/>
        </w:rPr>
        <w:t>различным органам государственной власти, разграничены</w:t>
      </w:r>
      <w:r w:rsidR="007D643F" w:rsidRPr="002C5E50">
        <w:rPr>
          <w:spacing w:val="-8"/>
          <w:sz w:val="28"/>
          <w:szCs w:val="28"/>
        </w:rPr>
        <w:t xml:space="preserve">, </w:t>
      </w:r>
      <w:r w:rsidRPr="002C5E50">
        <w:rPr>
          <w:spacing w:val="-8"/>
          <w:sz w:val="28"/>
          <w:szCs w:val="28"/>
        </w:rPr>
        <w:t>не</w:t>
      </w:r>
      <w:r w:rsidR="007D643F" w:rsidRPr="002C5E50">
        <w:rPr>
          <w:spacing w:val="-8"/>
          <w:sz w:val="28"/>
          <w:szCs w:val="28"/>
        </w:rPr>
        <w:t xml:space="preserve"> </w:t>
      </w:r>
      <w:r w:rsidRPr="002C5E50">
        <w:rPr>
          <w:spacing w:val="-8"/>
          <w:sz w:val="28"/>
          <w:szCs w:val="28"/>
        </w:rPr>
        <w:t>совпадают и не дублируются по отношению к разным органам пенсионного</w:t>
      </w:r>
      <w:r w:rsidR="007D643F" w:rsidRPr="002C5E50">
        <w:rPr>
          <w:spacing w:val="-8"/>
          <w:sz w:val="28"/>
          <w:szCs w:val="28"/>
        </w:rPr>
        <w:t xml:space="preserve"> </w:t>
      </w:r>
      <w:r w:rsidRPr="002C5E50">
        <w:rPr>
          <w:spacing w:val="-8"/>
          <w:sz w:val="28"/>
          <w:szCs w:val="28"/>
        </w:rPr>
        <w:t>обеспечения, то есть ведомственная принадлежность определенного места</w:t>
      </w:r>
      <w:r w:rsidR="007D643F" w:rsidRPr="002C5E50">
        <w:rPr>
          <w:spacing w:val="-8"/>
          <w:sz w:val="28"/>
          <w:szCs w:val="28"/>
        </w:rPr>
        <w:t xml:space="preserve"> </w:t>
      </w:r>
      <w:r w:rsidRPr="002C5E50">
        <w:rPr>
          <w:spacing w:val="-8"/>
          <w:sz w:val="28"/>
          <w:szCs w:val="28"/>
        </w:rPr>
        <w:t xml:space="preserve">службы остается постоянной. </w:t>
      </w:r>
    </w:p>
    <w:p w:rsidR="00102B13" w:rsidRPr="002C5E50" w:rsidRDefault="007D643F" w:rsidP="007D643F">
      <w:pPr>
        <w:ind w:firstLine="600"/>
        <w:jc w:val="both"/>
        <w:rPr>
          <w:spacing w:val="-8"/>
          <w:sz w:val="28"/>
          <w:szCs w:val="28"/>
        </w:rPr>
      </w:pPr>
      <w:r w:rsidRPr="002C5E50">
        <w:rPr>
          <w:spacing w:val="-8"/>
          <w:sz w:val="28"/>
          <w:szCs w:val="28"/>
        </w:rPr>
        <w:t xml:space="preserve">Дополнительно автором запроса о толковании обращается внимание на то, что имеющие соответствующее право лица, </w:t>
      </w:r>
      <w:r w:rsidR="00102B13" w:rsidRPr="002C5E50">
        <w:rPr>
          <w:spacing w:val="-8"/>
          <w:sz w:val="28"/>
          <w:szCs w:val="28"/>
        </w:rPr>
        <w:t>должны обращаться с заявлениями о назначении пенсий в органы</w:t>
      </w:r>
      <w:r w:rsidRPr="002C5E50">
        <w:rPr>
          <w:spacing w:val="-8"/>
          <w:sz w:val="28"/>
          <w:szCs w:val="28"/>
        </w:rPr>
        <w:t xml:space="preserve"> </w:t>
      </w:r>
      <w:r w:rsidR="00102B13" w:rsidRPr="002C5E50">
        <w:rPr>
          <w:spacing w:val="-8"/>
          <w:sz w:val="28"/>
          <w:szCs w:val="28"/>
        </w:rPr>
        <w:t>пенсионного обеспечения по ведомственной принадлежности, определенной в</w:t>
      </w:r>
      <w:r w:rsidRPr="002C5E50">
        <w:rPr>
          <w:spacing w:val="-8"/>
          <w:sz w:val="28"/>
          <w:szCs w:val="28"/>
        </w:rPr>
        <w:t xml:space="preserve"> </w:t>
      </w:r>
      <w:r w:rsidR="00102B13" w:rsidRPr="002C5E50">
        <w:rPr>
          <w:spacing w:val="-8"/>
          <w:sz w:val="28"/>
          <w:szCs w:val="28"/>
        </w:rPr>
        <w:t xml:space="preserve">статье 11 Закона, а именно: по последнему месту </w:t>
      </w:r>
      <w:r w:rsidR="00102B13" w:rsidRPr="002C5E50">
        <w:rPr>
          <w:spacing w:val="-8"/>
          <w:sz w:val="28"/>
          <w:szCs w:val="28"/>
        </w:rPr>
        <w:lastRenderedPageBreak/>
        <w:t>службы этих лиц,</w:t>
      </w:r>
      <w:r w:rsidRPr="002C5E50">
        <w:rPr>
          <w:spacing w:val="-8"/>
          <w:sz w:val="28"/>
          <w:szCs w:val="28"/>
        </w:rPr>
        <w:t xml:space="preserve"> </w:t>
      </w:r>
      <w:r w:rsidR="00102B13" w:rsidRPr="002C5E50">
        <w:rPr>
          <w:spacing w:val="-8"/>
          <w:sz w:val="28"/>
          <w:szCs w:val="28"/>
        </w:rPr>
        <w:t>предшествующему выходу на пенсию. В этот же орган ими подаются заявления</w:t>
      </w:r>
      <w:r w:rsidRPr="002C5E50">
        <w:rPr>
          <w:spacing w:val="-8"/>
          <w:sz w:val="28"/>
          <w:szCs w:val="28"/>
        </w:rPr>
        <w:t xml:space="preserve"> </w:t>
      </w:r>
      <w:r w:rsidR="00102B13" w:rsidRPr="002C5E50">
        <w:rPr>
          <w:spacing w:val="-8"/>
          <w:sz w:val="28"/>
          <w:szCs w:val="28"/>
        </w:rPr>
        <w:t xml:space="preserve">о выплате ежемесячной пенсионной компенсации. Вместе с тем у </w:t>
      </w:r>
      <w:proofErr w:type="spellStart"/>
      <w:r w:rsidR="00102B13" w:rsidRPr="002C5E50">
        <w:rPr>
          <w:spacing w:val="-8"/>
          <w:sz w:val="28"/>
          <w:szCs w:val="28"/>
        </w:rPr>
        <w:t>правоприменителей</w:t>
      </w:r>
      <w:proofErr w:type="spellEnd"/>
      <w:r w:rsidR="00102B13" w:rsidRPr="002C5E50">
        <w:rPr>
          <w:spacing w:val="-8"/>
          <w:sz w:val="28"/>
          <w:szCs w:val="28"/>
        </w:rPr>
        <w:t xml:space="preserve"> встречается различное </w:t>
      </w:r>
      <w:proofErr w:type="spellStart"/>
      <w:r w:rsidR="00102B13" w:rsidRPr="002C5E50">
        <w:rPr>
          <w:spacing w:val="-8"/>
          <w:sz w:val="28"/>
          <w:szCs w:val="28"/>
        </w:rPr>
        <w:t>трактование</w:t>
      </w:r>
      <w:proofErr w:type="spellEnd"/>
      <w:r w:rsidRPr="002C5E50">
        <w:rPr>
          <w:spacing w:val="-8"/>
          <w:sz w:val="28"/>
          <w:szCs w:val="28"/>
        </w:rPr>
        <w:t xml:space="preserve"> </w:t>
      </w:r>
      <w:r w:rsidR="00102B13" w:rsidRPr="002C5E50">
        <w:rPr>
          <w:spacing w:val="-8"/>
          <w:sz w:val="28"/>
          <w:szCs w:val="28"/>
        </w:rPr>
        <w:t>указанных норм, в связи с чем наблюдается отсутствие единообразного</w:t>
      </w:r>
      <w:r w:rsidRPr="002C5E50">
        <w:rPr>
          <w:spacing w:val="-8"/>
          <w:sz w:val="28"/>
          <w:szCs w:val="28"/>
        </w:rPr>
        <w:t xml:space="preserve"> </w:t>
      </w:r>
      <w:r w:rsidR="00102B13" w:rsidRPr="002C5E50">
        <w:rPr>
          <w:spacing w:val="-8"/>
          <w:sz w:val="28"/>
          <w:szCs w:val="28"/>
        </w:rPr>
        <w:t>понимания относительно того, что следует понимать под последним местом</w:t>
      </w:r>
      <w:r w:rsidRPr="002C5E50">
        <w:rPr>
          <w:spacing w:val="-8"/>
          <w:sz w:val="28"/>
          <w:szCs w:val="28"/>
        </w:rPr>
        <w:t xml:space="preserve"> </w:t>
      </w:r>
      <w:r w:rsidR="00102B13" w:rsidRPr="002C5E50">
        <w:rPr>
          <w:spacing w:val="-8"/>
          <w:sz w:val="28"/>
          <w:szCs w:val="28"/>
        </w:rPr>
        <w:t>службы, предшествующим выходу на пенсию, применительно к ведомственной</w:t>
      </w:r>
      <w:r w:rsidRPr="002C5E50">
        <w:rPr>
          <w:spacing w:val="-8"/>
          <w:sz w:val="28"/>
          <w:szCs w:val="28"/>
        </w:rPr>
        <w:t xml:space="preserve"> </w:t>
      </w:r>
      <w:r w:rsidR="00102B13" w:rsidRPr="002C5E50">
        <w:rPr>
          <w:spacing w:val="-8"/>
          <w:sz w:val="28"/>
          <w:szCs w:val="28"/>
        </w:rPr>
        <w:t>принадлежности органов пенсионного обеспечения, в случаях, когда первоначальное и повторное место службы не</w:t>
      </w:r>
      <w:r w:rsidRPr="002C5E50">
        <w:rPr>
          <w:spacing w:val="-8"/>
          <w:sz w:val="28"/>
          <w:szCs w:val="28"/>
        </w:rPr>
        <w:t xml:space="preserve"> </w:t>
      </w:r>
      <w:r w:rsidR="00102B13" w:rsidRPr="002C5E50">
        <w:rPr>
          <w:spacing w:val="-8"/>
          <w:sz w:val="28"/>
          <w:szCs w:val="28"/>
        </w:rPr>
        <w:t>совпадают по ведомст</w:t>
      </w:r>
      <w:r w:rsidRPr="002C5E50">
        <w:rPr>
          <w:spacing w:val="-8"/>
          <w:sz w:val="28"/>
          <w:szCs w:val="28"/>
        </w:rPr>
        <w:t>венной принадлежности. П</w:t>
      </w:r>
      <w:r w:rsidR="00102B13" w:rsidRPr="002C5E50">
        <w:rPr>
          <w:spacing w:val="-8"/>
          <w:sz w:val="28"/>
          <w:szCs w:val="28"/>
        </w:rPr>
        <w:t>о сложившейся практике определение на военную службу после</w:t>
      </w:r>
      <w:r w:rsidRPr="002C5E50">
        <w:rPr>
          <w:spacing w:val="-8"/>
          <w:sz w:val="28"/>
          <w:szCs w:val="28"/>
        </w:rPr>
        <w:t xml:space="preserve"> </w:t>
      </w:r>
      <w:r w:rsidR="00102B13" w:rsidRPr="002C5E50">
        <w:rPr>
          <w:spacing w:val="-8"/>
          <w:sz w:val="28"/>
          <w:szCs w:val="28"/>
        </w:rPr>
        <w:t>увольнения, например, с правоохранительной службы считается повторным</w:t>
      </w:r>
      <w:r w:rsidRPr="002C5E50">
        <w:rPr>
          <w:spacing w:val="-8"/>
          <w:sz w:val="28"/>
          <w:szCs w:val="28"/>
        </w:rPr>
        <w:t xml:space="preserve"> </w:t>
      </w:r>
      <w:r w:rsidR="00102B13" w:rsidRPr="002C5E50">
        <w:rPr>
          <w:spacing w:val="-8"/>
          <w:sz w:val="28"/>
          <w:szCs w:val="28"/>
        </w:rPr>
        <w:t>определением на тот или иной вид службы, поскольку именно в соответствии с</w:t>
      </w:r>
      <w:r w:rsidRPr="002C5E50">
        <w:rPr>
          <w:spacing w:val="-8"/>
          <w:sz w:val="28"/>
          <w:szCs w:val="28"/>
        </w:rPr>
        <w:t xml:space="preserve"> </w:t>
      </w:r>
      <w:r w:rsidR="00102B13" w:rsidRPr="002C5E50">
        <w:rPr>
          <w:spacing w:val="-8"/>
          <w:sz w:val="28"/>
          <w:szCs w:val="28"/>
        </w:rPr>
        <w:t xml:space="preserve">данной трактовкой </w:t>
      </w:r>
      <w:proofErr w:type="spellStart"/>
      <w:r w:rsidR="00102B13" w:rsidRPr="002C5E50">
        <w:rPr>
          <w:spacing w:val="-8"/>
          <w:sz w:val="28"/>
          <w:szCs w:val="28"/>
        </w:rPr>
        <w:t>правоприменители</w:t>
      </w:r>
      <w:proofErr w:type="spellEnd"/>
      <w:r w:rsidR="00102B13" w:rsidRPr="002C5E50">
        <w:rPr>
          <w:spacing w:val="-8"/>
          <w:sz w:val="28"/>
          <w:szCs w:val="28"/>
        </w:rPr>
        <w:t xml:space="preserve"> производят возобновление выплаты</w:t>
      </w:r>
      <w:r w:rsidRPr="002C5E50">
        <w:rPr>
          <w:spacing w:val="-8"/>
          <w:sz w:val="28"/>
          <w:szCs w:val="28"/>
        </w:rPr>
        <w:t xml:space="preserve"> </w:t>
      </w:r>
      <w:r w:rsidR="00102B13" w:rsidRPr="002C5E50">
        <w:rPr>
          <w:spacing w:val="-8"/>
          <w:sz w:val="28"/>
          <w:szCs w:val="28"/>
        </w:rPr>
        <w:t>пенсии, предусмотренное пунктом 2 статьи 14 Закона.</w:t>
      </w:r>
    </w:p>
    <w:p w:rsidR="0012595E" w:rsidRPr="002C5E50" w:rsidRDefault="00B5283A" w:rsidP="007D643F">
      <w:pPr>
        <w:pStyle w:val="a7"/>
        <w:shd w:val="clear" w:color="auto" w:fill="FFFFFF"/>
        <w:spacing w:before="0" w:beforeAutospacing="0" w:after="0" w:afterAutospacing="0"/>
        <w:ind w:firstLine="600"/>
        <w:jc w:val="both"/>
        <w:rPr>
          <w:color w:val="000000"/>
          <w:sz w:val="28"/>
          <w:szCs w:val="28"/>
        </w:rPr>
      </w:pPr>
      <w:r w:rsidRPr="002C5E50">
        <w:rPr>
          <w:spacing w:val="-8"/>
          <w:sz w:val="28"/>
          <w:szCs w:val="28"/>
        </w:rPr>
        <w:t xml:space="preserve">Таким образом, по мнению автора </w:t>
      </w:r>
      <w:r w:rsidR="00076E93" w:rsidRPr="002C5E50">
        <w:rPr>
          <w:spacing w:val="-8"/>
          <w:sz w:val="28"/>
          <w:szCs w:val="28"/>
        </w:rPr>
        <w:t>запроса, усматривается</w:t>
      </w:r>
      <w:r w:rsidR="0012595E" w:rsidRPr="002C5E50">
        <w:rPr>
          <w:color w:val="000000"/>
          <w:sz w:val="28"/>
          <w:szCs w:val="28"/>
        </w:rPr>
        <w:t xml:space="preserve"> неопределенность в во</w:t>
      </w:r>
      <w:r w:rsidR="007D643F" w:rsidRPr="002C5E50">
        <w:rPr>
          <w:color w:val="000000"/>
          <w:sz w:val="28"/>
          <w:szCs w:val="28"/>
        </w:rPr>
        <w:t>просе о ведомственной принадлежности органа, осуществляющего пенсионное обеспечение лиц, обратившихся за назначением пенсии за выслугу лет, в случаях повторного их определения на службу иной ведомственной принадлежности и последующего с нее увольнения, и связанного с этого порядка исчисления выслуги лет для определения размера пенсий таких лиц</w:t>
      </w:r>
      <w:r w:rsidR="0012595E" w:rsidRPr="002C5E50">
        <w:rPr>
          <w:color w:val="000000"/>
          <w:sz w:val="28"/>
          <w:szCs w:val="28"/>
        </w:rPr>
        <w:t>.</w:t>
      </w:r>
    </w:p>
    <w:p w:rsidR="00EF5839" w:rsidRPr="002C5E50" w:rsidRDefault="00EF5839" w:rsidP="007D643F">
      <w:pPr>
        <w:ind w:firstLine="709"/>
        <w:jc w:val="both"/>
        <w:rPr>
          <w:sz w:val="28"/>
          <w:szCs w:val="28"/>
        </w:rPr>
      </w:pPr>
      <w:r w:rsidRPr="002C5E50">
        <w:rPr>
          <w:sz w:val="28"/>
          <w:szCs w:val="28"/>
        </w:rPr>
        <w:t>Данная неопределенность может быть устранена посредством принятия официального толкования.</w:t>
      </w:r>
    </w:p>
    <w:p w:rsidR="002C5E50" w:rsidRPr="002C5E50" w:rsidRDefault="002C5E50" w:rsidP="002C5E50">
      <w:pPr>
        <w:pStyle w:val="a3"/>
        <w:ind w:firstLine="720"/>
        <w:jc w:val="both"/>
        <w:rPr>
          <w:rFonts w:ascii="Times New Roman" w:hAnsi="Times New Roman" w:cs="Times New Roman"/>
          <w:sz w:val="28"/>
          <w:szCs w:val="28"/>
        </w:rPr>
      </w:pPr>
      <w:r w:rsidRPr="002C5E50">
        <w:rPr>
          <w:rFonts w:ascii="Times New Roman" w:hAnsi="Times New Roman" w:cs="Times New Roman"/>
          <w:sz w:val="28"/>
          <w:szCs w:val="28"/>
        </w:rPr>
        <w:t>П</w:t>
      </w:r>
      <w:r w:rsidR="00EF5839" w:rsidRPr="002C5E50">
        <w:rPr>
          <w:rFonts w:ascii="Times New Roman" w:hAnsi="Times New Roman" w:cs="Times New Roman"/>
          <w:sz w:val="28"/>
          <w:szCs w:val="28"/>
        </w:rPr>
        <w:t>ункт</w:t>
      </w:r>
      <w:r w:rsidRPr="002C5E50">
        <w:rPr>
          <w:rFonts w:ascii="Times New Roman" w:hAnsi="Times New Roman" w:cs="Times New Roman"/>
          <w:sz w:val="28"/>
          <w:szCs w:val="28"/>
        </w:rPr>
        <w:t>ами 1,2,3 ст</w:t>
      </w:r>
      <w:r w:rsidR="00EF5839" w:rsidRPr="002C5E50">
        <w:rPr>
          <w:rFonts w:ascii="Times New Roman" w:hAnsi="Times New Roman" w:cs="Times New Roman"/>
          <w:sz w:val="28"/>
          <w:szCs w:val="28"/>
        </w:rPr>
        <w:t xml:space="preserve">атьи </w:t>
      </w:r>
      <w:r w:rsidRPr="002C5E50">
        <w:rPr>
          <w:rFonts w:ascii="Times New Roman" w:hAnsi="Times New Roman" w:cs="Times New Roman"/>
          <w:sz w:val="28"/>
          <w:szCs w:val="28"/>
        </w:rPr>
        <w:t>39</w:t>
      </w:r>
      <w:r w:rsidR="00EF5839" w:rsidRPr="002C5E50">
        <w:rPr>
          <w:rFonts w:ascii="Times New Roman" w:hAnsi="Times New Roman" w:cs="Times New Roman"/>
          <w:sz w:val="28"/>
          <w:szCs w:val="28"/>
        </w:rPr>
        <w:t xml:space="preserve"> </w:t>
      </w:r>
      <w:r w:rsidRPr="002C5E50">
        <w:rPr>
          <w:rFonts w:ascii="Times New Roman" w:hAnsi="Times New Roman" w:cs="Times New Roman"/>
          <w:sz w:val="28"/>
          <w:szCs w:val="28"/>
        </w:rPr>
        <w:t xml:space="preserve">Закона </w:t>
      </w:r>
      <w:r w:rsidR="00EF5839" w:rsidRPr="002C5E50">
        <w:rPr>
          <w:rFonts w:ascii="Times New Roman" w:hAnsi="Times New Roman" w:cs="Times New Roman"/>
          <w:sz w:val="28"/>
          <w:szCs w:val="28"/>
        </w:rPr>
        <w:t>П</w:t>
      </w:r>
      <w:r w:rsidRPr="002C5E50">
        <w:rPr>
          <w:rFonts w:ascii="Times New Roman" w:hAnsi="Times New Roman" w:cs="Times New Roman"/>
          <w:sz w:val="28"/>
          <w:szCs w:val="28"/>
        </w:rPr>
        <w:t xml:space="preserve">риднестровской </w:t>
      </w:r>
      <w:r w:rsidR="00EF5839" w:rsidRPr="002C5E50">
        <w:rPr>
          <w:rFonts w:ascii="Times New Roman" w:hAnsi="Times New Roman" w:cs="Times New Roman"/>
          <w:sz w:val="28"/>
          <w:szCs w:val="28"/>
        </w:rPr>
        <w:t>М</w:t>
      </w:r>
      <w:r w:rsidRPr="002C5E50">
        <w:rPr>
          <w:rFonts w:ascii="Times New Roman" w:hAnsi="Times New Roman" w:cs="Times New Roman"/>
          <w:sz w:val="28"/>
          <w:szCs w:val="28"/>
        </w:rPr>
        <w:t xml:space="preserve">олдавской </w:t>
      </w:r>
      <w:r w:rsidR="00EF5839" w:rsidRPr="002C5E50">
        <w:rPr>
          <w:rFonts w:ascii="Times New Roman" w:hAnsi="Times New Roman" w:cs="Times New Roman"/>
          <w:sz w:val="28"/>
          <w:szCs w:val="28"/>
        </w:rPr>
        <w:t>Р</w:t>
      </w:r>
      <w:r w:rsidRPr="002C5E50">
        <w:rPr>
          <w:rFonts w:ascii="Times New Roman" w:hAnsi="Times New Roman" w:cs="Times New Roman"/>
          <w:sz w:val="28"/>
          <w:szCs w:val="28"/>
        </w:rPr>
        <w:t xml:space="preserve">еспублики «Об актах законодательства Приднестровской Молдавской Республики» определено, что толкование нормативных правовых актов представляет осуществляемая </w:t>
      </w:r>
      <w:proofErr w:type="spellStart"/>
      <w:r w:rsidRPr="002C5E50">
        <w:rPr>
          <w:rFonts w:ascii="Times New Roman" w:hAnsi="Times New Roman" w:cs="Times New Roman"/>
          <w:sz w:val="28"/>
          <w:szCs w:val="28"/>
        </w:rPr>
        <w:t>управомоченными</w:t>
      </w:r>
      <w:proofErr w:type="spellEnd"/>
      <w:r w:rsidRPr="002C5E50">
        <w:rPr>
          <w:rFonts w:ascii="Times New Roman" w:hAnsi="Times New Roman" w:cs="Times New Roman"/>
          <w:sz w:val="28"/>
          <w:szCs w:val="28"/>
        </w:rPr>
        <w:t xml:space="preserve"> субъектами деятельность по уяснению и разъяснению смысла и содержания нормативных правовых актов в процессе их реализации. Толкование нормативного правового акта не должно изменять его смысл. Не допускается установление новых норм (то есть норм, отсутствующих в актах, в отношении которых осуществляется толкование) права актами официального толкования.</w:t>
      </w:r>
    </w:p>
    <w:p w:rsidR="00EF5839" w:rsidRPr="002C5E50" w:rsidRDefault="00EF5839" w:rsidP="007D643F">
      <w:pPr>
        <w:pStyle w:val="a3"/>
        <w:ind w:right="99" w:firstLine="600"/>
        <w:jc w:val="both"/>
        <w:rPr>
          <w:rFonts w:ascii="Times New Roman" w:hAnsi="Times New Roman" w:cs="Times New Roman"/>
          <w:sz w:val="28"/>
          <w:szCs w:val="28"/>
        </w:rPr>
      </w:pPr>
      <w:r w:rsidRPr="002C5E50">
        <w:rPr>
          <w:rFonts w:ascii="Times New Roman" w:hAnsi="Times New Roman" w:cs="Times New Roman"/>
          <w:sz w:val="28"/>
          <w:szCs w:val="28"/>
        </w:rPr>
        <w:t>Рассмотрев запрос, на основе анализа правовых норм законодательства Приднестровской Молдавской Республики и в соответствии со статьей 101 Регламента Верховного Совета П</w:t>
      </w:r>
      <w:r w:rsidR="002C5E50" w:rsidRPr="002C5E50">
        <w:rPr>
          <w:rFonts w:ascii="Times New Roman" w:hAnsi="Times New Roman" w:cs="Times New Roman"/>
          <w:sz w:val="28"/>
          <w:szCs w:val="28"/>
        </w:rPr>
        <w:t xml:space="preserve">риднестровской </w:t>
      </w:r>
      <w:r w:rsidRPr="002C5E50">
        <w:rPr>
          <w:rFonts w:ascii="Times New Roman" w:hAnsi="Times New Roman" w:cs="Times New Roman"/>
          <w:sz w:val="28"/>
          <w:szCs w:val="28"/>
        </w:rPr>
        <w:t>М</w:t>
      </w:r>
      <w:r w:rsidR="002C5E50" w:rsidRPr="002C5E50">
        <w:rPr>
          <w:rFonts w:ascii="Times New Roman" w:hAnsi="Times New Roman" w:cs="Times New Roman"/>
          <w:sz w:val="28"/>
          <w:szCs w:val="28"/>
        </w:rPr>
        <w:t xml:space="preserve">олдавской </w:t>
      </w:r>
      <w:r w:rsidRPr="002C5E50">
        <w:rPr>
          <w:rFonts w:ascii="Times New Roman" w:hAnsi="Times New Roman" w:cs="Times New Roman"/>
          <w:sz w:val="28"/>
          <w:szCs w:val="28"/>
        </w:rPr>
        <w:t>Р</w:t>
      </w:r>
      <w:r w:rsidR="002C5E50" w:rsidRPr="002C5E50">
        <w:rPr>
          <w:rFonts w:ascii="Times New Roman" w:hAnsi="Times New Roman" w:cs="Times New Roman"/>
          <w:sz w:val="28"/>
          <w:szCs w:val="28"/>
        </w:rPr>
        <w:t>еспублики</w:t>
      </w:r>
      <w:r w:rsidRPr="002C5E50">
        <w:rPr>
          <w:rFonts w:ascii="Times New Roman" w:hAnsi="Times New Roman" w:cs="Times New Roman"/>
          <w:sz w:val="28"/>
          <w:szCs w:val="28"/>
        </w:rPr>
        <w:t xml:space="preserve"> </w:t>
      </w:r>
      <w:r w:rsidR="002C5E50">
        <w:rPr>
          <w:rFonts w:ascii="Times New Roman" w:hAnsi="Times New Roman" w:cs="Times New Roman"/>
          <w:sz w:val="28"/>
          <w:szCs w:val="28"/>
        </w:rPr>
        <w:t xml:space="preserve">депутатами </w:t>
      </w:r>
      <w:r w:rsidRPr="002C5E50">
        <w:rPr>
          <w:rFonts w:ascii="Times New Roman" w:hAnsi="Times New Roman" w:cs="Times New Roman"/>
          <w:sz w:val="28"/>
          <w:szCs w:val="28"/>
        </w:rPr>
        <w:t>Комитет</w:t>
      </w:r>
      <w:r w:rsidR="002C5E50">
        <w:rPr>
          <w:rFonts w:ascii="Times New Roman" w:hAnsi="Times New Roman" w:cs="Times New Roman"/>
          <w:sz w:val="28"/>
          <w:szCs w:val="28"/>
        </w:rPr>
        <w:t>а</w:t>
      </w:r>
      <w:r w:rsidRPr="002C5E50">
        <w:rPr>
          <w:rFonts w:ascii="Times New Roman" w:hAnsi="Times New Roman" w:cs="Times New Roman"/>
          <w:sz w:val="28"/>
          <w:szCs w:val="28"/>
        </w:rPr>
        <w:t xml:space="preserve"> Верховного </w:t>
      </w:r>
      <w:r w:rsidR="002C5E50" w:rsidRPr="002C5E50">
        <w:rPr>
          <w:rFonts w:ascii="Times New Roman" w:hAnsi="Times New Roman" w:cs="Times New Roman"/>
          <w:sz w:val="28"/>
          <w:szCs w:val="28"/>
        </w:rPr>
        <w:t>Совета Приднестровской</w:t>
      </w:r>
      <w:r w:rsidRPr="002C5E50">
        <w:rPr>
          <w:rFonts w:ascii="Times New Roman" w:hAnsi="Times New Roman" w:cs="Times New Roman"/>
          <w:sz w:val="28"/>
          <w:szCs w:val="28"/>
        </w:rPr>
        <w:t xml:space="preserve"> Молдавской Республики </w:t>
      </w:r>
      <w:r w:rsidR="00B5283A" w:rsidRPr="002C5E50">
        <w:rPr>
          <w:rFonts w:ascii="Times New Roman" w:hAnsi="Times New Roman" w:cs="Times New Roman"/>
          <w:sz w:val="28"/>
          <w:szCs w:val="28"/>
        </w:rPr>
        <w:t xml:space="preserve">по социальной </w:t>
      </w:r>
      <w:r w:rsidR="002C5E50" w:rsidRPr="002C5E50">
        <w:rPr>
          <w:rFonts w:ascii="Times New Roman" w:hAnsi="Times New Roman" w:cs="Times New Roman"/>
          <w:sz w:val="28"/>
          <w:szCs w:val="28"/>
        </w:rPr>
        <w:t>политике и</w:t>
      </w:r>
      <w:r w:rsidR="00B5283A" w:rsidRPr="002C5E50">
        <w:rPr>
          <w:rFonts w:ascii="Times New Roman" w:hAnsi="Times New Roman" w:cs="Times New Roman"/>
          <w:sz w:val="28"/>
          <w:szCs w:val="28"/>
        </w:rPr>
        <w:t xml:space="preserve"> здравоохранению</w:t>
      </w:r>
      <w:r w:rsidR="00076E93" w:rsidRPr="002C5E50">
        <w:rPr>
          <w:rFonts w:ascii="Times New Roman" w:hAnsi="Times New Roman" w:cs="Times New Roman"/>
          <w:sz w:val="28"/>
          <w:szCs w:val="28"/>
        </w:rPr>
        <w:t xml:space="preserve"> </w:t>
      </w:r>
      <w:r w:rsidR="002C5E50">
        <w:rPr>
          <w:rFonts w:ascii="Times New Roman" w:hAnsi="Times New Roman" w:cs="Times New Roman"/>
          <w:sz w:val="28"/>
          <w:szCs w:val="28"/>
        </w:rPr>
        <w:t xml:space="preserve">было </w:t>
      </w:r>
      <w:r w:rsidRPr="002C5E50">
        <w:rPr>
          <w:rFonts w:ascii="Times New Roman" w:hAnsi="Times New Roman" w:cs="Times New Roman"/>
          <w:sz w:val="28"/>
          <w:szCs w:val="28"/>
        </w:rPr>
        <w:t>принято решение подготовить соответствующий проект постановления Верховного Совета Приднестровской Молдавской Республики.</w:t>
      </w:r>
    </w:p>
    <w:p w:rsidR="00EF5839" w:rsidRPr="002C5E50" w:rsidRDefault="00EF5839" w:rsidP="007D643F">
      <w:pPr>
        <w:tabs>
          <w:tab w:val="left" w:pos="2475"/>
        </w:tabs>
        <w:ind w:firstLine="600"/>
        <w:jc w:val="both"/>
        <w:rPr>
          <w:sz w:val="28"/>
          <w:szCs w:val="28"/>
        </w:rPr>
      </w:pPr>
      <w:r w:rsidRPr="002C5E50">
        <w:rPr>
          <w:sz w:val="28"/>
          <w:szCs w:val="28"/>
        </w:rPr>
        <w:t>Принятие данного проекта постановления не требует изменений или дополнений, а также отмены иных нормативных правовых актов.</w:t>
      </w:r>
    </w:p>
    <w:p w:rsidR="00EF5839" w:rsidRPr="002C5E50" w:rsidRDefault="00EF5839" w:rsidP="007D643F">
      <w:pPr>
        <w:tabs>
          <w:tab w:val="left" w:pos="2475"/>
        </w:tabs>
        <w:ind w:firstLine="600"/>
        <w:jc w:val="both"/>
        <w:rPr>
          <w:sz w:val="28"/>
          <w:szCs w:val="28"/>
        </w:rPr>
      </w:pPr>
      <w:r w:rsidRPr="002C5E50">
        <w:rPr>
          <w:sz w:val="28"/>
          <w:szCs w:val="28"/>
        </w:rPr>
        <w:t>Для реализации данного проекта постановления не требуется разработки и принятия иных нормативных правовых актов.</w:t>
      </w:r>
    </w:p>
    <w:p w:rsidR="00EF5839" w:rsidRPr="002C5E50" w:rsidRDefault="00EF5839" w:rsidP="007D643F">
      <w:pPr>
        <w:tabs>
          <w:tab w:val="left" w:pos="2475"/>
        </w:tabs>
        <w:ind w:firstLine="600"/>
        <w:jc w:val="both"/>
        <w:rPr>
          <w:sz w:val="28"/>
          <w:szCs w:val="28"/>
        </w:rPr>
      </w:pPr>
      <w:r w:rsidRPr="002C5E50">
        <w:rPr>
          <w:sz w:val="28"/>
          <w:szCs w:val="28"/>
        </w:rPr>
        <w:t>Данный проект постановления не повлечет необходимости</w:t>
      </w:r>
      <w:r w:rsidR="00076E93" w:rsidRPr="002C5E50">
        <w:rPr>
          <w:sz w:val="28"/>
          <w:szCs w:val="28"/>
        </w:rPr>
        <w:t xml:space="preserve"> выделения дополнительных</w:t>
      </w:r>
      <w:r w:rsidRPr="002C5E50">
        <w:rPr>
          <w:sz w:val="28"/>
          <w:szCs w:val="28"/>
        </w:rPr>
        <w:t xml:space="preserve"> материальных и иных затрат.</w:t>
      </w:r>
      <w:bookmarkStart w:id="0" w:name="_GoBack"/>
      <w:bookmarkEnd w:id="0"/>
    </w:p>
    <w:sectPr w:rsidR="00EF5839" w:rsidRPr="002C5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38"/>
    <w:rsid w:val="00076E93"/>
    <w:rsid w:val="00102B13"/>
    <w:rsid w:val="0012595E"/>
    <w:rsid w:val="002648BC"/>
    <w:rsid w:val="002C5E50"/>
    <w:rsid w:val="004517AE"/>
    <w:rsid w:val="00545938"/>
    <w:rsid w:val="007D643F"/>
    <w:rsid w:val="00A9654B"/>
    <w:rsid w:val="00B5283A"/>
    <w:rsid w:val="00B726E5"/>
    <w:rsid w:val="00D1203F"/>
    <w:rsid w:val="00EF5839"/>
    <w:rsid w:val="00FA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317B-162A-4CC5-98A0-0DC5C129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a4"/>
    <w:uiPriority w:val="99"/>
    <w:unhideWhenUsed/>
    <w:rsid w:val="00EF5839"/>
    <w:rPr>
      <w:rFonts w:ascii="Consolas" w:eastAsiaTheme="minorHAnsi" w:hAnsi="Consolas" w:cstheme="minorBidi"/>
      <w:sz w:val="21"/>
      <w:szCs w:val="21"/>
      <w:lang w:eastAsia="en-US"/>
    </w:rPr>
  </w:style>
  <w:style w:type="character" w:customStyle="1" w:styleId="a4">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EF5839"/>
    <w:rPr>
      <w:rFonts w:ascii="Consolas" w:hAnsi="Consolas"/>
      <w:sz w:val="21"/>
      <w:szCs w:val="21"/>
    </w:rPr>
  </w:style>
  <w:style w:type="character" w:customStyle="1" w:styleId="a5">
    <w:name w:val="Основной текст Знак"/>
    <w:basedOn w:val="a0"/>
    <w:link w:val="a6"/>
    <w:rsid w:val="00EF5839"/>
    <w:rPr>
      <w:spacing w:val="6"/>
      <w:sz w:val="21"/>
      <w:szCs w:val="21"/>
      <w:shd w:val="clear" w:color="auto" w:fill="FFFFFF"/>
    </w:rPr>
  </w:style>
  <w:style w:type="paragraph" w:styleId="a6">
    <w:name w:val="Body Text"/>
    <w:basedOn w:val="a"/>
    <w:link w:val="a5"/>
    <w:rsid w:val="00EF5839"/>
    <w:pPr>
      <w:shd w:val="clear" w:color="auto" w:fill="FFFFFF"/>
      <w:spacing w:after="60" w:line="240" w:lineRule="atLeast"/>
    </w:pPr>
    <w:rPr>
      <w:rFonts w:asciiTheme="minorHAnsi" w:eastAsiaTheme="minorHAnsi" w:hAnsiTheme="minorHAnsi" w:cstheme="minorBidi"/>
      <w:spacing w:val="6"/>
      <w:sz w:val="21"/>
      <w:szCs w:val="21"/>
      <w:lang w:eastAsia="en-US"/>
    </w:rPr>
  </w:style>
  <w:style w:type="character" w:customStyle="1" w:styleId="1">
    <w:name w:val="Основной текст Знак1"/>
    <w:basedOn w:val="a0"/>
    <w:uiPriority w:val="99"/>
    <w:semiHidden/>
    <w:rsid w:val="00EF5839"/>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12595E"/>
    <w:pPr>
      <w:spacing w:before="100" w:beforeAutospacing="1" w:after="100" w:afterAutospacing="1"/>
    </w:pPr>
  </w:style>
  <w:style w:type="paragraph" w:styleId="a8">
    <w:name w:val="Balloon Text"/>
    <w:basedOn w:val="a"/>
    <w:link w:val="a9"/>
    <w:uiPriority w:val="99"/>
    <w:semiHidden/>
    <w:unhideWhenUsed/>
    <w:rsid w:val="00076E93"/>
    <w:rPr>
      <w:rFonts w:ascii="Segoe UI" w:hAnsi="Segoe UI" w:cs="Segoe UI"/>
      <w:sz w:val="18"/>
      <w:szCs w:val="18"/>
    </w:rPr>
  </w:style>
  <w:style w:type="character" w:customStyle="1" w:styleId="a9">
    <w:name w:val="Текст выноски Знак"/>
    <w:basedOn w:val="a0"/>
    <w:link w:val="a8"/>
    <w:uiPriority w:val="99"/>
    <w:semiHidden/>
    <w:rsid w:val="00076E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0465-0EFE-4916-A99B-0BDC582C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Дротенко Оксана Александровна</cp:lastModifiedBy>
  <cp:revision>6</cp:revision>
  <cp:lastPrinted>2022-05-25T13:05:00Z</cp:lastPrinted>
  <dcterms:created xsi:type="dcterms:W3CDTF">2022-05-11T08:39:00Z</dcterms:created>
  <dcterms:modified xsi:type="dcterms:W3CDTF">2023-10-31T08:19:00Z</dcterms:modified>
</cp:coreProperties>
</file>