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80" w:rsidRPr="00CF0533" w:rsidRDefault="002D2C80" w:rsidP="002D2C80">
      <w:pPr>
        <w:pStyle w:val="a4"/>
        <w:shd w:val="clear" w:color="auto" w:fill="auto"/>
        <w:spacing w:after="0" w:line="240" w:lineRule="auto"/>
        <w:ind w:left="20" w:right="20" w:firstLine="560"/>
        <w:jc w:val="right"/>
        <w:rPr>
          <w:rFonts w:ascii="Times New Roman" w:hAnsi="Times New Roman" w:cs="Times New Roman"/>
          <w:sz w:val="28"/>
          <w:szCs w:val="28"/>
        </w:rPr>
      </w:pPr>
      <w:r w:rsidRPr="00CF0533">
        <w:rPr>
          <w:rFonts w:ascii="Times New Roman" w:hAnsi="Times New Roman" w:cs="Times New Roman"/>
          <w:sz w:val="28"/>
          <w:szCs w:val="28"/>
        </w:rPr>
        <w:t>проект</w:t>
      </w:r>
    </w:p>
    <w:p w:rsidR="002D2C80" w:rsidRPr="00CF0533" w:rsidRDefault="002D2C80" w:rsidP="002D2C80">
      <w:pPr>
        <w:pStyle w:val="a4"/>
        <w:shd w:val="clear" w:color="auto" w:fill="auto"/>
        <w:spacing w:after="0" w:line="240" w:lineRule="auto"/>
        <w:ind w:left="20" w:right="20" w:firstLine="560"/>
        <w:jc w:val="both"/>
        <w:rPr>
          <w:rFonts w:ascii="Times New Roman" w:hAnsi="Times New Roman" w:cs="Times New Roman"/>
          <w:sz w:val="28"/>
          <w:szCs w:val="28"/>
        </w:rPr>
      </w:pPr>
    </w:p>
    <w:p w:rsidR="002D2C80" w:rsidRPr="00CF0533" w:rsidRDefault="002D2C80" w:rsidP="002D2C80">
      <w:pPr>
        <w:jc w:val="center"/>
        <w:rPr>
          <w:sz w:val="28"/>
          <w:szCs w:val="28"/>
        </w:rPr>
      </w:pPr>
      <w:r w:rsidRPr="00CF0533">
        <w:rPr>
          <w:sz w:val="28"/>
          <w:szCs w:val="28"/>
        </w:rPr>
        <w:t>ПОСТАНОВЛЕНИЕ № ______</w:t>
      </w:r>
    </w:p>
    <w:p w:rsidR="002D2C80" w:rsidRPr="00CF0533" w:rsidRDefault="002D2C80" w:rsidP="002D2C80">
      <w:pPr>
        <w:jc w:val="both"/>
        <w:rPr>
          <w:sz w:val="28"/>
          <w:szCs w:val="28"/>
        </w:rPr>
      </w:pPr>
    </w:p>
    <w:p w:rsidR="002D2C80" w:rsidRPr="00CF0533" w:rsidRDefault="002D2C80" w:rsidP="002D2C80">
      <w:pPr>
        <w:jc w:val="both"/>
        <w:rPr>
          <w:sz w:val="28"/>
          <w:szCs w:val="28"/>
        </w:rPr>
      </w:pPr>
      <w:r w:rsidRPr="00CF0533">
        <w:rPr>
          <w:sz w:val="28"/>
          <w:szCs w:val="28"/>
        </w:rPr>
        <w:t>Принято Верховным Советом</w:t>
      </w:r>
    </w:p>
    <w:p w:rsidR="002D2C80" w:rsidRPr="00CF0533" w:rsidRDefault="002D2C80" w:rsidP="002D2C80">
      <w:pPr>
        <w:jc w:val="both"/>
        <w:rPr>
          <w:sz w:val="28"/>
          <w:szCs w:val="28"/>
        </w:rPr>
      </w:pPr>
      <w:r w:rsidRPr="00CF0533">
        <w:rPr>
          <w:sz w:val="28"/>
          <w:szCs w:val="28"/>
        </w:rPr>
        <w:t xml:space="preserve">Приднестровской Молдавской Республики              </w:t>
      </w:r>
      <w:proofErr w:type="gramStart"/>
      <w:r w:rsidRPr="00CF0533">
        <w:rPr>
          <w:sz w:val="28"/>
          <w:szCs w:val="28"/>
        </w:rPr>
        <w:t xml:space="preserve">   «</w:t>
      </w:r>
      <w:proofErr w:type="gramEnd"/>
      <w:r w:rsidRPr="00CF0533">
        <w:rPr>
          <w:sz w:val="28"/>
          <w:szCs w:val="28"/>
        </w:rPr>
        <w:t>____» ______ 202</w:t>
      </w:r>
      <w:r w:rsidR="0039719C">
        <w:rPr>
          <w:sz w:val="28"/>
          <w:szCs w:val="28"/>
        </w:rPr>
        <w:t>3</w:t>
      </w:r>
      <w:r w:rsidRPr="00CF0533">
        <w:rPr>
          <w:sz w:val="28"/>
          <w:szCs w:val="28"/>
        </w:rPr>
        <w:t xml:space="preserve"> года</w:t>
      </w:r>
    </w:p>
    <w:p w:rsidR="002D2C80" w:rsidRPr="00CF0533" w:rsidRDefault="002D2C80" w:rsidP="002D2C80">
      <w:pPr>
        <w:pStyle w:val="20"/>
        <w:shd w:val="clear" w:color="auto" w:fill="auto"/>
        <w:tabs>
          <w:tab w:val="left" w:pos="4320"/>
        </w:tabs>
        <w:spacing w:before="0" w:line="240" w:lineRule="auto"/>
        <w:ind w:left="20" w:right="5035"/>
        <w:jc w:val="both"/>
        <w:rPr>
          <w:rFonts w:ascii="Times New Roman" w:hAnsi="Times New Roman" w:cs="Times New Roman"/>
          <w:b w:val="0"/>
          <w:bCs w:val="0"/>
          <w:spacing w:val="0"/>
          <w:sz w:val="28"/>
          <w:szCs w:val="28"/>
          <w:lang w:eastAsia="ru-RU"/>
        </w:rPr>
      </w:pPr>
    </w:p>
    <w:p w:rsidR="0039719C" w:rsidRPr="00A47AFE" w:rsidRDefault="0039719C" w:rsidP="0039719C">
      <w:pPr>
        <w:widowControl w:val="0"/>
        <w:ind w:right="4676"/>
        <w:jc w:val="both"/>
        <w:rPr>
          <w:sz w:val="28"/>
          <w:szCs w:val="28"/>
        </w:rPr>
      </w:pPr>
      <w:r w:rsidRPr="00A47AFE">
        <w:rPr>
          <w:b/>
          <w:sz w:val="28"/>
          <w:szCs w:val="28"/>
        </w:rPr>
        <w:t xml:space="preserve">О </w:t>
      </w:r>
      <w:r>
        <w:rPr>
          <w:b/>
          <w:sz w:val="28"/>
          <w:szCs w:val="28"/>
        </w:rPr>
        <w:t>толковании пункта 1 статьи 11, пункта 2 статьи 14, пункта 2                  статьи 42, пункта 1 статьи 48 Закона Приднестровской Молдавской Республики</w:t>
      </w:r>
      <w:r w:rsidRPr="00A47AFE">
        <w:rPr>
          <w:b/>
          <w:sz w:val="28"/>
          <w:szCs w:val="28"/>
        </w:rPr>
        <w:t xml:space="preserve"> </w:t>
      </w:r>
      <w:r>
        <w:rPr>
          <w:b/>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2D2C80" w:rsidRPr="00CF0533" w:rsidRDefault="002D2C80" w:rsidP="002D2C80">
      <w:pPr>
        <w:pStyle w:val="a4"/>
        <w:shd w:val="clear" w:color="auto" w:fill="auto"/>
        <w:spacing w:after="0" w:line="240" w:lineRule="auto"/>
        <w:ind w:left="20" w:right="20" w:firstLine="560"/>
        <w:jc w:val="both"/>
        <w:rPr>
          <w:rFonts w:ascii="Times New Roman" w:hAnsi="Times New Roman" w:cs="Times New Roman"/>
          <w:spacing w:val="0"/>
          <w:sz w:val="28"/>
          <w:szCs w:val="28"/>
          <w:lang w:eastAsia="ru-RU"/>
        </w:rPr>
      </w:pPr>
    </w:p>
    <w:p w:rsidR="002D2C80" w:rsidRPr="00CF0533" w:rsidRDefault="002D2C80" w:rsidP="002D2C80">
      <w:pPr>
        <w:ind w:firstLine="720"/>
        <w:jc w:val="both"/>
        <w:rPr>
          <w:sz w:val="28"/>
          <w:szCs w:val="28"/>
        </w:rPr>
      </w:pPr>
      <w:r w:rsidRPr="00CF0533">
        <w:rPr>
          <w:sz w:val="28"/>
          <w:szCs w:val="28"/>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ПОСТАНОВЛЯЕТ: </w:t>
      </w:r>
    </w:p>
    <w:p w:rsidR="002D2C80" w:rsidRPr="00CF0533" w:rsidRDefault="002D2C80" w:rsidP="002D2C80">
      <w:pPr>
        <w:pStyle w:val="a4"/>
        <w:shd w:val="clear" w:color="auto" w:fill="auto"/>
        <w:spacing w:after="0" w:line="240" w:lineRule="auto"/>
        <w:ind w:left="20" w:right="20" w:firstLine="547"/>
        <w:jc w:val="both"/>
        <w:rPr>
          <w:rFonts w:ascii="Times New Roman" w:hAnsi="Times New Roman" w:cs="Times New Roman"/>
          <w:spacing w:val="0"/>
          <w:sz w:val="28"/>
          <w:szCs w:val="28"/>
          <w:lang w:eastAsia="ru-RU"/>
        </w:rPr>
      </w:pPr>
    </w:p>
    <w:p w:rsidR="00BF19FE" w:rsidRPr="00CF0533" w:rsidRDefault="002D2C80" w:rsidP="00F422FC">
      <w:pPr>
        <w:ind w:firstLine="547"/>
        <w:jc w:val="both"/>
        <w:rPr>
          <w:sz w:val="28"/>
          <w:szCs w:val="28"/>
        </w:rPr>
      </w:pPr>
      <w:r w:rsidRPr="00CF0533">
        <w:rPr>
          <w:sz w:val="28"/>
          <w:szCs w:val="28"/>
        </w:rPr>
        <w:t xml:space="preserve">Принять толкование статьи </w:t>
      </w:r>
      <w:r w:rsidR="00187F0D" w:rsidRPr="00187F0D">
        <w:rPr>
          <w:sz w:val="28"/>
          <w:szCs w:val="28"/>
        </w:rPr>
        <w:t xml:space="preserve">пункта 1 статьи 11, пункта 2 статьи 14, </w:t>
      </w:r>
      <w:r w:rsidR="00187F0D">
        <w:rPr>
          <w:sz w:val="28"/>
          <w:szCs w:val="28"/>
        </w:rPr>
        <w:t xml:space="preserve">                    </w:t>
      </w:r>
      <w:r w:rsidR="00187F0D" w:rsidRPr="00187F0D">
        <w:rPr>
          <w:sz w:val="28"/>
          <w:szCs w:val="28"/>
        </w:rPr>
        <w:t>пункта 2 статьи 42, пункта 1 статьи 48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Pr="00CF0533">
        <w:rPr>
          <w:sz w:val="28"/>
          <w:szCs w:val="28"/>
        </w:rPr>
        <w:t xml:space="preserve"> </w:t>
      </w:r>
      <w:r w:rsidR="00187F0D" w:rsidRPr="00187F0D">
        <w:rPr>
          <w:sz w:val="28"/>
          <w:szCs w:val="28"/>
        </w:rPr>
        <w:t>от 24 января 2000 года № 230-З</w:t>
      </w:r>
      <w:r w:rsidR="00187F0D">
        <w:rPr>
          <w:sz w:val="28"/>
          <w:szCs w:val="28"/>
        </w:rPr>
        <w:t xml:space="preserve"> </w:t>
      </w:r>
      <w:r w:rsidR="00187F0D" w:rsidRPr="00187F0D">
        <w:rPr>
          <w:sz w:val="28"/>
          <w:szCs w:val="28"/>
        </w:rPr>
        <w:t xml:space="preserve">(СЗМР 00-1) с изменениями и дополнениями, внесенными законами Приднестровской Молдавской Республики от 15 мая 2002 года № 125-ЗИД-III (САЗ 02-20); от 30 июня </w:t>
      </w:r>
      <w:r w:rsidR="00187F0D">
        <w:rPr>
          <w:sz w:val="28"/>
          <w:szCs w:val="28"/>
        </w:rPr>
        <w:t xml:space="preserve">                </w:t>
      </w:r>
      <w:r w:rsidR="00187F0D" w:rsidRPr="00187F0D">
        <w:rPr>
          <w:sz w:val="28"/>
          <w:szCs w:val="28"/>
        </w:rPr>
        <w:t>2003 года № 299-ЗИД-III (САЗ 03-27); от 30 июня 2004 года</w:t>
      </w:r>
      <w:r w:rsidR="00187F0D">
        <w:rPr>
          <w:sz w:val="28"/>
          <w:szCs w:val="28"/>
        </w:rPr>
        <w:t xml:space="preserve"> №</w:t>
      </w:r>
      <w:r w:rsidR="00187F0D" w:rsidRPr="00187F0D">
        <w:rPr>
          <w:sz w:val="28"/>
          <w:szCs w:val="28"/>
        </w:rPr>
        <w:t xml:space="preserve"> 435-ЗИ-III </w:t>
      </w:r>
      <w:r w:rsidR="00187F0D">
        <w:rPr>
          <w:sz w:val="28"/>
          <w:szCs w:val="28"/>
        </w:rPr>
        <w:t xml:space="preserve">             </w:t>
      </w:r>
      <w:r w:rsidR="00187F0D" w:rsidRPr="00187F0D">
        <w:rPr>
          <w:sz w:val="28"/>
          <w:szCs w:val="28"/>
        </w:rPr>
        <w:t>(САЗ 04-27); от 25 февраля 2005 года № 540-ЗИД-III</w:t>
      </w:r>
      <w:r w:rsidR="00187F0D">
        <w:rPr>
          <w:sz w:val="28"/>
          <w:szCs w:val="28"/>
        </w:rPr>
        <w:t xml:space="preserve"> </w:t>
      </w:r>
      <w:r w:rsidR="00187F0D" w:rsidRPr="00187F0D">
        <w:rPr>
          <w:sz w:val="28"/>
          <w:szCs w:val="28"/>
        </w:rP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(САЗ 09-19); от 6 июля 2009 года № 797-ЗИД-IV (САЗ 09-28); от 25 августа 2009 года № 850-ЗИ-IV (САЗ 09-35); от 22 октября 2009 года № 894-ЗИД-IV (САЗ 09-43); от 29 апреля 2010 года </w:t>
      </w:r>
      <w:r w:rsidR="00187F0D">
        <w:rPr>
          <w:sz w:val="28"/>
          <w:szCs w:val="28"/>
        </w:rPr>
        <w:t xml:space="preserve">    </w:t>
      </w:r>
      <w:r w:rsidR="00187F0D" w:rsidRPr="00187F0D">
        <w:rPr>
          <w:sz w:val="28"/>
          <w:szCs w:val="28"/>
        </w:rPr>
        <w:t xml:space="preserve">№ 71-ЗИД-IV (САЗ 10-17); от 29 апреля 2010 года № 72-ЗИ-IV (САЗ 10-17); </w:t>
      </w:r>
      <w:r w:rsidR="00187F0D">
        <w:rPr>
          <w:sz w:val="28"/>
          <w:szCs w:val="28"/>
        </w:rPr>
        <w:t xml:space="preserve">  </w:t>
      </w:r>
      <w:r w:rsidR="00187F0D" w:rsidRPr="00187F0D">
        <w:rPr>
          <w:sz w:val="28"/>
          <w:szCs w:val="28"/>
        </w:rPr>
        <w:t>от 27 июля 2010 года № 154-ЗИ-IV</w:t>
      </w:r>
      <w:r w:rsidR="00187F0D">
        <w:rPr>
          <w:sz w:val="28"/>
          <w:szCs w:val="28"/>
        </w:rPr>
        <w:t xml:space="preserve"> </w:t>
      </w:r>
      <w:r w:rsidR="00187F0D" w:rsidRPr="00187F0D">
        <w:rPr>
          <w:sz w:val="28"/>
          <w:szCs w:val="28"/>
        </w:rPr>
        <w:t xml:space="preserve">(САЗ 10-30); от 15 ноября 2010 года </w:t>
      </w:r>
      <w:r w:rsidR="00187F0D">
        <w:rPr>
          <w:sz w:val="28"/>
          <w:szCs w:val="28"/>
        </w:rPr>
        <w:t xml:space="preserve">                     </w:t>
      </w:r>
      <w:r w:rsidR="00187F0D" w:rsidRPr="00187F0D">
        <w:rPr>
          <w:sz w:val="28"/>
          <w:szCs w:val="28"/>
        </w:rPr>
        <w:t xml:space="preserve">№ 211-ЗИД-IV (САЗ 10-46); от 7 декабря 2011 года № 228-ЗД-V (САЗ 11-49); от 29 декабря 2011 года № 264-ЗИ-V (САЗ 12-1,1); от 5 июля 2012 года </w:t>
      </w:r>
      <w:r w:rsidR="00187F0D">
        <w:rPr>
          <w:sz w:val="28"/>
          <w:szCs w:val="28"/>
        </w:rPr>
        <w:t xml:space="preserve">                        </w:t>
      </w:r>
      <w:r w:rsidR="00187F0D" w:rsidRPr="00187F0D">
        <w:rPr>
          <w:sz w:val="28"/>
          <w:szCs w:val="28"/>
        </w:rPr>
        <w:lastRenderedPageBreak/>
        <w:t xml:space="preserve">№ 119-ЗИД-V (САЗ 12-28); от 29 декабря 2012 года № 283-ЗИ-V (САЗ 12-53); от 19 марта 2013 года № 71-ЗИ-V (САЗ 13-11); от 20 ноября 2013 года </w:t>
      </w:r>
      <w:r w:rsidR="00187F0D">
        <w:rPr>
          <w:sz w:val="28"/>
          <w:szCs w:val="28"/>
        </w:rPr>
        <w:t xml:space="preserve">                          </w:t>
      </w:r>
      <w:r w:rsidR="00187F0D" w:rsidRPr="00187F0D">
        <w:rPr>
          <w:sz w:val="28"/>
          <w:szCs w:val="28"/>
        </w:rPr>
        <w:t xml:space="preserve">№ 244-ЗИД-V (САЗ 13-46); от 5 апреля 2016 года № 88-ЗИ-VI (САЗ 16-14); </w:t>
      </w:r>
      <w:r w:rsidR="00187F0D">
        <w:rPr>
          <w:sz w:val="28"/>
          <w:szCs w:val="28"/>
        </w:rPr>
        <w:t xml:space="preserve">              </w:t>
      </w:r>
      <w:r w:rsidR="00187F0D" w:rsidRPr="00187F0D">
        <w:rPr>
          <w:sz w:val="28"/>
          <w:szCs w:val="28"/>
        </w:rPr>
        <w:t xml:space="preserve">от 27 октября 2016 года № 240-ЗД-VI (САЗ 16-43); от 30 ноября 2016 года </w:t>
      </w:r>
      <w:r w:rsidR="00187F0D">
        <w:rPr>
          <w:sz w:val="28"/>
          <w:szCs w:val="28"/>
        </w:rPr>
        <w:t xml:space="preserve">           </w:t>
      </w:r>
      <w:r w:rsidR="00187F0D" w:rsidRPr="00187F0D">
        <w:rPr>
          <w:sz w:val="28"/>
          <w:szCs w:val="28"/>
        </w:rPr>
        <w:t xml:space="preserve">№ 254-ЗД-VI (САЗ 16-48); от 30 ноября 2016 года № 257-ЗД-VI (САЗ 16-48); от 30 ноября 2016 года № 263-ЗД-VI (САЗ 16-48); от 30 ноября 2016 года </w:t>
      </w:r>
      <w:r w:rsidR="00187F0D">
        <w:rPr>
          <w:sz w:val="28"/>
          <w:szCs w:val="28"/>
        </w:rPr>
        <w:t xml:space="preserve">                 </w:t>
      </w:r>
      <w:r w:rsidR="00187F0D" w:rsidRPr="00187F0D">
        <w:rPr>
          <w:sz w:val="28"/>
          <w:szCs w:val="28"/>
        </w:rPr>
        <w:t xml:space="preserve">№ 270-ЗИ-VI (САЗ 16-48); от 30 ноября 2016 года № 272-ЗИ-VI (САЗ 16-48); от 19 июня 2017 года № 163-ЗИ-VI (САЗ 17-25); от 14 июля 2017 года </w:t>
      </w:r>
      <w:r w:rsidR="00187F0D">
        <w:rPr>
          <w:sz w:val="28"/>
          <w:szCs w:val="28"/>
        </w:rPr>
        <w:t xml:space="preserve">                          </w:t>
      </w:r>
      <w:r w:rsidR="00187F0D" w:rsidRPr="00187F0D">
        <w:rPr>
          <w:sz w:val="28"/>
          <w:szCs w:val="28"/>
        </w:rPr>
        <w:t xml:space="preserve">№ 216-ЗИ-VI (САЗ 17-29); от 19 июля 2017 года № 224-ЗИ-VI (САЗ 17-30); </w:t>
      </w:r>
      <w:r w:rsidR="00187F0D">
        <w:rPr>
          <w:sz w:val="28"/>
          <w:szCs w:val="28"/>
        </w:rPr>
        <w:t xml:space="preserve">              </w:t>
      </w:r>
      <w:r w:rsidR="00187F0D" w:rsidRPr="00187F0D">
        <w:rPr>
          <w:sz w:val="28"/>
          <w:szCs w:val="28"/>
        </w:rPr>
        <w:t xml:space="preserve">от 21 июля 2017 года № 229-ЗИ-VI (САЗ 17-30); от 12 октября 2017 года </w:t>
      </w:r>
      <w:r w:rsidR="00187F0D">
        <w:rPr>
          <w:sz w:val="28"/>
          <w:szCs w:val="28"/>
        </w:rPr>
        <w:t xml:space="preserve">            </w:t>
      </w:r>
      <w:r w:rsidR="00187F0D" w:rsidRPr="00187F0D">
        <w:rPr>
          <w:sz w:val="28"/>
          <w:szCs w:val="28"/>
        </w:rPr>
        <w:t xml:space="preserve">№ 260-ЗИ-VI (САЗ 17-42); от 16 октября 2017 года № 264-ЗИ-VI (САЗ 17-43,1); от 4 ноября 2017 года № 308-ЗИД-VI (САЗ 17-45,1); от 28 февраля 2018 года № 43-ЗД-VI (САЗ 18-9); от 7 мая 2018 года № 122-ЗИ-VI (САЗ 18-19); </w:t>
      </w:r>
      <w:r w:rsidR="00187F0D">
        <w:rPr>
          <w:sz w:val="28"/>
          <w:szCs w:val="28"/>
        </w:rPr>
        <w:t xml:space="preserve">                  </w:t>
      </w:r>
      <w:r w:rsidR="00187F0D" w:rsidRPr="00187F0D">
        <w:rPr>
          <w:sz w:val="28"/>
          <w:szCs w:val="28"/>
        </w:rPr>
        <w:t xml:space="preserve">от 25 июня 2018 года № 178-ЗИД-VI (САЗ 18-26); от 2 июля 2018 года № 198-ЗИ-VI (САЗ 18-27); от 16 июля 2018 года № 207-ЗД-VI (САЗ 18-29); </w:t>
      </w:r>
      <w:r w:rsidR="00187F0D">
        <w:rPr>
          <w:sz w:val="28"/>
          <w:szCs w:val="28"/>
        </w:rPr>
        <w:t xml:space="preserve">                              </w:t>
      </w:r>
      <w:r w:rsidR="00187F0D" w:rsidRPr="00187F0D">
        <w:rPr>
          <w:sz w:val="28"/>
          <w:szCs w:val="28"/>
        </w:rPr>
        <w:t xml:space="preserve">от 31 июля 2018 года № 254-ЗИ-VI (САЗ 18-31); от 20 ноября 2018 года </w:t>
      </w:r>
      <w:r w:rsidR="00187F0D">
        <w:rPr>
          <w:sz w:val="28"/>
          <w:szCs w:val="28"/>
        </w:rPr>
        <w:t xml:space="preserve">                     </w:t>
      </w:r>
      <w:r w:rsidR="00187F0D" w:rsidRPr="00187F0D">
        <w:rPr>
          <w:sz w:val="28"/>
          <w:szCs w:val="28"/>
        </w:rPr>
        <w:t xml:space="preserve">№ 308-ЗИ-VI (САЗ 18-47); от 7 декабря 2018 года № 324-ЗИ-VI (САЗ 18-49); от 28 декабря 2018 года № 352-ЗД-VI (САЗ 18-52,1); от 10 января 2019 года </w:t>
      </w:r>
      <w:r w:rsidR="00187F0D">
        <w:rPr>
          <w:sz w:val="28"/>
          <w:szCs w:val="28"/>
        </w:rPr>
        <w:t xml:space="preserve">            </w:t>
      </w:r>
      <w:r w:rsidR="00187F0D" w:rsidRPr="00187F0D">
        <w:rPr>
          <w:sz w:val="28"/>
          <w:szCs w:val="28"/>
        </w:rPr>
        <w:t xml:space="preserve">№ 1-ЗИ-VI (САЗ 19-1); от 29 марта 2019 года № 38-ЗИД-VI (САЗ 19-12); </w:t>
      </w:r>
      <w:r w:rsidR="00187F0D">
        <w:rPr>
          <w:sz w:val="28"/>
          <w:szCs w:val="28"/>
        </w:rPr>
        <w:t xml:space="preserve">                    </w:t>
      </w:r>
      <w:r w:rsidR="00187F0D" w:rsidRPr="00187F0D">
        <w:rPr>
          <w:sz w:val="28"/>
          <w:szCs w:val="28"/>
        </w:rPr>
        <w:t xml:space="preserve">от 11 марта 2020 года № 46-ЗИД-VI (САЗ 20-11); от 21 апреля 2020 года </w:t>
      </w:r>
      <w:r w:rsidR="00187F0D">
        <w:rPr>
          <w:sz w:val="28"/>
          <w:szCs w:val="28"/>
        </w:rPr>
        <w:t xml:space="preserve">                  </w:t>
      </w:r>
      <w:r w:rsidR="00187F0D" w:rsidRPr="00187F0D">
        <w:rPr>
          <w:sz w:val="28"/>
          <w:szCs w:val="28"/>
        </w:rPr>
        <w:t xml:space="preserve">№ 65-ЗИД-VI (САЗ 20-17); от 22 июля 2020 года № 98-ЗД-VI (САЗ 20-30); </w:t>
      </w:r>
      <w:r w:rsidR="00187F0D">
        <w:rPr>
          <w:sz w:val="28"/>
          <w:szCs w:val="28"/>
        </w:rPr>
        <w:t xml:space="preserve">           </w:t>
      </w:r>
      <w:r w:rsidR="00187F0D" w:rsidRPr="00187F0D">
        <w:rPr>
          <w:sz w:val="28"/>
          <w:szCs w:val="28"/>
        </w:rPr>
        <w:t xml:space="preserve">от 30 декабря 2020 года № 242-ЗД-VII (САЗ 21-1,1); от 15 марта 2021 года </w:t>
      </w:r>
      <w:r w:rsidR="00187F0D">
        <w:rPr>
          <w:sz w:val="28"/>
          <w:szCs w:val="28"/>
        </w:rPr>
        <w:t xml:space="preserve">                </w:t>
      </w:r>
      <w:r w:rsidR="00187F0D" w:rsidRPr="00187F0D">
        <w:rPr>
          <w:sz w:val="28"/>
          <w:szCs w:val="28"/>
        </w:rPr>
        <w:t xml:space="preserve">№ 36-ЗИ-VII (САЗ 21-11); от 15 апреля 2021 года № 69-ЗД-VII (САЗ 21-15); </w:t>
      </w:r>
      <w:r w:rsidR="00187F0D">
        <w:rPr>
          <w:sz w:val="28"/>
          <w:szCs w:val="28"/>
        </w:rPr>
        <w:t xml:space="preserve">           </w:t>
      </w:r>
      <w:r w:rsidR="00187F0D" w:rsidRPr="00187F0D">
        <w:rPr>
          <w:sz w:val="28"/>
          <w:szCs w:val="28"/>
        </w:rPr>
        <w:t xml:space="preserve">от 29 июля 2021 года № 212-ЗД-VII (САЗ 21-30); от 13 октября 2021 года </w:t>
      </w:r>
      <w:r w:rsidR="00187F0D">
        <w:rPr>
          <w:sz w:val="28"/>
          <w:szCs w:val="28"/>
        </w:rPr>
        <w:t xml:space="preserve">           </w:t>
      </w:r>
      <w:r w:rsidR="00187F0D" w:rsidRPr="00187F0D">
        <w:rPr>
          <w:sz w:val="28"/>
          <w:szCs w:val="28"/>
        </w:rPr>
        <w:t>№ 240-ЗИД-VII (САЗ 21-41); от 20 октября 2021 года № 252-ЗИД-VII</w:t>
      </w:r>
      <w:r w:rsidR="00187F0D">
        <w:rPr>
          <w:sz w:val="28"/>
          <w:szCs w:val="28"/>
        </w:rPr>
        <w:t xml:space="preserve">                     </w:t>
      </w:r>
      <w:r w:rsidR="00187F0D" w:rsidRPr="00187F0D">
        <w:rPr>
          <w:sz w:val="28"/>
          <w:szCs w:val="28"/>
        </w:rPr>
        <w:t xml:space="preserve"> (САЗ 21-42); от 17 декабря 2021 года № 334-ЗИД-VII (САЗ 21-50); </w:t>
      </w:r>
      <w:r w:rsidR="00AF371A">
        <w:rPr>
          <w:sz w:val="28"/>
          <w:szCs w:val="28"/>
        </w:rPr>
        <w:t xml:space="preserve">                              </w:t>
      </w:r>
      <w:r w:rsidR="00187F0D" w:rsidRPr="00187F0D">
        <w:rPr>
          <w:sz w:val="28"/>
          <w:szCs w:val="28"/>
        </w:rPr>
        <w:t xml:space="preserve">от 16 февраля 2022 года № 25-ЗИ-VII (САЗ 22-6); от 4 мая 2022 года </w:t>
      </w:r>
      <w:r w:rsidR="0015689B">
        <w:rPr>
          <w:sz w:val="28"/>
          <w:szCs w:val="28"/>
        </w:rPr>
        <w:t xml:space="preserve">                     </w:t>
      </w:r>
      <w:r w:rsidR="00187F0D" w:rsidRPr="00187F0D">
        <w:rPr>
          <w:sz w:val="28"/>
          <w:szCs w:val="28"/>
        </w:rPr>
        <w:t>№ 72-ЗИ-VII (САЗ 22-17); от 24 ноября 2022 года № 340-ЗД-VII (САЗ 22-46); от 16 марта 2023 года № 45-ЗИД-VII (САЗ 23-11)</w:t>
      </w:r>
      <w:r w:rsidR="0015689B">
        <w:rPr>
          <w:sz w:val="28"/>
          <w:szCs w:val="28"/>
        </w:rPr>
        <w:t>;</w:t>
      </w:r>
      <w:r w:rsidR="00BF19FE">
        <w:rPr>
          <w:sz w:val="28"/>
          <w:szCs w:val="28"/>
        </w:rPr>
        <w:t xml:space="preserve"> от </w:t>
      </w:r>
      <w:r w:rsidR="00BF19FE" w:rsidRPr="00BF19FE">
        <w:rPr>
          <w:sz w:val="28"/>
          <w:szCs w:val="28"/>
        </w:rPr>
        <w:t>20 июля 2023 года</w:t>
      </w:r>
      <w:r w:rsidR="00BF19FE">
        <w:rPr>
          <w:sz w:val="28"/>
          <w:szCs w:val="28"/>
        </w:rPr>
        <w:t xml:space="preserve">                 </w:t>
      </w:r>
      <w:r w:rsidR="00BF19FE" w:rsidRPr="00BF19FE">
        <w:rPr>
          <w:sz w:val="28"/>
          <w:szCs w:val="28"/>
        </w:rPr>
        <w:t>№ 245-ЗИ-VII</w:t>
      </w:r>
      <w:r w:rsidR="00BF19FE">
        <w:rPr>
          <w:sz w:val="28"/>
          <w:szCs w:val="28"/>
        </w:rPr>
        <w:t xml:space="preserve"> (САЗ 23-29), </w:t>
      </w:r>
      <w:r w:rsidR="00BF19FE" w:rsidRPr="00CF0533">
        <w:rPr>
          <w:sz w:val="28"/>
          <w:szCs w:val="28"/>
        </w:rPr>
        <w:t xml:space="preserve">в вопросе </w:t>
      </w:r>
      <w:r w:rsidR="00F422FC" w:rsidRPr="00F422FC">
        <w:rPr>
          <w:sz w:val="28"/>
          <w:szCs w:val="28"/>
        </w:rPr>
        <w:t>определения</w:t>
      </w:r>
      <w:r w:rsidR="00F422FC">
        <w:rPr>
          <w:sz w:val="28"/>
          <w:szCs w:val="28"/>
        </w:rPr>
        <w:t xml:space="preserve"> </w:t>
      </w:r>
      <w:r w:rsidR="00F422FC" w:rsidRPr="00F422FC">
        <w:rPr>
          <w:sz w:val="28"/>
          <w:szCs w:val="28"/>
        </w:rPr>
        <w:t>центрального органа государственного управления, осуществляющего</w:t>
      </w:r>
      <w:r w:rsidR="00F422FC">
        <w:rPr>
          <w:sz w:val="28"/>
          <w:szCs w:val="28"/>
        </w:rPr>
        <w:t xml:space="preserve"> </w:t>
      </w:r>
      <w:r w:rsidR="00F422FC" w:rsidRPr="00F422FC">
        <w:rPr>
          <w:sz w:val="28"/>
          <w:szCs w:val="28"/>
        </w:rPr>
        <w:t>пенсионное обеспечение лиц, обратившихся за назначением пенсии за выслугу</w:t>
      </w:r>
      <w:r w:rsidR="00F422FC">
        <w:rPr>
          <w:sz w:val="28"/>
          <w:szCs w:val="28"/>
        </w:rPr>
        <w:t xml:space="preserve"> </w:t>
      </w:r>
      <w:r w:rsidR="00F422FC" w:rsidRPr="00F422FC">
        <w:rPr>
          <w:sz w:val="28"/>
          <w:szCs w:val="28"/>
        </w:rPr>
        <w:t>лет, в случаях повторного их определения на службу иной ведомственной</w:t>
      </w:r>
      <w:r w:rsidR="00F422FC">
        <w:rPr>
          <w:sz w:val="28"/>
          <w:szCs w:val="28"/>
        </w:rPr>
        <w:t xml:space="preserve"> </w:t>
      </w:r>
      <w:r w:rsidR="00F422FC" w:rsidRPr="00F422FC">
        <w:rPr>
          <w:sz w:val="28"/>
          <w:szCs w:val="28"/>
        </w:rPr>
        <w:t>принадлежности и последующего с нее увольнения, и связанного с этим</w:t>
      </w:r>
      <w:r w:rsidR="00F422FC">
        <w:rPr>
          <w:sz w:val="28"/>
          <w:szCs w:val="28"/>
        </w:rPr>
        <w:t xml:space="preserve"> </w:t>
      </w:r>
      <w:r w:rsidR="00F422FC" w:rsidRPr="00F422FC">
        <w:rPr>
          <w:sz w:val="28"/>
          <w:szCs w:val="28"/>
        </w:rPr>
        <w:t>порядка исчисления выслуги лет для опре</w:t>
      </w:r>
      <w:r w:rsidR="00F422FC">
        <w:rPr>
          <w:sz w:val="28"/>
          <w:szCs w:val="28"/>
        </w:rPr>
        <w:t>деления размера пенсий таких лиц</w:t>
      </w:r>
      <w:r w:rsidR="00BF19FE" w:rsidRPr="00CF0533">
        <w:rPr>
          <w:sz w:val="28"/>
          <w:szCs w:val="28"/>
        </w:rPr>
        <w:t>, в следующей редакции:</w:t>
      </w:r>
    </w:p>
    <w:p w:rsidR="00CE290C" w:rsidRDefault="00CE290C" w:rsidP="00CE290C">
      <w:pPr>
        <w:pStyle w:val="a6"/>
        <w:ind w:firstLine="708"/>
        <w:jc w:val="both"/>
        <w:rPr>
          <w:rFonts w:ascii="Times New Roman" w:hAnsi="Times New Roman" w:cs="Times New Roman"/>
          <w:sz w:val="28"/>
          <w:szCs w:val="28"/>
        </w:rPr>
      </w:pPr>
    </w:p>
    <w:p w:rsidR="00CE290C" w:rsidRDefault="00F422F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sidR="00CE290C">
        <w:rPr>
          <w:rFonts w:ascii="Times New Roman" w:hAnsi="Times New Roman" w:cs="Times New Roman"/>
          <w:sz w:val="28"/>
          <w:szCs w:val="28"/>
        </w:rPr>
        <w:t xml:space="preserve">Согласно статье 38 Конституции Приднестровской Молдавской Республики в Приднестровской Молдавской Республике как социальном государстве, политика которого направлена на создание условий, обеспечивающих достойную жизнь и свободное развитие человека, гарантируется право на социальное обеспечение в старости, в случае утраты трудоспособности, а также утраты кормильца и в других, предусмотренных законом случаях. </w:t>
      </w:r>
    </w:p>
    <w:p w:rsidR="00CE290C" w:rsidRDefault="00CE290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случаев (социальных рисков), с которыми статья 38 Конституции Приднестровской Молдавской Республики связывает право на </w:t>
      </w:r>
      <w:r>
        <w:rPr>
          <w:rFonts w:ascii="Times New Roman" w:hAnsi="Times New Roman" w:cs="Times New Roman"/>
          <w:sz w:val="28"/>
          <w:szCs w:val="28"/>
        </w:rPr>
        <w:lastRenderedPageBreak/>
        <w:t xml:space="preserve">социальное обеспечение, не является исчерпывающим. Относя установление таких случаев к сфере регулирования законом, Конституция Приднестровской Молдавской Республики тем самым подтверждает обязанность государства гарантировать гражданам социальное обеспечение при наступлении не только названных в статье 38, но и других социальных рисков, признаваемых законодателем в качестве основания для его предоставления. Таким образом, конституционное право на социальное обеспечение включает </w:t>
      </w:r>
      <w:r w:rsidR="008F0C1B">
        <w:rPr>
          <w:rFonts w:ascii="Times New Roman" w:hAnsi="Times New Roman" w:cs="Times New Roman"/>
          <w:sz w:val="28"/>
          <w:szCs w:val="28"/>
        </w:rPr>
        <w:t>в том числе</w:t>
      </w:r>
      <w:r>
        <w:rPr>
          <w:rFonts w:ascii="Times New Roman" w:hAnsi="Times New Roman" w:cs="Times New Roman"/>
          <w:sz w:val="28"/>
          <w:szCs w:val="28"/>
        </w:rPr>
        <w:t xml:space="preserve"> право на получен</w:t>
      </w:r>
      <w:r w:rsidR="008F0C1B">
        <w:rPr>
          <w:rFonts w:ascii="Times New Roman" w:hAnsi="Times New Roman" w:cs="Times New Roman"/>
          <w:sz w:val="28"/>
          <w:szCs w:val="28"/>
        </w:rPr>
        <w:t>ие пенсии в определенных законами</w:t>
      </w:r>
      <w:r>
        <w:rPr>
          <w:rFonts w:ascii="Times New Roman" w:hAnsi="Times New Roman" w:cs="Times New Roman"/>
          <w:sz w:val="28"/>
          <w:szCs w:val="28"/>
        </w:rPr>
        <w:t xml:space="preserve"> случаях и размерах. </w:t>
      </w:r>
    </w:p>
    <w:p w:rsidR="00CE290C" w:rsidRDefault="00CE290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Закрепляя в действующем законодательстве Приднестровской Молдавской Республики правовые основания назначения пенсий, размеры пенсий, порядок их исчисления и выплаты, законодатель вправе </w:t>
      </w:r>
      <w:proofErr w:type="gramStart"/>
      <w:r>
        <w:rPr>
          <w:rFonts w:ascii="Times New Roman" w:hAnsi="Times New Roman" w:cs="Times New Roman"/>
          <w:sz w:val="28"/>
          <w:szCs w:val="28"/>
        </w:rPr>
        <w:t>определять</w:t>
      </w:r>
      <w:proofErr w:type="gramEnd"/>
      <w:r>
        <w:rPr>
          <w:rFonts w:ascii="Times New Roman" w:hAnsi="Times New Roman" w:cs="Times New Roman"/>
          <w:sz w:val="28"/>
          <w:szCs w:val="28"/>
        </w:rPr>
        <w:t xml:space="preserve"> как общие правила назначения и выплаты пенсий, так и устанавливать особенности (условия) приобретения права на получение пенсий отдельными категориями лиц. </w:t>
      </w:r>
    </w:p>
    <w:p w:rsidR="00CE290C" w:rsidRDefault="00CE290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нормы и порядок пенсионного обеспечения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Приднестровской Молдавской Республике устанавливаются на основании норм Закона Приднестровской Молдавской Республики </w:t>
      </w:r>
      <w:r w:rsidR="00C64176" w:rsidRPr="00C64176">
        <w:rPr>
          <w:rFonts w:ascii="Times New Roman" w:hAnsi="Times New Roman" w:cs="Times New Roman"/>
          <w:sz w:val="28"/>
          <w:szCs w:val="28"/>
        </w:rPr>
        <w:t xml:space="preserve">                              </w:t>
      </w:r>
      <w:r>
        <w:rPr>
          <w:rFonts w:ascii="Times New Roman" w:hAnsi="Times New Roman" w:cs="Times New Roman"/>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(далее – Закон).</w:t>
      </w:r>
    </w:p>
    <w:p w:rsidR="00CE290C" w:rsidRDefault="00CE290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Обязанности военной службы</w:t>
      </w:r>
      <w:r w:rsidR="008F0C1B">
        <w:rPr>
          <w:rFonts w:ascii="Times New Roman" w:hAnsi="Times New Roman" w:cs="Times New Roman"/>
          <w:sz w:val="28"/>
          <w:szCs w:val="28"/>
        </w:rPr>
        <w:t xml:space="preserve">, службы в органах внутренних дел, уголовно-исполнительной системе, службе судебных исполнителей, налоговых и таможенных органах </w:t>
      </w:r>
      <w:r w:rsidR="008F0C1B" w:rsidRPr="00C56C5A">
        <w:rPr>
          <w:rFonts w:ascii="Times New Roman" w:hAnsi="Times New Roman" w:cs="Times New Roman"/>
          <w:sz w:val="28"/>
          <w:szCs w:val="28"/>
        </w:rPr>
        <w:t>(</w:t>
      </w:r>
      <w:r w:rsidR="008F0C1B">
        <w:rPr>
          <w:rFonts w:ascii="Times New Roman" w:hAnsi="Times New Roman" w:cs="Times New Roman"/>
          <w:sz w:val="28"/>
          <w:szCs w:val="28"/>
        </w:rPr>
        <w:t>д</w:t>
      </w:r>
      <w:r w:rsidR="008F0C1B" w:rsidRPr="00C56C5A">
        <w:rPr>
          <w:rFonts w:ascii="Times New Roman" w:hAnsi="Times New Roman" w:cs="Times New Roman"/>
          <w:sz w:val="28"/>
          <w:szCs w:val="28"/>
        </w:rPr>
        <w:t>але</w:t>
      </w:r>
      <w:r w:rsidR="008F0C1B">
        <w:rPr>
          <w:rFonts w:ascii="Times New Roman" w:hAnsi="Times New Roman" w:cs="Times New Roman"/>
          <w:sz w:val="28"/>
          <w:szCs w:val="28"/>
        </w:rPr>
        <w:t>е</w:t>
      </w:r>
      <w:r w:rsidR="008F0C1B" w:rsidRPr="00C56C5A">
        <w:rPr>
          <w:rFonts w:ascii="Times New Roman" w:hAnsi="Times New Roman" w:cs="Times New Roman"/>
          <w:sz w:val="28"/>
          <w:szCs w:val="28"/>
        </w:rPr>
        <w:t xml:space="preserve"> </w:t>
      </w:r>
      <w:r w:rsidR="008F0C1B">
        <w:rPr>
          <w:rFonts w:ascii="Times New Roman" w:hAnsi="Times New Roman" w:cs="Times New Roman"/>
          <w:sz w:val="28"/>
          <w:szCs w:val="28"/>
        </w:rPr>
        <w:t>–</w:t>
      </w:r>
      <w:r w:rsidR="008F0C1B" w:rsidRPr="00C56C5A">
        <w:rPr>
          <w:rFonts w:ascii="Times New Roman" w:hAnsi="Times New Roman" w:cs="Times New Roman"/>
          <w:sz w:val="28"/>
          <w:szCs w:val="28"/>
        </w:rPr>
        <w:t xml:space="preserve"> служб</w:t>
      </w:r>
      <w:r w:rsidR="008F0C1B">
        <w:rPr>
          <w:rFonts w:ascii="Times New Roman" w:hAnsi="Times New Roman" w:cs="Times New Roman"/>
          <w:sz w:val="28"/>
          <w:szCs w:val="28"/>
        </w:rPr>
        <w:t xml:space="preserve">а) </w:t>
      </w:r>
      <w:r>
        <w:rPr>
          <w:rFonts w:ascii="Times New Roman" w:hAnsi="Times New Roman" w:cs="Times New Roman"/>
          <w:sz w:val="28"/>
          <w:szCs w:val="28"/>
        </w:rPr>
        <w:t xml:space="preserve">связаны с выполнением специфических задач обороны </w:t>
      </w:r>
      <w:r w:rsidR="00C64176">
        <w:rPr>
          <w:rFonts w:ascii="Times New Roman" w:hAnsi="Times New Roman" w:cs="Times New Roman"/>
          <w:sz w:val="28"/>
          <w:szCs w:val="28"/>
        </w:rPr>
        <w:t>государства</w:t>
      </w:r>
      <w:r>
        <w:rPr>
          <w:rFonts w:ascii="Times New Roman" w:hAnsi="Times New Roman" w:cs="Times New Roman"/>
          <w:sz w:val="28"/>
          <w:szCs w:val="28"/>
        </w:rPr>
        <w:t xml:space="preserve"> и охраны правопорядка в условиях, сопряженных с риском для жизни и здоровья, повышенными физическими и эмоциональными нагрузками, неблагоприятным воздействием различного рода иных факторов. Лица, избравшие своей профессиональной деятельностью службу должны соответствовать ее медицинским и профессионально-психологическим требованиям, иметь необходимую физическую и профессиональную подготовку. Особый характер такой службы обусловливает не только предъявление повышенных требований к допускаемым к ней лицам, но и предопределяет обязанность государства гарантировать им повышенную социальную защиту, включая соответствующее их особому статусу и характеру службы пенсионное обеспечение.</w:t>
      </w:r>
    </w:p>
    <w:p w:rsidR="00CE290C" w:rsidRDefault="00CE290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Реализуя указанн</w:t>
      </w:r>
      <w:r w:rsidR="008F0C1B">
        <w:rPr>
          <w:rFonts w:ascii="Times New Roman" w:hAnsi="Times New Roman" w:cs="Times New Roman"/>
          <w:sz w:val="28"/>
          <w:szCs w:val="28"/>
        </w:rPr>
        <w:t>ую выше обязанность государства</w:t>
      </w:r>
      <w:r w:rsidR="00C56C5A">
        <w:rPr>
          <w:rFonts w:ascii="Times New Roman" w:hAnsi="Times New Roman" w:cs="Times New Roman"/>
          <w:sz w:val="28"/>
          <w:szCs w:val="28"/>
        </w:rPr>
        <w:t xml:space="preserve"> законодателем для лиц, проходящих </w:t>
      </w:r>
      <w:r>
        <w:rPr>
          <w:rFonts w:ascii="Times New Roman" w:hAnsi="Times New Roman" w:cs="Times New Roman"/>
          <w:sz w:val="28"/>
          <w:szCs w:val="28"/>
        </w:rPr>
        <w:t>службу</w:t>
      </w:r>
      <w:r w:rsidR="008F0C1B">
        <w:rPr>
          <w:rFonts w:ascii="Times New Roman" w:hAnsi="Times New Roman" w:cs="Times New Roman"/>
          <w:sz w:val="28"/>
          <w:szCs w:val="28"/>
        </w:rPr>
        <w:t>,</w:t>
      </w:r>
      <w:r>
        <w:rPr>
          <w:rFonts w:ascii="Times New Roman" w:hAnsi="Times New Roman" w:cs="Times New Roman"/>
          <w:sz w:val="28"/>
          <w:szCs w:val="28"/>
        </w:rPr>
        <w:t xml:space="preserve"> были установлены дополнительные гарантии и льготы по пенсионному обеспечению, в частности право на </w:t>
      </w:r>
      <w:r w:rsidR="006D06A4">
        <w:rPr>
          <w:rFonts w:ascii="Times New Roman" w:hAnsi="Times New Roman" w:cs="Times New Roman"/>
          <w:sz w:val="28"/>
          <w:szCs w:val="28"/>
        </w:rPr>
        <w:t>назначение</w:t>
      </w:r>
      <w:r>
        <w:rPr>
          <w:rFonts w:ascii="Times New Roman" w:hAnsi="Times New Roman" w:cs="Times New Roman"/>
          <w:sz w:val="28"/>
          <w:szCs w:val="28"/>
        </w:rPr>
        <w:t xml:space="preserve"> пенсии за выслугу лет.</w:t>
      </w:r>
    </w:p>
    <w:p w:rsidR="009A4403" w:rsidRDefault="009A4403"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Выслуга лет, выступая в качестве самостоятельного правового основания назначения пенсии лицам, проходившим службу, по своему характеру является специальным трудовым стажем, приобретаемым именно в процессе службы. </w:t>
      </w:r>
    </w:p>
    <w:p w:rsidR="00CE290C" w:rsidRDefault="009A4403" w:rsidP="0088475C">
      <w:pPr>
        <w:pStyle w:val="a6"/>
        <w:ind w:firstLine="567"/>
        <w:jc w:val="both"/>
        <w:rPr>
          <w:rFonts w:ascii="Times New Roman" w:hAnsi="Times New Roman" w:cs="Times New Roman"/>
          <w:sz w:val="28"/>
          <w:szCs w:val="28"/>
        </w:rPr>
      </w:pPr>
      <w:r w:rsidRPr="003C26E4">
        <w:rPr>
          <w:rFonts w:ascii="Times New Roman" w:hAnsi="Times New Roman" w:cs="Times New Roman"/>
          <w:sz w:val="28"/>
          <w:szCs w:val="28"/>
        </w:rPr>
        <w:lastRenderedPageBreak/>
        <w:t xml:space="preserve">Право на пенсию </w:t>
      </w:r>
      <w:r>
        <w:rPr>
          <w:rFonts w:ascii="Times New Roman" w:hAnsi="Times New Roman" w:cs="Times New Roman"/>
          <w:sz w:val="28"/>
          <w:szCs w:val="28"/>
        </w:rPr>
        <w:t>за выслугу лет имеют, согласно статье 13 Закона</w:t>
      </w:r>
      <w:r w:rsidR="008F0C1B">
        <w:rPr>
          <w:rFonts w:ascii="Times New Roman" w:hAnsi="Times New Roman" w:cs="Times New Roman"/>
          <w:sz w:val="28"/>
          <w:szCs w:val="28"/>
        </w:rPr>
        <w:t>,</w:t>
      </w:r>
      <w:r>
        <w:rPr>
          <w:rFonts w:ascii="Times New Roman" w:hAnsi="Times New Roman" w:cs="Times New Roman"/>
          <w:sz w:val="28"/>
          <w:szCs w:val="28"/>
        </w:rPr>
        <w:t xml:space="preserve"> </w:t>
      </w:r>
      <w:r w:rsidRPr="003C26E4">
        <w:rPr>
          <w:rFonts w:ascii="Times New Roman" w:hAnsi="Times New Roman" w:cs="Times New Roman"/>
          <w:sz w:val="28"/>
          <w:szCs w:val="28"/>
        </w:rPr>
        <w:t>лица, имеющие на день увольнения со службы выслугу на военной службе и (или) на службе, в органах внутренних дел, уголовно-исполнительной системе, службе судебных исполнителей, налоговых и таможенных органах 20 лет и более</w:t>
      </w:r>
      <w:r>
        <w:rPr>
          <w:rFonts w:ascii="Times New Roman" w:hAnsi="Times New Roman" w:cs="Times New Roman"/>
          <w:sz w:val="28"/>
          <w:szCs w:val="28"/>
        </w:rPr>
        <w:t>.</w:t>
      </w:r>
      <w:r w:rsidR="008F0C1B">
        <w:rPr>
          <w:rFonts w:ascii="Times New Roman" w:hAnsi="Times New Roman" w:cs="Times New Roman"/>
          <w:sz w:val="28"/>
          <w:szCs w:val="28"/>
        </w:rPr>
        <w:t xml:space="preserve"> В исключение из общего правила</w:t>
      </w:r>
      <w:r>
        <w:rPr>
          <w:rFonts w:ascii="Times New Roman" w:hAnsi="Times New Roman" w:cs="Times New Roman"/>
          <w:sz w:val="28"/>
          <w:szCs w:val="28"/>
        </w:rPr>
        <w:t xml:space="preserve"> такая пенсия может быть назначена также лицам, </w:t>
      </w:r>
      <w:r w:rsidR="00CE290C">
        <w:rPr>
          <w:rFonts w:ascii="Times New Roman" w:hAnsi="Times New Roman" w:cs="Times New Roman"/>
          <w:sz w:val="28"/>
          <w:szCs w:val="28"/>
        </w:rPr>
        <w:t xml:space="preserve">уволенным со службы по достижении предельного возраста пребывания на службе, по состоянию здоровья – в связи с признанием их военно-врачебной комиссией не годными к военной службе, или в связи с проведением организационно-штатных мероприятий и достигшим на день увольнения 45-летнего возраста, имеющим общий трудовой стаж </w:t>
      </w:r>
      <w:r w:rsidR="008F0C1B">
        <w:rPr>
          <w:rFonts w:ascii="Times New Roman" w:hAnsi="Times New Roman" w:cs="Times New Roman"/>
          <w:sz w:val="28"/>
          <w:szCs w:val="28"/>
        </w:rPr>
        <w:t xml:space="preserve">                           </w:t>
      </w:r>
      <w:r w:rsidR="00CE290C">
        <w:rPr>
          <w:rFonts w:ascii="Times New Roman" w:hAnsi="Times New Roman" w:cs="Times New Roman"/>
          <w:sz w:val="28"/>
          <w:szCs w:val="28"/>
        </w:rPr>
        <w:t>25 календарных лет и более, из которых</w:t>
      </w:r>
      <w:r>
        <w:rPr>
          <w:rFonts w:ascii="Times New Roman" w:hAnsi="Times New Roman" w:cs="Times New Roman"/>
          <w:sz w:val="28"/>
          <w:szCs w:val="28"/>
        </w:rPr>
        <w:t xml:space="preserve"> </w:t>
      </w:r>
      <w:r w:rsidR="00CE290C">
        <w:rPr>
          <w:rFonts w:ascii="Times New Roman" w:hAnsi="Times New Roman" w:cs="Times New Roman"/>
          <w:sz w:val="28"/>
          <w:szCs w:val="28"/>
        </w:rPr>
        <w:t>не менее 12 календарных лет шести месяцев составляет военная служба и (или) служба в органах внутренних дел, уголовно-исполнительной системе, службе судебных исполнителей и (или) служба в</w:t>
      </w:r>
      <w:r>
        <w:rPr>
          <w:rFonts w:ascii="Times New Roman" w:hAnsi="Times New Roman" w:cs="Times New Roman"/>
          <w:sz w:val="28"/>
          <w:szCs w:val="28"/>
        </w:rPr>
        <w:t xml:space="preserve"> налоговых и таможенных органах.</w:t>
      </w:r>
    </w:p>
    <w:p w:rsidR="00EC7762" w:rsidRDefault="00EC7762" w:rsidP="00A21131">
      <w:pPr>
        <w:pStyle w:val="a6"/>
        <w:ind w:firstLine="567"/>
        <w:jc w:val="both"/>
        <w:rPr>
          <w:rFonts w:ascii="Times New Roman" w:hAnsi="Times New Roman" w:cs="Times New Roman"/>
          <w:sz w:val="28"/>
          <w:szCs w:val="28"/>
        </w:rPr>
      </w:pPr>
      <w:r>
        <w:rPr>
          <w:rFonts w:ascii="Times New Roman" w:hAnsi="Times New Roman" w:cs="Times New Roman"/>
          <w:sz w:val="28"/>
          <w:szCs w:val="28"/>
        </w:rPr>
        <w:t>В силу требований пункта 1 статьи 6 Закона л</w:t>
      </w:r>
      <w:r w:rsidRPr="003C26E4">
        <w:rPr>
          <w:rFonts w:ascii="Times New Roman" w:hAnsi="Times New Roman" w:cs="Times New Roman"/>
          <w:sz w:val="28"/>
          <w:szCs w:val="28"/>
        </w:rPr>
        <w:t>ица</w:t>
      </w:r>
      <w:r>
        <w:rPr>
          <w:rFonts w:ascii="Times New Roman" w:hAnsi="Times New Roman" w:cs="Times New Roman"/>
          <w:sz w:val="28"/>
          <w:szCs w:val="28"/>
        </w:rPr>
        <w:t>м</w:t>
      </w:r>
      <w:r w:rsidRPr="003C26E4">
        <w:rPr>
          <w:rFonts w:ascii="Times New Roman" w:hAnsi="Times New Roman" w:cs="Times New Roman"/>
          <w:sz w:val="28"/>
          <w:szCs w:val="28"/>
        </w:rPr>
        <w:t>, указанны</w:t>
      </w:r>
      <w:r>
        <w:rPr>
          <w:rFonts w:ascii="Times New Roman" w:hAnsi="Times New Roman" w:cs="Times New Roman"/>
          <w:sz w:val="28"/>
          <w:szCs w:val="28"/>
        </w:rPr>
        <w:t>м</w:t>
      </w:r>
      <w:r w:rsidRPr="003C26E4">
        <w:rPr>
          <w:rFonts w:ascii="Times New Roman" w:hAnsi="Times New Roman" w:cs="Times New Roman"/>
          <w:sz w:val="28"/>
          <w:szCs w:val="28"/>
        </w:rPr>
        <w:t xml:space="preserve"> в статье 1 Закона, имеющим право на пенсионное обеспечение,</w:t>
      </w:r>
      <w:r>
        <w:rPr>
          <w:rFonts w:ascii="Times New Roman" w:hAnsi="Times New Roman" w:cs="Times New Roman"/>
          <w:sz w:val="28"/>
          <w:szCs w:val="28"/>
        </w:rPr>
        <w:t xml:space="preserve"> </w:t>
      </w:r>
      <w:r w:rsidRPr="003C26E4">
        <w:rPr>
          <w:rFonts w:ascii="Times New Roman" w:hAnsi="Times New Roman" w:cs="Times New Roman"/>
          <w:sz w:val="28"/>
          <w:szCs w:val="28"/>
        </w:rPr>
        <w:t>пенсии за выслугу лет назначаются и выплачиваю</w:t>
      </w:r>
      <w:r w:rsidR="006D0A29">
        <w:rPr>
          <w:rFonts w:ascii="Times New Roman" w:hAnsi="Times New Roman" w:cs="Times New Roman"/>
          <w:sz w:val="28"/>
          <w:szCs w:val="28"/>
        </w:rPr>
        <w:t>тся после увольнения со службы</w:t>
      </w:r>
      <w:r w:rsidR="0025487C">
        <w:rPr>
          <w:rFonts w:ascii="Times New Roman" w:hAnsi="Times New Roman" w:cs="Times New Roman"/>
          <w:sz w:val="28"/>
          <w:szCs w:val="28"/>
        </w:rPr>
        <w:t>.</w:t>
      </w:r>
      <w:r w:rsidR="006F5C03">
        <w:rPr>
          <w:rFonts w:ascii="Times New Roman" w:hAnsi="Times New Roman" w:cs="Times New Roman"/>
          <w:sz w:val="28"/>
          <w:szCs w:val="28"/>
        </w:rPr>
        <w:t xml:space="preserve"> По смыслу приведенной выше нормы в ее взаимосвязи с полож</w:t>
      </w:r>
      <w:r w:rsidR="00A86798">
        <w:rPr>
          <w:rFonts w:ascii="Times New Roman" w:hAnsi="Times New Roman" w:cs="Times New Roman"/>
          <w:sz w:val="28"/>
          <w:szCs w:val="28"/>
        </w:rPr>
        <w:t>ениями статей 13, 14, 50 Закона</w:t>
      </w:r>
      <w:r w:rsidR="006F5C03">
        <w:rPr>
          <w:rFonts w:ascii="Times New Roman" w:hAnsi="Times New Roman" w:cs="Times New Roman"/>
          <w:sz w:val="28"/>
          <w:szCs w:val="28"/>
        </w:rPr>
        <w:t xml:space="preserve"> увольнение со службы является необходимым условием как назначения пенсии за выслугу лет, так и выплаты назначенной пенсии.</w:t>
      </w:r>
      <w:r w:rsidR="00374395">
        <w:rPr>
          <w:rFonts w:ascii="Times New Roman" w:hAnsi="Times New Roman" w:cs="Times New Roman"/>
          <w:sz w:val="28"/>
          <w:szCs w:val="28"/>
        </w:rPr>
        <w:t xml:space="preserve"> С</w:t>
      </w:r>
      <w:r w:rsidR="00A86798">
        <w:rPr>
          <w:rFonts w:ascii="Times New Roman" w:hAnsi="Times New Roman" w:cs="Times New Roman"/>
          <w:sz w:val="28"/>
          <w:szCs w:val="28"/>
        </w:rPr>
        <w:t xml:space="preserve"> заявлением о назначении пенсии</w:t>
      </w:r>
      <w:r w:rsidR="00374395">
        <w:rPr>
          <w:rFonts w:ascii="Times New Roman" w:hAnsi="Times New Roman" w:cs="Times New Roman"/>
          <w:sz w:val="28"/>
          <w:szCs w:val="28"/>
        </w:rPr>
        <w:t xml:space="preserve"> лица обращаются в соответствующие органы по ведомственной принадлежности. П</w:t>
      </w:r>
      <w:r w:rsidR="00374395" w:rsidRPr="00DB53A4">
        <w:rPr>
          <w:rFonts w:ascii="Times New Roman" w:hAnsi="Times New Roman" w:cs="Times New Roman"/>
          <w:sz w:val="28"/>
          <w:szCs w:val="28"/>
        </w:rPr>
        <w:t>еречень центральных органов</w:t>
      </w:r>
      <w:r w:rsidR="00374395">
        <w:rPr>
          <w:rFonts w:ascii="Times New Roman" w:hAnsi="Times New Roman" w:cs="Times New Roman"/>
          <w:sz w:val="28"/>
          <w:szCs w:val="28"/>
        </w:rPr>
        <w:t xml:space="preserve"> </w:t>
      </w:r>
      <w:r w:rsidR="00374395" w:rsidRPr="00DB53A4">
        <w:rPr>
          <w:rFonts w:ascii="Times New Roman" w:hAnsi="Times New Roman" w:cs="Times New Roman"/>
          <w:sz w:val="28"/>
          <w:szCs w:val="28"/>
        </w:rPr>
        <w:t>государственного управления, осуществляющих пенсионное обеспечение</w:t>
      </w:r>
      <w:r w:rsidR="00A86798">
        <w:rPr>
          <w:rFonts w:ascii="Times New Roman" w:hAnsi="Times New Roman" w:cs="Times New Roman"/>
          <w:sz w:val="28"/>
          <w:szCs w:val="28"/>
        </w:rPr>
        <w:t>,</w:t>
      </w:r>
      <w:r w:rsidR="00374395">
        <w:rPr>
          <w:rFonts w:ascii="Times New Roman" w:hAnsi="Times New Roman" w:cs="Times New Roman"/>
          <w:sz w:val="28"/>
          <w:szCs w:val="28"/>
        </w:rPr>
        <w:t xml:space="preserve"> закреплен с</w:t>
      </w:r>
      <w:r w:rsidR="00374395" w:rsidRPr="00DB53A4">
        <w:rPr>
          <w:rFonts w:ascii="Times New Roman" w:hAnsi="Times New Roman" w:cs="Times New Roman"/>
          <w:sz w:val="28"/>
          <w:szCs w:val="28"/>
        </w:rPr>
        <w:t>тать</w:t>
      </w:r>
      <w:r w:rsidR="00374395">
        <w:rPr>
          <w:rFonts w:ascii="Times New Roman" w:hAnsi="Times New Roman" w:cs="Times New Roman"/>
          <w:sz w:val="28"/>
          <w:szCs w:val="28"/>
        </w:rPr>
        <w:t>ей</w:t>
      </w:r>
      <w:r w:rsidR="00374395" w:rsidRPr="00DB53A4">
        <w:rPr>
          <w:rFonts w:ascii="Times New Roman" w:hAnsi="Times New Roman" w:cs="Times New Roman"/>
          <w:sz w:val="28"/>
          <w:szCs w:val="28"/>
        </w:rPr>
        <w:t xml:space="preserve"> 11 Закона</w:t>
      </w:r>
      <w:r w:rsidR="00374395">
        <w:rPr>
          <w:rFonts w:ascii="Times New Roman" w:hAnsi="Times New Roman" w:cs="Times New Roman"/>
          <w:sz w:val="28"/>
          <w:szCs w:val="28"/>
        </w:rPr>
        <w:t>, которая в качестве критерия</w:t>
      </w:r>
      <w:r w:rsidR="00374395" w:rsidRPr="00DB53A4">
        <w:rPr>
          <w:rFonts w:ascii="Times New Roman" w:hAnsi="Times New Roman" w:cs="Times New Roman"/>
          <w:sz w:val="28"/>
          <w:szCs w:val="28"/>
        </w:rPr>
        <w:t xml:space="preserve"> для определения</w:t>
      </w:r>
      <w:r w:rsidR="00374395">
        <w:rPr>
          <w:rFonts w:ascii="Times New Roman" w:hAnsi="Times New Roman" w:cs="Times New Roman"/>
          <w:sz w:val="28"/>
          <w:szCs w:val="28"/>
        </w:rPr>
        <w:t xml:space="preserve"> того</w:t>
      </w:r>
      <w:r w:rsidR="00374395" w:rsidRPr="00DB53A4">
        <w:rPr>
          <w:rFonts w:ascii="Times New Roman" w:hAnsi="Times New Roman" w:cs="Times New Roman"/>
          <w:sz w:val="28"/>
          <w:szCs w:val="28"/>
        </w:rPr>
        <w:t>, в какой</w:t>
      </w:r>
      <w:r w:rsidR="00374395">
        <w:rPr>
          <w:rFonts w:ascii="Times New Roman" w:hAnsi="Times New Roman" w:cs="Times New Roman"/>
          <w:sz w:val="28"/>
          <w:szCs w:val="28"/>
        </w:rPr>
        <w:t xml:space="preserve"> </w:t>
      </w:r>
      <w:r w:rsidR="00374395" w:rsidRPr="00DB53A4">
        <w:rPr>
          <w:rFonts w:ascii="Times New Roman" w:hAnsi="Times New Roman" w:cs="Times New Roman"/>
          <w:sz w:val="28"/>
          <w:szCs w:val="28"/>
        </w:rPr>
        <w:t xml:space="preserve">орган пенсионного обеспечения следует подавать заявление, </w:t>
      </w:r>
      <w:r w:rsidR="00374395">
        <w:rPr>
          <w:rFonts w:ascii="Times New Roman" w:hAnsi="Times New Roman" w:cs="Times New Roman"/>
          <w:sz w:val="28"/>
          <w:szCs w:val="28"/>
        </w:rPr>
        <w:t>рассматривает п</w:t>
      </w:r>
      <w:r w:rsidR="00374395" w:rsidRPr="00DB53A4">
        <w:rPr>
          <w:rFonts w:ascii="Times New Roman" w:hAnsi="Times New Roman" w:cs="Times New Roman"/>
          <w:sz w:val="28"/>
          <w:szCs w:val="28"/>
        </w:rPr>
        <w:t>оследне</w:t>
      </w:r>
      <w:r w:rsidR="00374395">
        <w:rPr>
          <w:rFonts w:ascii="Times New Roman" w:hAnsi="Times New Roman" w:cs="Times New Roman"/>
          <w:sz w:val="28"/>
          <w:szCs w:val="28"/>
        </w:rPr>
        <w:t>е</w:t>
      </w:r>
      <w:r w:rsidR="00374395" w:rsidRPr="00DB53A4">
        <w:rPr>
          <w:rFonts w:ascii="Times New Roman" w:hAnsi="Times New Roman" w:cs="Times New Roman"/>
          <w:sz w:val="28"/>
          <w:szCs w:val="28"/>
        </w:rPr>
        <w:t xml:space="preserve"> мест</w:t>
      </w:r>
      <w:r w:rsidR="00374395">
        <w:rPr>
          <w:rFonts w:ascii="Times New Roman" w:hAnsi="Times New Roman" w:cs="Times New Roman"/>
          <w:sz w:val="28"/>
          <w:szCs w:val="28"/>
        </w:rPr>
        <w:t>о</w:t>
      </w:r>
      <w:r w:rsidR="00374395" w:rsidRPr="00DB53A4">
        <w:rPr>
          <w:rFonts w:ascii="Times New Roman" w:hAnsi="Times New Roman" w:cs="Times New Roman"/>
          <w:sz w:val="28"/>
          <w:szCs w:val="28"/>
        </w:rPr>
        <w:t xml:space="preserve"> службы лиц</w:t>
      </w:r>
      <w:r w:rsidR="00374395">
        <w:rPr>
          <w:rFonts w:ascii="Times New Roman" w:hAnsi="Times New Roman" w:cs="Times New Roman"/>
          <w:sz w:val="28"/>
          <w:szCs w:val="28"/>
        </w:rPr>
        <w:t>а</w:t>
      </w:r>
      <w:r w:rsidR="00374395" w:rsidRPr="00DB53A4">
        <w:rPr>
          <w:rFonts w:ascii="Times New Roman" w:hAnsi="Times New Roman" w:cs="Times New Roman"/>
          <w:sz w:val="28"/>
          <w:szCs w:val="28"/>
        </w:rPr>
        <w:t>, обративш</w:t>
      </w:r>
      <w:r w:rsidR="00374395">
        <w:rPr>
          <w:rFonts w:ascii="Times New Roman" w:hAnsi="Times New Roman" w:cs="Times New Roman"/>
          <w:sz w:val="28"/>
          <w:szCs w:val="28"/>
        </w:rPr>
        <w:t>егося</w:t>
      </w:r>
      <w:r w:rsidR="00374395" w:rsidRPr="00DB53A4">
        <w:rPr>
          <w:rFonts w:ascii="Times New Roman" w:hAnsi="Times New Roman" w:cs="Times New Roman"/>
          <w:sz w:val="28"/>
          <w:szCs w:val="28"/>
        </w:rPr>
        <w:t xml:space="preserve"> за</w:t>
      </w:r>
      <w:r w:rsidR="00374395">
        <w:rPr>
          <w:rFonts w:ascii="Times New Roman" w:hAnsi="Times New Roman" w:cs="Times New Roman"/>
          <w:sz w:val="28"/>
          <w:szCs w:val="28"/>
        </w:rPr>
        <w:t xml:space="preserve"> </w:t>
      </w:r>
      <w:r w:rsidR="00473F6F">
        <w:rPr>
          <w:rFonts w:ascii="Times New Roman" w:hAnsi="Times New Roman" w:cs="Times New Roman"/>
          <w:sz w:val="28"/>
          <w:szCs w:val="28"/>
        </w:rPr>
        <w:t>назначением пенсии</w:t>
      </w:r>
      <w:r w:rsidR="00A86798">
        <w:rPr>
          <w:rFonts w:ascii="Times New Roman" w:hAnsi="Times New Roman" w:cs="Times New Roman"/>
          <w:sz w:val="28"/>
          <w:szCs w:val="28"/>
        </w:rPr>
        <w:t>,</w:t>
      </w:r>
      <w:r w:rsidR="00473F6F">
        <w:rPr>
          <w:rFonts w:ascii="Times New Roman" w:hAnsi="Times New Roman" w:cs="Times New Roman"/>
          <w:sz w:val="28"/>
          <w:szCs w:val="28"/>
        </w:rPr>
        <w:t xml:space="preserve"> вне зависимости от того, были ли это место службы единственным на протяжении всего периода несения службы либо ему предшествовали периоды несения службы иной ведомственной принадлежности. </w:t>
      </w:r>
      <w:r w:rsidR="00A21131">
        <w:rPr>
          <w:rFonts w:ascii="Times New Roman" w:hAnsi="Times New Roman" w:cs="Times New Roman"/>
          <w:sz w:val="28"/>
          <w:szCs w:val="28"/>
        </w:rPr>
        <w:t>По общим правилам действующего пенсионного законодательства Приднестровской Молдавской Республики п</w:t>
      </w:r>
      <w:r w:rsidR="00A21131" w:rsidRPr="00A21131">
        <w:rPr>
          <w:rFonts w:ascii="Times New Roman" w:hAnsi="Times New Roman" w:cs="Times New Roman"/>
          <w:sz w:val="28"/>
          <w:szCs w:val="28"/>
        </w:rPr>
        <w:t xml:space="preserve">еред представлением </w:t>
      </w:r>
      <w:r w:rsidR="00A21131">
        <w:rPr>
          <w:rFonts w:ascii="Times New Roman" w:hAnsi="Times New Roman" w:cs="Times New Roman"/>
          <w:sz w:val="28"/>
          <w:szCs w:val="28"/>
        </w:rPr>
        <w:t>лица</w:t>
      </w:r>
      <w:r w:rsidR="00A21131" w:rsidRPr="00A21131">
        <w:rPr>
          <w:rFonts w:ascii="Times New Roman" w:hAnsi="Times New Roman" w:cs="Times New Roman"/>
          <w:sz w:val="28"/>
          <w:szCs w:val="28"/>
        </w:rPr>
        <w:t xml:space="preserve"> к увольнению с</w:t>
      </w:r>
      <w:r w:rsidR="00A21131">
        <w:rPr>
          <w:rFonts w:ascii="Times New Roman" w:hAnsi="Times New Roman" w:cs="Times New Roman"/>
          <w:sz w:val="28"/>
          <w:szCs w:val="28"/>
        </w:rPr>
        <w:t>о</w:t>
      </w:r>
      <w:r w:rsidR="00A21131" w:rsidRPr="00A21131">
        <w:rPr>
          <w:rFonts w:ascii="Times New Roman" w:hAnsi="Times New Roman" w:cs="Times New Roman"/>
          <w:sz w:val="28"/>
          <w:szCs w:val="28"/>
        </w:rPr>
        <w:t xml:space="preserve"> службы кадровый</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орган уточняет данные о прохождении им службы, а в</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соответствующих случаях и данные об обучении в гражданских высших или средних</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организаци</w:t>
      </w:r>
      <w:r w:rsidR="00A21131">
        <w:rPr>
          <w:rFonts w:ascii="Times New Roman" w:hAnsi="Times New Roman" w:cs="Times New Roman"/>
          <w:sz w:val="28"/>
          <w:szCs w:val="28"/>
        </w:rPr>
        <w:t>ях</w:t>
      </w:r>
      <w:r w:rsidR="00A21131" w:rsidRPr="00A21131">
        <w:rPr>
          <w:rFonts w:ascii="Times New Roman" w:hAnsi="Times New Roman" w:cs="Times New Roman"/>
          <w:sz w:val="28"/>
          <w:szCs w:val="28"/>
        </w:rPr>
        <w:t xml:space="preserve"> профессионального образования до определения на службу,</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по</w:t>
      </w:r>
      <w:r w:rsidR="00A86798">
        <w:rPr>
          <w:rFonts w:ascii="Times New Roman" w:hAnsi="Times New Roman" w:cs="Times New Roman"/>
          <w:sz w:val="28"/>
          <w:szCs w:val="28"/>
        </w:rPr>
        <w:t>дтверждает в послужном списке его</w:t>
      </w:r>
      <w:r w:rsidR="00A21131" w:rsidRPr="00A21131">
        <w:rPr>
          <w:rFonts w:ascii="Times New Roman" w:hAnsi="Times New Roman" w:cs="Times New Roman"/>
          <w:sz w:val="28"/>
          <w:szCs w:val="28"/>
        </w:rPr>
        <w:t xml:space="preserve"> личн</w:t>
      </w:r>
      <w:r w:rsidR="00A86798">
        <w:rPr>
          <w:rFonts w:ascii="Times New Roman" w:hAnsi="Times New Roman" w:cs="Times New Roman"/>
          <w:sz w:val="28"/>
          <w:szCs w:val="28"/>
        </w:rPr>
        <w:t>ого</w:t>
      </w:r>
      <w:r w:rsidR="00A21131" w:rsidRPr="00A21131">
        <w:rPr>
          <w:rFonts w:ascii="Times New Roman" w:hAnsi="Times New Roman" w:cs="Times New Roman"/>
          <w:sz w:val="28"/>
          <w:szCs w:val="28"/>
        </w:rPr>
        <w:t xml:space="preserve"> дел</w:t>
      </w:r>
      <w:r w:rsidR="00A86798">
        <w:rPr>
          <w:rFonts w:ascii="Times New Roman" w:hAnsi="Times New Roman" w:cs="Times New Roman"/>
          <w:sz w:val="28"/>
          <w:szCs w:val="28"/>
        </w:rPr>
        <w:t>а</w:t>
      </w:r>
      <w:r w:rsidR="00A21131" w:rsidRPr="00A21131">
        <w:rPr>
          <w:rFonts w:ascii="Times New Roman" w:hAnsi="Times New Roman" w:cs="Times New Roman"/>
          <w:sz w:val="28"/>
          <w:szCs w:val="28"/>
        </w:rPr>
        <w:t xml:space="preserve"> периоды службы и другой</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деятельности, подлежащие зачету в выслугу лет в календарном исчислении, либо на</w:t>
      </w:r>
      <w:r w:rsidR="00A21131">
        <w:rPr>
          <w:rFonts w:ascii="Times New Roman" w:hAnsi="Times New Roman" w:cs="Times New Roman"/>
          <w:sz w:val="28"/>
          <w:szCs w:val="28"/>
        </w:rPr>
        <w:t xml:space="preserve"> </w:t>
      </w:r>
      <w:r w:rsidR="00A21131" w:rsidRPr="00A21131">
        <w:rPr>
          <w:rFonts w:ascii="Times New Roman" w:hAnsi="Times New Roman" w:cs="Times New Roman"/>
          <w:sz w:val="28"/>
          <w:szCs w:val="28"/>
        </w:rPr>
        <w:t>льготных условиях, после чего производит расчет выслуги лет для назначения пенсии</w:t>
      </w:r>
      <w:r w:rsidR="00A21131">
        <w:rPr>
          <w:rFonts w:ascii="Times New Roman" w:hAnsi="Times New Roman" w:cs="Times New Roman"/>
          <w:sz w:val="28"/>
          <w:szCs w:val="28"/>
        </w:rPr>
        <w:t>.</w:t>
      </w:r>
    </w:p>
    <w:p w:rsidR="006F5C03" w:rsidRDefault="0025487C"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изложенное пенсию за выслугу лет в системе действующего нормативного правового регулирования пенсионного обеспечения можно </w:t>
      </w:r>
      <w:r w:rsidR="006F5C03">
        <w:rPr>
          <w:rFonts w:ascii="Times New Roman" w:hAnsi="Times New Roman" w:cs="Times New Roman"/>
          <w:sz w:val="28"/>
          <w:szCs w:val="28"/>
        </w:rPr>
        <w:t xml:space="preserve">охарактеризовать как государственную гарантию материального обеспечения лиц, проходивших службу, предоставляемую им государством для поддержания соответствующего материального достатка, их социального статуса при оставлении службы по желанию самого гражданина либо в силу объективных обстоятельств, препятствующих ее продолжению, в том числе в </w:t>
      </w:r>
      <w:r w:rsidR="006F5C03">
        <w:rPr>
          <w:rFonts w:ascii="Times New Roman" w:hAnsi="Times New Roman" w:cs="Times New Roman"/>
          <w:sz w:val="28"/>
          <w:szCs w:val="28"/>
        </w:rPr>
        <w:lastRenderedPageBreak/>
        <w:t>случаях, когда гражданин уже не отвечает тем повышенным требованиям, которые предъявляются к лицам, проходящим соответствующую службу.</w:t>
      </w:r>
    </w:p>
    <w:p w:rsidR="00E55476" w:rsidRDefault="002265EA" w:rsidP="0088475C">
      <w:pPr>
        <w:ind w:firstLine="567"/>
        <w:jc w:val="both"/>
        <w:rPr>
          <w:sz w:val="28"/>
          <w:szCs w:val="28"/>
        </w:rPr>
      </w:pPr>
      <w:r>
        <w:rPr>
          <w:sz w:val="28"/>
          <w:szCs w:val="28"/>
        </w:rPr>
        <w:t xml:space="preserve">Достижение требуемой для назначения пенсии выслуги лет освобождает от необходимости продолжения службы, но не влечет обязанности прекратить ее. </w:t>
      </w:r>
      <w:r w:rsidRPr="00132445">
        <w:rPr>
          <w:sz w:val="28"/>
          <w:szCs w:val="28"/>
        </w:rPr>
        <w:t xml:space="preserve">Действующее правовое регулирование материального обеспечения лиц, </w:t>
      </w:r>
      <w:r w:rsidR="000E257C">
        <w:rPr>
          <w:sz w:val="28"/>
          <w:szCs w:val="28"/>
        </w:rPr>
        <w:t>состоявших на</w:t>
      </w:r>
      <w:r>
        <w:rPr>
          <w:sz w:val="28"/>
          <w:szCs w:val="28"/>
        </w:rPr>
        <w:t xml:space="preserve"> службе</w:t>
      </w:r>
      <w:r w:rsidR="00A86798">
        <w:rPr>
          <w:sz w:val="28"/>
          <w:szCs w:val="28"/>
        </w:rPr>
        <w:t>,</w:t>
      </w:r>
      <w:r>
        <w:rPr>
          <w:sz w:val="28"/>
          <w:szCs w:val="28"/>
        </w:rPr>
        <w:t xml:space="preserve"> </w:t>
      </w:r>
      <w:r w:rsidRPr="00132445">
        <w:rPr>
          <w:sz w:val="28"/>
          <w:szCs w:val="28"/>
        </w:rPr>
        <w:t>оставляет на их усмотрение решение вопроса</w:t>
      </w:r>
      <w:r>
        <w:rPr>
          <w:sz w:val="28"/>
          <w:szCs w:val="28"/>
        </w:rPr>
        <w:t xml:space="preserve"> относительно </w:t>
      </w:r>
      <w:r w:rsidRPr="00132445">
        <w:rPr>
          <w:sz w:val="28"/>
          <w:szCs w:val="28"/>
        </w:rPr>
        <w:t>продолж</w:t>
      </w:r>
      <w:r>
        <w:rPr>
          <w:sz w:val="28"/>
          <w:szCs w:val="28"/>
        </w:rPr>
        <w:t>ения</w:t>
      </w:r>
      <w:r w:rsidRPr="00132445">
        <w:rPr>
          <w:sz w:val="28"/>
          <w:szCs w:val="28"/>
        </w:rPr>
        <w:t xml:space="preserve"> служб</w:t>
      </w:r>
      <w:r w:rsidR="00A86798">
        <w:rPr>
          <w:sz w:val="28"/>
          <w:szCs w:val="28"/>
        </w:rPr>
        <w:t>ы, ее прекращения</w:t>
      </w:r>
      <w:r>
        <w:rPr>
          <w:sz w:val="28"/>
          <w:szCs w:val="28"/>
        </w:rPr>
        <w:t xml:space="preserve"> либо </w:t>
      </w:r>
      <w:r w:rsidRPr="00132445">
        <w:rPr>
          <w:sz w:val="28"/>
          <w:szCs w:val="28"/>
        </w:rPr>
        <w:t>з</w:t>
      </w:r>
      <w:r>
        <w:rPr>
          <w:sz w:val="28"/>
          <w:szCs w:val="28"/>
        </w:rPr>
        <w:t>аключения нового</w:t>
      </w:r>
      <w:r w:rsidRPr="00132445">
        <w:rPr>
          <w:sz w:val="28"/>
          <w:szCs w:val="28"/>
        </w:rPr>
        <w:t xml:space="preserve"> контракт</w:t>
      </w:r>
      <w:r>
        <w:rPr>
          <w:sz w:val="28"/>
          <w:szCs w:val="28"/>
        </w:rPr>
        <w:t>а</w:t>
      </w:r>
      <w:r w:rsidRPr="00132445">
        <w:rPr>
          <w:sz w:val="28"/>
          <w:szCs w:val="28"/>
        </w:rPr>
        <w:t xml:space="preserve"> после увольнения</w:t>
      </w:r>
      <w:r>
        <w:rPr>
          <w:sz w:val="28"/>
          <w:szCs w:val="28"/>
        </w:rPr>
        <w:t xml:space="preserve">. </w:t>
      </w:r>
      <w:r w:rsidR="00E55476">
        <w:rPr>
          <w:sz w:val="28"/>
          <w:szCs w:val="28"/>
        </w:rPr>
        <w:t>Определение гражданина на службу любого вида, произведенное после увольнения его со службы и назначения пенсии, по общим правилам понимается как повторное определение на службу.</w:t>
      </w:r>
    </w:p>
    <w:p w:rsidR="00EB2002" w:rsidRDefault="009D1F27" w:rsidP="0088475C">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3 статьи 6 Закона определено, что </w:t>
      </w:r>
      <w:r w:rsidR="002265EA">
        <w:rPr>
          <w:rFonts w:ascii="Times New Roman" w:hAnsi="Times New Roman" w:cs="Times New Roman"/>
          <w:sz w:val="28"/>
          <w:szCs w:val="28"/>
        </w:rPr>
        <w:t xml:space="preserve">пенсионерам, при поступлении их на </w:t>
      </w:r>
      <w:r w:rsidR="00473F6F">
        <w:rPr>
          <w:rFonts w:ascii="Times New Roman" w:hAnsi="Times New Roman" w:cs="Times New Roman"/>
          <w:sz w:val="28"/>
          <w:szCs w:val="28"/>
        </w:rPr>
        <w:t xml:space="preserve">службу </w:t>
      </w:r>
      <w:r w:rsidR="002265EA">
        <w:rPr>
          <w:rFonts w:ascii="Times New Roman" w:hAnsi="Times New Roman" w:cs="Times New Roman"/>
          <w:sz w:val="28"/>
          <w:szCs w:val="28"/>
        </w:rPr>
        <w:t>(в том числе в иностранных государствах) по контракту, выплата назначенных пенсий на время службы по контракту приостанавливается.</w:t>
      </w:r>
      <w:r>
        <w:rPr>
          <w:rFonts w:ascii="Times New Roman" w:hAnsi="Times New Roman" w:cs="Times New Roman"/>
          <w:sz w:val="28"/>
          <w:szCs w:val="28"/>
        </w:rPr>
        <w:t xml:space="preserve"> </w:t>
      </w:r>
      <w:r w:rsidR="00EB2002">
        <w:rPr>
          <w:rFonts w:ascii="Times New Roman" w:hAnsi="Times New Roman" w:cs="Times New Roman"/>
          <w:sz w:val="28"/>
          <w:szCs w:val="28"/>
        </w:rPr>
        <w:t>По сути, под п</w:t>
      </w:r>
      <w:r w:rsidR="00EB2002" w:rsidRPr="00D24E7F">
        <w:rPr>
          <w:rFonts w:ascii="Times New Roman" w:hAnsi="Times New Roman" w:cs="Times New Roman"/>
          <w:sz w:val="28"/>
          <w:szCs w:val="28"/>
        </w:rPr>
        <w:t>риостановление</w:t>
      </w:r>
      <w:r w:rsidR="00EB2002">
        <w:rPr>
          <w:rFonts w:ascii="Times New Roman" w:hAnsi="Times New Roman" w:cs="Times New Roman"/>
          <w:sz w:val="28"/>
          <w:szCs w:val="28"/>
        </w:rPr>
        <w:t>м</w:t>
      </w:r>
      <w:r w:rsidR="00EB2002" w:rsidRPr="00D24E7F">
        <w:rPr>
          <w:rFonts w:ascii="Times New Roman" w:hAnsi="Times New Roman" w:cs="Times New Roman"/>
          <w:sz w:val="28"/>
          <w:szCs w:val="28"/>
        </w:rPr>
        <w:t xml:space="preserve"> </w:t>
      </w:r>
      <w:r w:rsidR="00EB2002">
        <w:rPr>
          <w:rFonts w:ascii="Times New Roman" w:hAnsi="Times New Roman" w:cs="Times New Roman"/>
          <w:sz w:val="28"/>
          <w:szCs w:val="28"/>
        </w:rPr>
        <w:t xml:space="preserve">выплаты пенсии </w:t>
      </w:r>
      <w:r w:rsidR="00EB2002" w:rsidRPr="00D24E7F">
        <w:rPr>
          <w:rFonts w:ascii="Times New Roman" w:hAnsi="Times New Roman" w:cs="Times New Roman"/>
          <w:sz w:val="28"/>
          <w:szCs w:val="28"/>
        </w:rPr>
        <w:t>подразумевает</w:t>
      </w:r>
      <w:r w:rsidR="00EB2002">
        <w:rPr>
          <w:rFonts w:ascii="Times New Roman" w:hAnsi="Times New Roman" w:cs="Times New Roman"/>
          <w:sz w:val="28"/>
          <w:szCs w:val="28"/>
        </w:rPr>
        <w:t>ся</w:t>
      </w:r>
      <w:r w:rsidR="00EB2002" w:rsidRPr="00D24E7F">
        <w:rPr>
          <w:rFonts w:ascii="Times New Roman" w:hAnsi="Times New Roman" w:cs="Times New Roman"/>
          <w:sz w:val="28"/>
          <w:szCs w:val="28"/>
        </w:rPr>
        <w:t xml:space="preserve"> временное прекращение пенсионных выплат вследствие возникновения ситуации, обозначенной в </w:t>
      </w:r>
      <w:r w:rsidR="00EB2002">
        <w:rPr>
          <w:rFonts w:ascii="Times New Roman" w:hAnsi="Times New Roman" w:cs="Times New Roman"/>
          <w:sz w:val="28"/>
          <w:szCs w:val="28"/>
        </w:rPr>
        <w:t xml:space="preserve">действующем </w:t>
      </w:r>
      <w:r w:rsidR="00EB2002" w:rsidRPr="00D24E7F">
        <w:rPr>
          <w:rFonts w:ascii="Times New Roman" w:hAnsi="Times New Roman" w:cs="Times New Roman"/>
          <w:sz w:val="28"/>
          <w:szCs w:val="28"/>
        </w:rPr>
        <w:t>пенсионн</w:t>
      </w:r>
      <w:r w:rsidR="00EB2002">
        <w:rPr>
          <w:rFonts w:ascii="Times New Roman" w:hAnsi="Times New Roman" w:cs="Times New Roman"/>
          <w:sz w:val="28"/>
          <w:szCs w:val="28"/>
        </w:rPr>
        <w:t>ом</w:t>
      </w:r>
      <w:r w:rsidR="00EB2002" w:rsidRPr="00D24E7F">
        <w:rPr>
          <w:rFonts w:ascii="Times New Roman" w:hAnsi="Times New Roman" w:cs="Times New Roman"/>
          <w:sz w:val="28"/>
          <w:szCs w:val="28"/>
        </w:rPr>
        <w:t xml:space="preserve"> закон</w:t>
      </w:r>
      <w:r w:rsidR="00EB2002">
        <w:rPr>
          <w:rFonts w:ascii="Times New Roman" w:hAnsi="Times New Roman" w:cs="Times New Roman"/>
          <w:sz w:val="28"/>
          <w:szCs w:val="28"/>
        </w:rPr>
        <w:t>одательстве,</w:t>
      </w:r>
      <w:r w:rsidR="00EB2002" w:rsidRPr="00D24E7F">
        <w:rPr>
          <w:rFonts w:ascii="Times New Roman" w:hAnsi="Times New Roman" w:cs="Times New Roman"/>
          <w:sz w:val="28"/>
          <w:szCs w:val="28"/>
        </w:rPr>
        <w:t xml:space="preserve"> </w:t>
      </w:r>
      <w:r w:rsidR="00EB2002">
        <w:rPr>
          <w:rFonts w:ascii="Times New Roman" w:hAnsi="Times New Roman" w:cs="Times New Roman"/>
          <w:sz w:val="28"/>
          <w:szCs w:val="28"/>
        </w:rPr>
        <w:t xml:space="preserve">при условии </w:t>
      </w:r>
      <w:r w:rsidR="00EB2002" w:rsidRPr="00D24E7F">
        <w:rPr>
          <w:rFonts w:ascii="Times New Roman" w:hAnsi="Times New Roman" w:cs="Times New Roman"/>
          <w:sz w:val="28"/>
          <w:szCs w:val="28"/>
        </w:rPr>
        <w:t>сохранени</w:t>
      </w:r>
      <w:r w:rsidR="00EB2002">
        <w:rPr>
          <w:rFonts w:ascii="Times New Roman" w:hAnsi="Times New Roman" w:cs="Times New Roman"/>
          <w:sz w:val="28"/>
          <w:szCs w:val="28"/>
        </w:rPr>
        <w:t>я</w:t>
      </w:r>
      <w:r w:rsidR="00EB2002" w:rsidRPr="00D24E7F">
        <w:rPr>
          <w:rFonts w:ascii="Times New Roman" w:hAnsi="Times New Roman" w:cs="Times New Roman"/>
          <w:sz w:val="28"/>
          <w:szCs w:val="28"/>
        </w:rPr>
        <w:t xml:space="preserve"> </w:t>
      </w:r>
      <w:r w:rsidR="00EB2002">
        <w:rPr>
          <w:rFonts w:ascii="Times New Roman" w:hAnsi="Times New Roman" w:cs="Times New Roman"/>
          <w:sz w:val="28"/>
          <w:szCs w:val="28"/>
        </w:rPr>
        <w:t xml:space="preserve">возможности возобновления ее выплаты </w:t>
      </w:r>
      <w:r w:rsidR="00EB2002" w:rsidRPr="00D24E7F">
        <w:rPr>
          <w:rFonts w:ascii="Times New Roman" w:hAnsi="Times New Roman" w:cs="Times New Roman"/>
          <w:sz w:val="28"/>
          <w:szCs w:val="28"/>
        </w:rPr>
        <w:t xml:space="preserve">после устранения возникших </w:t>
      </w:r>
      <w:r w:rsidR="00EB2002">
        <w:rPr>
          <w:rFonts w:ascii="Times New Roman" w:hAnsi="Times New Roman" w:cs="Times New Roman"/>
          <w:sz w:val="28"/>
          <w:szCs w:val="28"/>
        </w:rPr>
        <w:t>правовых препятствий</w:t>
      </w:r>
      <w:r w:rsidR="00EB2002" w:rsidRPr="00D24E7F">
        <w:rPr>
          <w:rFonts w:ascii="Times New Roman" w:hAnsi="Times New Roman" w:cs="Times New Roman"/>
          <w:sz w:val="28"/>
          <w:szCs w:val="28"/>
        </w:rPr>
        <w:t>.</w:t>
      </w:r>
    </w:p>
    <w:p w:rsidR="009D1F27" w:rsidRDefault="00EB2002" w:rsidP="0088475C">
      <w:pPr>
        <w:ind w:firstLine="567"/>
        <w:jc w:val="both"/>
        <w:rPr>
          <w:sz w:val="28"/>
          <w:szCs w:val="28"/>
        </w:rPr>
      </w:pPr>
      <w:r>
        <w:rPr>
          <w:sz w:val="28"/>
          <w:szCs w:val="28"/>
        </w:rPr>
        <w:t>В</w:t>
      </w:r>
      <w:r w:rsidR="00374395">
        <w:rPr>
          <w:sz w:val="28"/>
          <w:szCs w:val="28"/>
        </w:rPr>
        <w:t xml:space="preserve"> </w:t>
      </w:r>
      <w:r w:rsidR="009D1F27" w:rsidRPr="003D7E87">
        <w:rPr>
          <w:sz w:val="28"/>
          <w:szCs w:val="28"/>
        </w:rPr>
        <w:t>цел</w:t>
      </w:r>
      <w:r w:rsidR="00374395">
        <w:rPr>
          <w:sz w:val="28"/>
          <w:szCs w:val="28"/>
        </w:rPr>
        <w:t>ях</w:t>
      </w:r>
      <w:r w:rsidR="009D1F27" w:rsidRPr="003D7E87">
        <w:rPr>
          <w:sz w:val="28"/>
          <w:szCs w:val="28"/>
        </w:rPr>
        <w:t xml:space="preserve"> сохранения кадрового состава Вооруженных сил, других войск и органов Приднестровской Молдавской Республики, </w:t>
      </w:r>
      <w:r w:rsidR="00A86798">
        <w:rPr>
          <w:sz w:val="28"/>
          <w:szCs w:val="28"/>
        </w:rPr>
        <w:t xml:space="preserve">было законодательно закреплено </w:t>
      </w:r>
      <w:r w:rsidR="009D1F27" w:rsidRPr="003D7E87">
        <w:rPr>
          <w:sz w:val="28"/>
          <w:szCs w:val="28"/>
        </w:rPr>
        <w:t>компенсирова</w:t>
      </w:r>
      <w:r w:rsidR="00A86798">
        <w:rPr>
          <w:sz w:val="28"/>
          <w:szCs w:val="28"/>
        </w:rPr>
        <w:t>ние</w:t>
      </w:r>
      <w:r w:rsidR="009D1F27" w:rsidRPr="003D7E87">
        <w:rPr>
          <w:sz w:val="28"/>
          <w:szCs w:val="28"/>
        </w:rPr>
        <w:t xml:space="preserve"> приостановлени</w:t>
      </w:r>
      <w:r w:rsidR="00A86798">
        <w:rPr>
          <w:sz w:val="28"/>
          <w:szCs w:val="28"/>
        </w:rPr>
        <w:t>я</w:t>
      </w:r>
      <w:r w:rsidR="00374395">
        <w:rPr>
          <w:sz w:val="28"/>
          <w:szCs w:val="28"/>
        </w:rPr>
        <w:t xml:space="preserve"> выплаты пенсии за выслугу лет посредством установления на период такой приостановки</w:t>
      </w:r>
      <w:r w:rsidR="00374395" w:rsidRPr="00374395">
        <w:rPr>
          <w:sz w:val="28"/>
          <w:szCs w:val="28"/>
        </w:rPr>
        <w:t xml:space="preserve"> </w:t>
      </w:r>
      <w:r w:rsidR="00374395">
        <w:rPr>
          <w:sz w:val="28"/>
          <w:szCs w:val="28"/>
        </w:rPr>
        <w:t>ежемесячной пенсионной компенсации (</w:t>
      </w:r>
      <w:r w:rsidR="00A86798">
        <w:rPr>
          <w:sz w:val="28"/>
          <w:szCs w:val="28"/>
        </w:rPr>
        <w:t>далее –</w:t>
      </w:r>
      <w:r w:rsidR="00374395">
        <w:rPr>
          <w:sz w:val="28"/>
          <w:szCs w:val="28"/>
        </w:rPr>
        <w:t xml:space="preserve"> пенсионной компенсации) в размере, равном размеру назначенной пенсии с учетом установленных к ней дополнительных пенсий, повышения пенсий и дополнительного материального обеспечения.</w:t>
      </w:r>
      <w:r w:rsidR="003D3078" w:rsidRPr="003D3078">
        <w:rPr>
          <w:sz w:val="28"/>
          <w:szCs w:val="28"/>
        </w:rPr>
        <w:t xml:space="preserve"> </w:t>
      </w:r>
      <w:r w:rsidR="003D3078" w:rsidRPr="00DB2741">
        <w:rPr>
          <w:sz w:val="28"/>
          <w:szCs w:val="28"/>
        </w:rPr>
        <w:t>Пенсионная компенсация выплачивается пенсионным органом, приостановившим выплату пенсии</w:t>
      </w:r>
      <w:r w:rsidR="00A21131">
        <w:rPr>
          <w:sz w:val="28"/>
          <w:szCs w:val="28"/>
        </w:rPr>
        <w:t xml:space="preserve"> и является </w:t>
      </w:r>
      <w:r w:rsidR="00A21131" w:rsidRPr="00A21131">
        <w:rPr>
          <w:sz w:val="28"/>
          <w:szCs w:val="28"/>
        </w:rPr>
        <w:t>ежемесячн</w:t>
      </w:r>
      <w:r w:rsidR="00A21131">
        <w:rPr>
          <w:sz w:val="28"/>
          <w:szCs w:val="28"/>
        </w:rPr>
        <w:t>ой</w:t>
      </w:r>
      <w:r w:rsidR="00A21131" w:rsidRPr="00A21131">
        <w:rPr>
          <w:sz w:val="28"/>
          <w:szCs w:val="28"/>
        </w:rPr>
        <w:t xml:space="preserve"> выплат</w:t>
      </w:r>
      <w:r w:rsidR="00A21131">
        <w:rPr>
          <w:sz w:val="28"/>
          <w:szCs w:val="28"/>
        </w:rPr>
        <w:t xml:space="preserve">ой, устанавливаемой лицам, </w:t>
      </w:r>
      <w:r w:rsidR="00A21131" w:rsidRPr="00A21131">
        <w:rPr>
          <w:sz w:val="28"/>
          <w:szCs w:val="28"/>
        </w:rPr>
        <w:t>право на пенсию которых реализовано в соответствии с Законом при поступлении их на службу</w:t>
      </w:r>
      <w:r w:rsidR="00A86798">
        <w:rPr>
          <w:sz w:val="28"/>
          <w:szCs w:val="28"/>
        </w:rPr>
        <w:t xml:space="preserve"> повторно</w:t>
      </w:r>
      <w:r w:rsidR="00A21131" w:rsidRPr="00A21131">
        <w:rPr>
          <w:sz w:val="28"/>
          <w:szCs w:val="28"/>
        </w:rPr>
        <w:t>.</w:t>
      </w:r>
    </w:p>
    <w:p w:rsidR="00A21131" w:rsidRDefault="00EB2002" w:rsidP="00A21131">
      <w:pPr>
        <w:ind w:firstLine="567"/>
        <w:jc w:val="both"/>
        <w:rPr>
          <w:sz w:val="28"/>
          <w:szCs w:val="28"/>
        </w:rPr>
      </w:pPr>
      <w:r>
        <w:rPr>
          <w:sz w:val="28"/>
          <w:szCs w:val="28"/>
        </w:rPr>
        <w:t xml:space="preserve">В общей теории права наступление определенных юридических фактов рассматривается как нормативно-социальная предпосылка или условие последующего взаимодействия в рамках общественного отношения. В рамках пенсионных правоотношений юридическим фактом, </w:t>
      </w:r>
      <w:r w:rsidR="00A21131">
        <w:rPr>
          <w:sz w:val="28"/>
          <w:szCs w:val="28"/>
        </w:rPr>
        <w:t xml:space="preserve">предваряющим возникновение у лица права на выплату </w:t>
      </w:r>
      <w:r>
        <w:rPr>
          <w:sz w:val="28"/>
          <w:szCs w:val="28"/>
        </w:rPr>
        <w:t xml:space="preserve">пенсионной компенсации, </w:t>
      </w:r>
      <w:r w:rsidR="00A21131">
        <w:rPr>
          <w:sz w:val="28"/>
          <w:szCs w:val="28"/>
        </w:rPr>
        <w:t xml:space="preserve">является поступление его на службу и </w:t>
      </w:r>
      <w:r w:rsidR="00374395">
        <w:rPr>
          <w:sz w:val="28"/>
          <w:szCs w:val="28"/>
        </w:rPr>
        <w:t xml:space="preserve">приостановление выплаты </w:t>
      </w:r>
      <w:r w:rsidR="00473F6F">
        <w:rPr>
          <w:sz w:val="28"/>
          <w:szCs w:val="28"/>
        </w:rPr>
        <w:t xml:space="preserve">ранее </w:t>
      </w:r>
      <w:r w:rsidR="00374395">
        <w:rPr>
          <w:sz w:val="28"/>
          <w:szCs w:val="28"/>
        </w:rPr>
        <w:t xml:space="preserve">назначенной </w:t>
      </w:r>
      <w:r>
        <w:rPr>
          <w:sz w:val="28"/>
          <w:szCs w:val="28"/>
        </w:rPr>
        <w:t xml:space="preserve">пенсии. </w:t>
      </w:r>
    </w:p>
    <w:p w:rsidR="00A21131" w:rsidRDefault="00A21131" w:rsidP="0088475C">
      <w:pPr>
        <w:ind w:firstLine="567"/>
        <w:jc w:val="both"/>
        <w:rPr>
          <w:sz w:val="28"/>
          <w:szCs w:val="28"/>
        </w:rPr>
      </w:pPr>
      <w:r>
        <w:rPr>
          <w:sz w:val="28"/>
          <w:szCs w:val="28"/>
        </w:rPr>
        <w:t>Пенсионные правоот</w:t>
      </w:r>
      <w:r w:rsidR="00B9710C">
        <w:rPr>
          <w:sz w:val="28"/>
          <w:szCs w:val="28"/>
        </w:rPr>
        <w:t>ношения носят длящийся характер</w:t>
      </w:r>
      <w:r>
        <w:rPr>
          <w:sz w:val="28"/>
          <w:szCs w:val="28"/>
        </w:rPr>
        <w:t xml:space="preserve"> и в процессе их реализации законодатель предоставляет лицу право выбора правовых последствий, наступление которых ставится в прямую зависимость от конкретного волеизъявления. При принятии решения о повторном увольнении со службы любой ведомственной принадлежности (то есть произведенном после определения на службу, которому предшествовало первоначальное увольнение и назначение пенсии) нормами п</w:t>
      </w:r>
      <w:r w:rsidR="00FF1774">
        <w:rPr>
          <w:sz w:val="28"/>
          <w:szCs w:val="28"/>
        </w:rPr>
        <w:t>ункт</w:t>
      </w:r>
      <w:r>
        <w:rPr>
          <w:sz w:val="28"/>
          <w:szCs w:val="28"/>
        </w:rPr>
        <w:t>а</w:t>
      </w:r>
      <w:r w:rsidR="00FF1774">
        <w:rPr>
          <w:sz w:val="28"/>
          <w:szCs w:val="28"/>
        </w:rPr>
        <w:t xml:space="preserve"> 2 статьи 42 Закона </w:t>
      </w:r>
      <w:r>
        <w:rPr>
          <w:sz w:val="28"/>
          <w:szCs w:val="28"/>
        </w:rPr>
        <w:t>лицам, на которых распространяется их действие, предоставлена возможность выбора наиболее предпочтительного варианта условий пенсионного обеспечения.</w:t>
      </w:r>
    </w:p>
    <w:p w:rsidR="00A21131" w:rsidRDefault="00A21131" w:rsidP="0088475C">
      <w:pPr>
        <w:ind w:firstLine="567"/>
        <w:jc w:val="both"/>
        <w:rPr>
          <w:sz w:val="28"/>
          <w:szCs w:val="28"/>
        </w:rPr>
      </w:pPr>
      <w:r>
        <w:rPr>
          <w:sz w:val="28"/>
          <w:szCs w:val="28"/>
        </w:rPr>
        <w:lastRenderedPageBreak/>
        <w:t xml:space="preserve">Так, согласно части первой пункта 2 статьи 42 Закона, </w:t>
      </w:r>
      <w:r w:rsidR="00FF1774">
        <w:rPr>
          <w:sz w:val="28"/>
          <w:szCs w:val="28"/>
        </w:rPr>
        <w:t>в</w:t>
      </w:r>
      <w:r w:rsidR="00FF1774" w:rsidRPr="00EA4917">
        <w:rPr>
          <w:sz w:val="28"/>
          <w:szCs w:val="28"/>
        </w:rPr>
        <w:t xml:space="preserve"> случае повторного определения на службу по контракту лиц, получавших ранее пенсию, при последующем увольнении их со службы в</w:t>
      </w:r>
      <w:r w:rsidR="00FF1774">
        <w:rPr>
          <w:sz w:val="28"/>
          <w:szCs w:val="28"/>
        </w:rPr>
        <w:t>ыплата им пенсии возобновляется</w:t>
      </w:r>
      <w:r w:rsidR="00FF1774" w:rsidRPr="00EA4917">
        <w:rPr>
          <w:sz w:val="28"/>
          <w:szCs w:val="28"/>
        </w:rPr>
        <w:t xml:space="preserve"> исходя из суммы денежного довольствия, исчисленного на день их последнего увольнения.</w:t>
      </w:r>
      <w:r w:rsidR="00FF1774">
        <w:rPr>
          <w:sz w:val="28"/>
          <w:szCs w:val="28"/>
        </w:rPr>
        <w:t xml:space="preserve"> </w:t>
      </w:r>
    </w:p>
    <w:p w:rsidR="00F47E73" w:rsidRDefault="00A21131" w:rsidP="00F47E73">
      <w:pPr>
        <w:shd w:val="clear" w:color="auto" w:fill="FFFFFF"/>
        <w:ind w:firstLine="567"/>
        <w:jc w:val="both"/>
        <w:rPr>
          <w:sz w:val="28"/>
          <w:szCs w:val="28"/>
        </w:rPr>
      </w:pPr>
      <w:r>
        <w:rPr>
          <w:sz w:val="28"/>
          <w:szCs w:val="28"/>
        </w:rPr>
        <w:t xml:space="preserve">Частью второй пункта 2 статьи 42 Закона определена возможность </w:t>
      </w:r>
      <w:r w:rsidRPr="00032BFA">
        <w:rPr>
          <w:sz w:val="28"/>
          <w:szCs w:val="28"/>
        </w:rPr>
        <w:t>возобновлен</w:t>
      </w:r>
      <w:r>
        <w:rPr>
          <w:sz w:val="28"/>
          <w:szCs w:val="28"/>
        </w:rPr>
        <w:t>ия выплаты</w:t>
      </w:r>
      <w:r w:rsidRPr="00032BFA">
        <w:rPr>
          <w:sz w:val="28"/>
          <w:szCs w:val="28"/>
        </w:rPr>
        <w:t xml:space="preserve"> пенсии, исчисленн</w:t>
      </w:r>
      <w:r>
        <w:rPr>
          <w:sz w:val="28"/>
          <w:szCs w:val="28"/>
        </w:rPr>
        <w:t>ой</w:t>
      </w:r>
      <w:r w:rsidRPr="00032BFA">
        <w:rPr>
          <w:sz w:val="28"/>
          <w:szCs w:val="28"/>
        </w:rPr>
        <w:t xml:space="preserve"> из суммы денежного довольствия, применяемого при первоначальном назначении </w:t>
      </w:r>
      <w:r>
        <w:rPr>
          <w:sz w:val="28"/>
          <w:szCs w:val="28"/>
        </w:rPr>
        <w:t>лицу</w:t>
      </w:r>
      <w:r w:rsidRPr="00032BFA">
        <w:rPr>
          <w:sz w:val="28"/>
          <w:szCs w:val="28"/>
        </w:rPr>
        <w:t xml:space="preserve"> пенсии исходя из норм и условий предыдущих увольнений</w:t>
      </w:r>
      <w:r>
        <w:rPr>
          <w:sz w:val="28"/>
          <w:szCs w:val="28"/>
        </w:rPr>
        <w:t>.</w:t>
      </w:r>
      <w:r w:rsidR="00F47E73" w:rsidRPr="00F47E73">
        <w:rPr>
          <w:bCs/>
          <w:color w:val="000000"/>
          <w:sz w:val="28"/>
          <w:szCs w:val="28"/>
        </w:rPr>
        <w:t xml:space="preserve"> </w:t>
      </w:r>
      <w:r w:rsidR="00F47E73">
        <w:rPr>
          <w:bCs/>
          <w:color w:val="000000"/>
          <w:sz w:val="28"/>
          <w:szCs w:val="28"/>
        </w:rPr>
        <w:t xml:space="preserve">Согласно </w:t>
      </w:r>
      <w:proofErr w:type="gramStart"/>
      <w:r w:rsidR="00F47E73">
        <w:rPr>
          <w:sz w:val="28"/>
          <w:szCs w:val="28"/>
        </w:rPr>
        <w:t>С</w:t>
      </w:r>
      <w:r w:rsidR="00F47E73" w:rsidRPr="007A5D61">
        <w:rPr>
          <w:sz w:val="28"/>
          <w:szCs w:val="28"/>
        </w:rPr>
        <w:t>ловар</w:t>
      </w:r>
      <w:r w:rsidR="00F47E73">
        <w:rPr>
          <w:sz w:val="28"/>
          <w:szCs w:val="28"/>
        </w:rPr>
        <w:t>ю русского языка</w:t>
      </w:r>
      <w:proofErr w:type="gramEnd"/>
      <w:r w:rsidR="00F47E73" w:rsidRPr="007A5D61">
        <w:rPr>
          <w:sz w:val="28"/>
          <w:szCs w:val="28"/>
        </w:rPr>
        <w:t xml:space="preserve"> С. И. Ожегов</w:t>
      </w:r>
      <w:r w:rsidR="00F47E73">
        <w:rPr>
          <w:sz w:val="28"/>
          <w:szCs w:val="28"/>
        </w:rPr>
        <w:t xml:space="preserve">а, </w:t>
      </w:r>
      <w:r w:rsidR="00F47E73" w:rsidRPr="00A21131">
        <w:rPr>
          <w:sz w:val="28"/>
          <w:szCs w:val="28"/>
        </w:rPr>
        <w:t>Толков</w:t>
      </w:r>
      <w:r w:rsidR="00F47E73">
        <w:rPr>
          <w:sz w:val="28"/>
          <w:szCs w:val="28"/>
        </w:rPr>
        <w:t>ому</w:t>
      </w:r>
      <w:r w:rsidR="00F47E73" w:rsidRPr="00A21131">
        <w:rPr>
          <w:sz w:val="28"/>
          <w:szCs w:val="28"/>
        </w:rPr>
        <w:t xml:space="preserve"> словар</w:t>
      </w:r>
      <w:r w:rsidR="00F47E73">
        <w:rPr>
          <w:sz w:val="28"/>
          <w:szCs w:val="28"/>
        </w:rPr>
        <w:t>ю</w:t>
      </w:r>
      <w:r w:rsidR="00F47E73" w:rsidRPr="00A21131">
        <w:rPr>
          <w:sz w:val="28"/>
          <w:szCs w:val="28"/>
        </w:rPr>
        <w:t xml:space="preserve"> русского языка под реда</w:t>
      </w:r>
      <w:r w:rsidR="00F47E73">
        <w:rPr>
          <w:sz w:val="28"/>
          <w:szCs w:val="28"/>
        </w:rPr>
        <w:t xml:space="preserve">кцией Д. Н. Ушакова термин «возобновление» определяется как </w:t>
      </w:r>
      <w:r w:rsidR="00F47E73" w:rsidRPr="00A21131">
        <w:rPr>
          <w:sz w:val="28"/>
          <w:szCs w:val="28"/>
        </w:rPr>
        <w:t>продолж</w:t>
      </w:r>
      <w:r w:rsidR="00F47E73">
        <w:rPr>
          <w:sz w:val="28"/>
          <w:szCs w:val="28"/>
        </w:rPr>
        <w:t>ение</w:t>
      </w:r>
      <w:r w:rsidR="00F47E73" w:rsidRPr="00A21131">
        <w:rPr>
          <w:sz w:val="28"/>
          <w:szCs w:val="28"/>
        </w:rPr>
        <w:t xml:space="preserve"> после какого-либо перерыва</w:t>
      </w:r>
      <w:r w:rsidR="00F47E73">
        <w:rPr>
          <w:sz w:val="28"/>
          <w:szCs w:val="28"/>
        </w:rPr>
        <w:t xml:space="preserve">, приведение в прежнее состояние. С учетом лингвистического анализа представляется обоснованным утверждение о том, что возобновление выплаты назначенной пенсии </w:t>
      </w:r>
      <w:r w:rsidR="00F47E73" w:rsidRPr="009B1BE8">
        <w:rPr>
          <w:sz w:val="28"/>
          <w:szCs w:val="28"/>
        </w:rPr>
        <w:t>за выслугу лет</w:t>
      </w:r>
      <w:r w:rsidR="00F47E73">
        <w:rPr>
          <w:sz w:val="28"/>
          <w:szCs w:val="28"/>
        </w:rPr>
        <w:t>,</w:t>
      </w:r>
      <w:r w:rsidR="00F47E73" w:rsidRPr="009B1BE8">
        <w:rPr>
          <w:sz w:val="28"/>
          <w:szCs w:val="28"/>
        </w:rPr>
        <w:t xml:space="preserve"> после</w:t>
      </w:r>
      <w:r w:rsidR="00F47E73">
        <w:rPr>
          <w:sz w:val="28"/>
          <w:szCs w:val="28"/>
        </w:rPr>
        <w:t xml:space="preserve"> перерыва в ее получении (к примеру, в случае повторного определения на службу и последующего с нее увольнения), может быть произведено исключительно исходя из условий и норм предыдущих увольнений, без учета выслуги лет, образовавшейся после назначения пенсии.</w:t>
      </w:r>
    </w:p>
    <w:p w:rsidR="00B9710C" w:rsidRDefault="00A21131" w:rsidP="00A21131">
      <w:pPr>
        <w:shd w:val="clear" w:color="auto" w:fill="FFFFFF"/>
        <w:ind w:firstLine="567"/>
        <w:jc w:val="both"/>
        <w:rPr>
          <w:bCs/>
          <w:color w:val="000000"/>
          <w:sz w:val="28"/>
          <w:szCs w:val="28"/>
        </w:rPr>
      </w:pPr>
      <w:r>
        <w:rPr>
          <w:sz w:val="28"/>
          <w:szCs w:val="28"/>
        </w:rPr>
        <w:t xml:space="preserve">Имплементируя в пенсионное законодательство Приднестровской Молдавской Республики норму пункта 2 статьи 42 </w:t>
      </w:r>
      <w:proofErr w:type="gramStart"/>
      <w:r>
        <w:rPr>
          <w:sz w:val="28"/>
          <w:szCs w:val="28"/>
        </w:rPr>
        <w:t>Закона</w:t>
      </w:r>
      <w:proofErr w:type="gramEnd"/>
      <w:r>
        <w:rPr>
          <w:sz w:val="28"/>
          <w:szCs w:val="28"/>
        </w:rPr>
        <w:t xml:space="preserve"> законодатель исходил из необходимости предоставления </w:t>
      </w:r>
      <w:r>
        <w:rPr>
          <w:bCs/>
          <w:color w:val="000000"/>
          <w:sz w:val="28"/>
          <w:szCs w:val="28"/>
        </w:rPr>
        <w:t xml:space="preserve">лицам, повторно поступившим на службу, (при последующем увольнении и соответственно оформлении пенсии) </w:t>
      </w:r>
      <w:r>
        <w:rPr>
          <w:sz w:val="28"/>
          <w:szCs w:val="28"/>
        </w:rPr>
        <w:t xml:space="preserve">права выбора </w:t>
      </w:r>
      <w:r>
        <w:rPr>
          <w:bCs/>
          <w:color w:val="000000"/>
          <w:sz w:val="28"/>
          <w:szCs w:val="28"/>
        </w:rPr>
        <w:t>условий её назначения –</w:t>
      </w:r>
      <w:r w:rsidR="00B9710C">
        <w:rPr>
          <w:bCs/>
          <w:color w:val="000000"/>
          <w:sz w:val="28"/>
          <w:szCs w:val="28"/>
        </w:rPr>
        <w:t xml:space="preserve"> </w:t>
      </w:r>
      <w:r>
        <w:rPr>
          <w:bCs/>
          <w:color w:val="000000"/>
          <w:sz w:val="28"/>
          <w:szCs w:val="28"/>
        </w:rPr>
        <w:t>либо исходя из размеров окладов по должностям и званиям</w:t>
      </w:r>
      <w:r w:rsidR="00B9710C">
        <w:rPr>
          <w:bCs/>
          <w:color w:val="000000"/>
          <w:sz w:val="28"/>
          <w:szCs w:val="28"/>
        </w:rPr>
        <w:t xml:space="preserve"> и</w:t>
      </w:r>
      <w:r>
        <w:rPr>
          <w:bCs/>
          <w:color w:val="000000"/>
          <w:sz w:val="28"/>
          <w:szCs w:val="28"/>
        </w:rPr>
        <w:t xml:space="preserve"> увеличившейся выслугой</w:t>
      </w:r>
      <w:r w:rsidR="00B9710C">
        <w:rPr>
          <w:bCs/>
          <w:color w:val="000000"/>
          <w:sz w:val="28"/>
          <w:szCs w:val="28"/>
        </w:rPr>
        <w:t xml:space="preserve"> на новом месте службы</w:t>
      </w:r>
      <w:r>
        <w:rPr>
          <w:bCs/>
          <w:color w:val="000000"/>
          <w:sz w:val="28"/>
          <w:szCs w:val="28"/>
        </w:rPr>
        <w:t xml:space="preserve">, либо из размеров окладов при первичном назначении пенсии. Такой метод правового регулирования был избран ввиду необходимости дополнительной социальной защиты лиц, которые к примеру, повторно поступают на службу на более низкую должность либо которые в процессе службы были снижены в должности или в звании. </w:t>
      </w:r>
    </w:p>
    <w:p w:rsidR="008A13BA" w:rsidRDefault="00B13B6D" w:rsidP="00A21131">
      <w:pPr>
        <w:shd w:val="clear" w:color="auto" w:fill="FFFFFF"/>
        <w:ind w:firstLine="567"/>
        <w:jc w:val="both"/>
        <w:rPr>
          <w:sz w:val="28"/>
          <w:szCs w:val="28"/>
        </w:rPr>
      </w:pPr>
      <w:r>
        <w:rPr>
          <w:sz w:val="28"/>
          <w:szCs w:val="28"/>
        </w:rPr>
        <w:t>П</w:t>
      </w:r>
      <w:r w:rsidR="002D2C80" w:rsidRPr="008A13BA">
        <w:rPr>
          <w:sz w:val="28"/>
          <w:szCs w:val="28"/>
        </w:rPr>
        <w:t>ринимая во внимание совокупность приведённых норм в их системной взаимосвязи следует</w:t>
      </w:r>
      <w:r w:rsidR="00802BBB" w:rsidRPr="008A13BA">
        <w:rPr>
          <w:sz w:val="28"/>
          <w:szCs w:val="28"/>
        </w:rPr>
        <w:t xml:space="preserve"> </w:t>
      </w:r>
      <w:r w:rsidR="00A21131">
        <w:rPr>
          <w:sz w:val="28"/>
          <w:szCs w:val="28"/>
        </w:rPr>
        <w:t>констатировать</w:t>
      </w:r>
      <w:r w:rsidR="002D2C80" w:rsidRPr="008A13BA">
        <w:rPr>
          <w:sz w:val="28"/>
          <w:szCs w:val="28"/>
        </w:rPr>
        <w:t>, что</w:t>
      </w:r>
      <w:r w:rsidR="00A21131">
        <w:rPr>
          <w:sz w:val="28"/>
          <w:szCs w:val="28"/>
        </w:rPr>
        <w:t xml:space="preserve"> в случае повторного определения лица на службу, при условии, что </w:t>
      </w:r>
      <w:r w:rsidR="00A21131" w:rsidRPr="00A21131">
        <w:rPr>
          <w:sz w:val="28"/>
          <w:szCs w:val="28"/>
        </w:rPr>
        <w:t>первоначальное и повторное место службы не совпадают по ведомственной принадлежности</w:t>
      </w:r>
      <w:r w:rsidR="00A21131">
        <w:rPr>
          <w:sz w:val="28"/>
          <w:szCs w:val="28"/>
        </w:rPr>
        <w:t xml:space="preserve"> и изъявлении им желания на </w:t>
      </w:r>
      <w:r w:rsidR="00A21131" w:rsidRPr="00A21131">
        <w:rPr>
          <w:sz w:val="28"/>
          <w:szCs w:val="28"/>
        </w:rPr>
        <w:t>выплат</w:t>
      </w:r>
      <w:r w:rsidR="00A21131">
        <w:rPr>
          <w:sz w:val="28"/>
          <w:szCs w:val="28"/>
        </w:rPr>
        <w:t>у</w:t>
      </w:r>
      <w:r w:rsidR="00A21131" w:rsidRPr="00A21131">
        <w:rPr>
          <w:sz w:val="28"/>
          <w:szCs w:val="28"/>
        </w:rPr>
        <w:t xml:space="preserve"> пенсии исходя из выслуги лет и трудового стаж</w:t>
      </w:r>
      <w:r w:rsidR="00A21131">
        <w:rPr>
          <w:sz w:val="28"/>
          <w:szCs w:val="28"/>
        </w:rPr>
        <w:t xml:space="preserve">а на день последнего увольнения, </w:t>
      </w:r>
      <w:r w:rsidR="00A21131" w:rsidRPr="00703930">
        <w:rPr>
          <w:color w:val="000000"/>
          <w:sz w:val="28"/>
          <w:szCs w:val="28"/>
        </w:rPr>
        <w:t>то есть с учетом выслуги лет по последнему месту с</w:t>
      </w:r>
      <w:r w:rsidR="00A21131">
        <w:rPr>
          <w:color w:val="000000"/>
          <w:sz w:val="28"/>
          <w:szCs w:val="28"/>
        </w:rPr>
        <w:t xml:space="preserve">лужбы, </w:t>
      </w:r>
      <w:r w:rsidR="00A21131" w:rsidRPr="00703930">
        <w:rPr>
          <w:color w:val="000000"/>
          <w:sz w:val="28"/>
          <w:szCs w:val="28"/>
        </w:rPr>
        <w:t>исчисление пенсии производит</w:t>
      </w:r>
      <w:r w:rsidR="00A21131">
        <w:rPr>
          <w:color w:val="000000"/>
          <w:sz w:val="28"/>
          <w:szCs w:val="28"/>
        </w:rPr>
        <w:t>ся</w:t>
      </w:r>
      <w:r w:rsidR="00A21131" w:rsidRPr="00703930">
        <w:rPr>
          <w:color w:val="000000"/>
          <w:sz w:val="28"/>
          <w:szCs w:val="28"/>
        </w:rPr>
        <w:t xml:space="preserve"> т</w:t>
      </w:r>
      <w:r w:rsidR="00A21131">
        <w:rPr>
          <w:color w:val="000000"/>
          <w:sz w:val="28"/>
          <w:szCs w:val="28"/>
        </w:rPr>
        <w:t>ем</w:t>
      </w:r>
      <w:r w:rsidR="00A21131" w:rsidRPr="00703930">
        <w:rPr>
          <w:color w:val="000000"/>
          <w:sz w:val="28"/>
          <w:szCs w:val="28"/>
        </w:rPr>
        <w:t xml:space="preserve"> орган</w:t>
      </w:r>
      <w:r w:rsidR="00A21131">
        <w:rPr>
          <w:color w:val="000000"/>
          <w:sz w:val="28"/>
          <w:szCs w:val="28"/>
        </w:rPr>
        <w:t>ом</w:t>
      </w:r>
      <w:r w:rsidR="00A21131" w:rsidRPr="00703930">
        <w:rPr>
          <w:color w:val="000000"/>
          <w:sz w:val="28"/>
          <w:szCs w:val="28"/>
        </w:rPr>
        <w:t xml:space="preserve"> пенсионного обеспечения, к ведомственной принадлежности которого относится </w:t>
      </w:r>
      <w:r w:rsidR="00F47E73">
        <w:rPr>
          <w:color w:val="000000"/>
          <w:sz w:val="28"/>
          <w:szCs w:val="28"/>
        </w:rPr>
        <w:t xml:space="preserve">непосредственно </w:t>
      </w:r>
      <w:r w:rsidR="00A21131" w:rsidRPr="00703930">
        <w:rPr>
          <w:color w:val="000000"/>
          <w:sz w:val="28"/>
          <w:szCs w:val="28"/>
        </w:rPr>
        <w:t>последнее место службы лица, обратившегося за назначением пенсии, в должности, соответствующей номенклатуре должностей данного органа пенсионного обеспечения.</w:t>
      </w:r>
      <w:r w:rsidR="00A21131">
        <w:rPr>
          <w:color w:val="000000"/>
          <w:sz w:val="28"/>
          <w:szCs w:val="28"/>
        </w:rPr>
        <w:t xml:space="preserve"> В</w:t>
      </w:r>
      <w:r w:rsidR="00A21131">
        <w:rPr>
          <w:sz w:val="28"/>
          <w:szCs w:val="28"/>
        </w:rPr>
        <w:t xml:space="preserve"> случае повторного определения лица на службу, при условии, что </w:t>
      </w:r>
      <w:r w:rsidR="00A21131" w:rsidRPr="00A21131">
        <w:rPr>
          <w:sz w:val="28"/>
          <w:szCs w:val="28"/>
        </w:rPr>
        <w:t>первоначальное и повторное место службы не совпадают по ведомственной принадлежности</w:t>
      </w:r>
      <w:r w:rsidR="00A21131">
        <w:rPr>
          <w:sz w:val="28"/>
          <w:szCs w:val="28"/>
        </w:rPr>
        <w:t xml:space="preserve"> и изъявлении им желания </w:t>
      </w:r>
      <w:r w:rsidR="00A21131" w:rsidRPr="00032BFA">
        <w:rPr>
          <w:sz w:val="28"/>
          <w:szCs w:val="28"/>
        </w:rPr>
        <w:t>возобновлен</w:t>
      </w:r>
      <w:r w:rsidR="00A21131">
        <w:rPr>
          <w:sz w:val="28"/>
          <w:szCs w:val="28"/>
        </w:rPr>
        <w:t>ия выплаты</w:t>
      </w:r>
      <w:r w:rsidR="00A21131" w:rsidRPr="00032BFA">
        <w:rPr>
          <w:sz w:val="28"/>
          <w:szCs w:val="28"/>
        </w:rPr>
        <w:t xml:space="preserve"> пенсии, исчисленн</w:t>
      </w:r>
      <w:r w:rsidR="00A21131">
        <w:rPr>
          <w:sz w:val="28"/>
          <w:szCs w:val="28"/>
        </w:rPr>
        <w:t>ой</w:t>
      </w:r>
      <w:r w:rsidR="00A21131" w:rsidRPr="00032BFA">
        <w:rPr>
          <w:sz w:val="28"/>
          <w:szCs w:val="28"/>
        </w:rPr>
        <w:t xml:space="preserve"> из суммы денежного довольствия, применяемого при первоначальном назначении пенсии</w:t>
      </w:r>
      <w:r w:rsidR="00A21131">
        <w:rPr>
          <w:sz w:val="28"/>
          <w:szCs w:val="28"/>
        </w:rPr>
        <w:t>,</w:t>
      </w:r>
      <w:r w:rsidR="00A21131" w:rsidRPr="00703930">
        <w:rPr>
          <w:color w:val="000000"/>
          <w:sz w:val="28"/>
          <w:szCs w:val="28"/>
        </w:rPr>
        <w:t xml:space="preserve"> пенсионно</w:t>
      </w:r>
      <w:r w:rsidR="00A21131">
        <w:rPr>
          <w:color w:val="000000"/>
          <w:sz w:val="28"/>
          <w:szCs w:val="28"/>
        </w:rPr>
        <w:t>е</w:t>
      </w:r>
      <w:r w:rsidR="00A21131" w:rsidRPr="00703930">
        <w:rPr>
          <w:color w:val="000000"/>
          <w:sz w:val="28"/>
          <w:szCs w:val="28"/>
        </w:rPr>
        <w:t xml:space="preserve"> обеспечени</w:t>
      </w:r>
      <w:r w:rsidR="00A21131">
        <w:rPr>
          <w:color w:val="000000"/>
          <w:sz w:val="28"/>
          <w:szCs w:val="28"/>
        </w:rPr>
        <w:t>е лица будет производиться органом, первоначально назначившим пенсию и приостановившим впоследствии ее выплату</w:t>
      </w:r>
      <w:r w:rsidR="004C0AC5">
        <w:rPr>
          <w:sz w:val="28"/>
          <w:szCs w:val="28"/>
        </w:rPr>
        <w:t>»</w:t>
      </w:r>
      <w:r w:rsidRPr="00B13B6D">
        <w:rPr>
          <w:sz w:val="28"/>
          <w:szCs w:val="28"/>
        </w:rPr>
        <w:t>.</w:t>
      </w:r>
    </w:p>
    <w:p w:rsidR="009B1BE8" w:rsidRPr="00F47E73" w:rsidRDefault="009B1BE8" w:rsidP="008A13BA">
      <w:pPr>
        <w:pStyle w:val="a6"/>
        <w:ind w:firstLine="708"/>
        <w:jc w:val="both"/>
        <w:rPr>
          <w:rFonts w:ascii="Times New Roman" w:hAnsi="Times New Roman" w:cs="Times New Roman"/>
          <w:sz w:val="28"/>
          <w:szCs w:val="28"/>
          <w:lang w:val="en-US"/>
        </w:rPr>
      </w:pPr>
    </w:p>
    <w:p w:rsidR="002D2C80" w:rsidRPr="003360D0" w:rsidRDefault="002D2C80" w:rsidP="004C0AC5">
      <w:pPr>
        <w:pStyle w:val="a6"/>
        <w:ind w:firstLine="567"/>
        <w:jc w:val="both"/>
        <w:rPr>
          <w:sz w:val="28"/>
          <w:szCs w:val="28"/>
        </w:rPr>
      </w:pPr>
      <w:r w:rsidRPr="008A13BA">
        <w:rPr>
          <w:rFonts w:ascii="Times New Roman" w:hAnsi="Times New Roman" w:cs="Times New Roman"/>
          <w:sz w:val="28"/>
          <w:szCs w:val="28"/>
        </w:rPr>
        <w:t>2. Настоящее Постановление вступает в силу со дня официального опубликования.</w:t>
      </w:r>
      <w:r w:rsidRPr="003360D0">
        <w:rPr>
          <w:sz w:val="28"/>
          <w:szCs w:val="28"/>
        </w:rPr>
        <w:t xml:space="preserve">  </w:t>
      </w:r>
    </w:p>
    <w:p w:rsidR="002D2C80" w:rsidRPr="003360D0" w:rsidRDefault="002D2C80" w:rsidP="002D2C80">
      <w:pPr>
        <w:ind w:firstLine="567"/>
        <w:jc w:val="both"/>
        <w:rPr>
          <w:sz w:val="28"/>
          <w:szCs w:val="28"/>
        </w:rPr>
      </w:pPr>
    </w:p>
    <w:p w:rsidR="002D2C80" w:rsidRPr="00332B97" w:rsidRDefault="002D2C80" w:rsidP="002D2C80">
      <w:pPr>
        <w:ind w:firstLine="567"/>
        <w:jc w:val="both"/>
        <w:rPr>
          <w:sz w:val="28"/>
          <w:szCs w:val="28"/>
        </w:rPr>
      </w:pPr>
      <w:r w:rsidRPr="00332B97">
        <w:rPr>
          <w:sz w:val="28"/>
          <w:szCs w:val="28"/>
        </w:rPr>
        <w:t>Председатель Верховного Сове</w:t>
      </w:r>
      <w:bookmarkStart w:id="0" w:name="_GoBack"/>
      <w:bookmarkEnd w:id="0"/>
      <w:r w:rsidRPr="00332B97">
        <w:rPr>
          <w:sz w:val="28"/>
          <w:szCs w:val="28"/>
        </w:rPr>
        <w:t xml:space="preserve">та </w:t>
      </w:r>
    </w:p>
    <w:p w:rsidR="002D2C80" w:rsidRPr="00332B97" w:rsidRDefault="002D2C80" w:rsidP="002D2C80">
      <w:pPr>
        <w:ind w:firstLine="567"/>
        <w:jc w:val="both"/>
        <w:rPr>
          <w:sz w:val="28"/>
          <w:szCs w:val="28"/>
        </w:rPr>
      </w:pPr>
      <w:r w:rsidRPr="00332B97">
        <w:rPr>
          <w:sz w:val="28"/>
          <w:szCs w:val="28"/>
        </w:rPr>
        <w:t xml:space="preserve">Приднестровской </w:t>
      </w:r>
    </w:p>
    <w:p w:rsidR="002D2C80" w:rsidRPr="00332B97" w:rsidRDefault="002D2C80" w:rsidP="002D2C80">
      <w:pPr>
        <w:ind w:firstLine="567"/>
        <w:jc w:val="both"/>
        <w:rPr>
          <w:sz w:val="28"/>
          <w:szCs w:val="28"/>
        </w:rPr>
      </w:pPr>
      <w:r w:rsidRPr="00332B97">
        <w:rPr>
          <w:sz w:val="28"/>
          <w:szCs w:val="28"/>
        </w:rPr>
        <w:t xml:space="preserve">Молдавской Республики                </w:t>
      </w:r>
      <w:r>
        <w:rPr>
          <w:sz w:val="28"/>
          <w:szCs w:val="28"/>
        </w:rPr>
        <w:t xml:space="preserve">  </w:t>
      </w:r>
      <w:r w:rsidRPr="00332B97">
        <w:rPr>
          <w:sz w:val="28"/>
          <w:szCs w:val="28"/>
        </w:rPr>
        <w:t xml:space="preserve">     </w:t>
      </w:r>
      <w:r>
        <w:rPr>
          <w:sz w:val="28"/>
          <w:szCs w:val="28"/>
        </w:rPr>
        <w:t xml:space="preserve">   </w:t>
      </w:r>
      <w:r w:rsidRPr="00332B97">
        <w:rPr>
          <w:sz w:val="28"/>
          <w:szCs w:val="28"/>
        </w:rPr>
        <w:t xml:space="preserve">                             А. В. Коршунов </w:t>
      </w:r>
    </w:p>
    <w:p w:rsidR="002D2C80" w:rsidRDefault="002D2C80" w:rsidP="002D2C80">
      <w:pPr>
        <w:ind w:firstLine="567"/>
        <w:jc w:val="both"/>
        <w:rPr>
          <w:sz w:val="28"/>
          <w:szCs w:val="28"/>
        </w:rPr>
      </w:pPr>
    </w:p>
    <w:p w:rsidR="002D2C80" w:rsidRPr="003360D0" w:rsidRDefault="002D2C80" w:rsidP="002D2C80">
      <w:pPr>
        <w:ind w:firstLine="567"/>
        <w:jc w:val="both"/>
        <w:rPr>
          <w:sz w:val="28"/>
          <w:szCs w:val="28"/>
        </w:rPr>
      </w:pPr>
      <w:r w:rsidRPr="003360D0">
        <w:rPr>
          <w:sz w:val="28"/>
          <w:szCs w:val="28"/>
        </w:rPr>
        <w:t>г. Тирасполь</w:t>
      </w:r>
    </w:p>
    <w:p w:rsidR="002D2C80" w:rsidRPr="003360D0" w:rsidRDefault="00802BBB" w:rsidP="002D2C80">
      <w:pPr>
        <w:ind w:firstLine="567"/>
        <w:jc w:val="both"/>
        <w:rPr>
          <w:sz w:val="28"/>
          <w:szCs w:val="28"/>
        </w:rPr>
      </w:pPr>
      <w:r>
        <w:rPr>
          <w:sz w:val="28"/>
          <w:szCs w:val="28"/>
        </w:rPr>
        <w:t>«___</w:t>
      </w:r>
      <w:proofErr w:type="gramStart"/>
      <w:r>
        <w:rPr>
          <w:sz w:val="28"/>
          <w:szCs w:val="28"/>
        </w:rPr>
        <w:t>_»_</w:t>
      </w:r>
      <w:proofErr w:type="gramEnd"/>
      <w:r>
        <w:rPr>
          <w:sz w:val="28"/>
          <w:szCs w:val="28"/>
        </w:rPr>
        <w:t>_____ 2023</w:t>
      </w:r>
      <w:r w:rsidR="002D2C80" w:rsidRPr="003360D0">
        <w:rPr>
          <w:sz w:val="28"/>
          <w:szCs w:val="28"/>
        </w:rPr>
        <w:t xml:space="preserve"> года</w:t>
      </w:r>
    </w:p>
    <w:p w:rsidR="002D2C80" w:rsidRPr="003360D0" w:rsidRDefault="002D2C80" w:rsidP="002D2C80">
      <w:pPr>
        <w:ind w:firstLine="567"/>
        <w:jc w:val="both"/>
        <w:rPr>
          <w:sz w:val="28"/>
          <w:szCs w:val="28"/>
        </w:rPr>
      </w:pPr>
      <w:r w:rsidRPr="003360D0">
        <w:rPr>
          <w:sz w:val="28"/>
          <w:szCs w:val="28"/>
        </w:rPr>
        <w:t>№ _________________</w:t>
      </w:r>
    </w:p>
    <w:p w:rsidR="002D2C80" w:rsidRPr="003360D0" w:rsidRDefault="002D2C80" w:rsidP="002D2C80">
      <w:pPr>
        <w:ind w:firstLine="567"/>
        <w:jc w:val="both"/>
        <w:rPr>
          <w:sz w:val="28"/>
          <w:szCs w:val="28"/>
        </w:rPr>
      </w:pPr>
    </w:p>
    <w:p w:rsidR="002D2C80" w:rsidRPr="003360D0" w:rsidRDefault="002D2C80" w:rsidP="002D2C80">
      <w:pPr>
        <w:ind w:firstLine="567"/>
        <w:jc w:val="both"/>
        <w:rPr>
          <w:sz w:val="28"/>
          <w:szCs w:val="28"/>
        </w:rPr>
      </w:pPr>
    </w:p>
    <w:p w:rsidR="002D2C80" w:rsidRPr="003360D0" w:rsidRDefault="002D2C80" w:rsidP="002D2C80">
      <w:pPr>
        <w:ind w:firstLine="567"/>
        <w:jc w:val="both"/>
        <w:rPr>
          <w:sz w:val="28"/>
          <w:szCs w:val="28"/>
        </w:rPr>
      </w:pPr>
    </w:p>
    <w:p w:rsidR="00FE003D" w:rsidRDefault="002C4241"/>
    <w:sectPr w:rsidR="00FE003D" w:rsidSect="00C03859">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F1ECC"/>
    <w:multiLevelType w:val="hybridMultilevel"/>
    <w:tmpl w:val="0FB6383A"/>
    <w:lvl w:ilvl="0" w:tplc="B8A41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A9"/>
    <w:rsid w:val="00063974"/>
    <w:rsid w:val="000E257C"/>
    <w:rsid w:val="00132445"/>
    <w:rsid w:val="0015689B"/>
    <w:rsid w:val="00187F0D"/>
    <w:rsid w:val="002265EA"/>
    <w:rsid w:val="0025487C"/>
    <w:rsid w:val="002C4241"/>
    <w:rsid w:val="002D2C80"/>
    <w:rsid w:val="003163C4"/>
    <w:rsid w:val="00317379"/>
    <w:rsid w:val="00366F67"/>
    <w:rsid w:val="00374395"/>
    <w:rsid w:val="003758AA"/>
    <w:rsid w:val="0039719C"/>
    <w:rsid w:val="003D3078"/>
    <w:rsid w:val="003E5934"/>
    <w:rsid w:val="00466AAA"/>
    <w:rsid w:val="00473F6F"/>
    <w:rsid w:val="004C0AC5"/>
    <w:rsid w:val="004F2CAA"/>
    <w:rsid w:val="004F3355"/>
    <w:rsid w:val="00500938"/>
    <w:rsid w:val="0051674A"/>
    <w:rsid w:val="005353AD"/>
    <w:rsid w:val="0056736F"/>
    <w:rsid w:val="0057340E"/>
    <w:rsid w:val="005C07F7"/>
    <w:rsid w:val="006D06A4"/>
    <w:rsid w:val="006D0A29"/>
    <w:rsid w:val="006F5C03"/>
    <w:rsid w:val="007841A9"/>
    <w:rsid w:val="00802BBB"/>
    <w:rsid w:val="0084577C"/>
    <w:rsid w:val="0088475C"/>
    <w:rsid w:val="008A13BA"/>
    <w:rsid w:val="008A52F4"/>
    <w:rsid w:val="008F0C1B"/>
    <w:rsid w:val="008F638E"/>
    <w:rsid w:val="00927F62"/>
    <w:rsid w:val="00933468"/>
    <w:rsid w:val="00937D02"/>
    <w:rsid w:val="009A4403"/>
    <w:rsid w:val="009B1BE8"/>
    <w:rsid w:val="009D1F27"/>
    <w:rsid w:val="00A1599C"/>
    <w:rsid w:val="00A21131"/>
    <w:rsid w:val="00A73C3B"/>
    <w:rsid w:val="00A86798"/>
    <w:rsid w:val="00AF371A"/>
    <w:rsid w:val="00B13B6D"/>
    <w:rsid w:val="00B8395D"/>
    <w:rsid w:val="00B9710C"/>
    <w:rsid w:val="00BF19FE"/>
    <w:rsid w:val="00C56C5A"/>
    <w:rsid w:val="00C64176"/>
    <w:rsid w:val="00CC203A"/>
    <w:rsid w:val="00CE290C"/>
    <w:rsid w:val="00CF294D"/>
    <w:rsid w:val="00D16CE5"/>
    <w:rsid w:val="00D24E7F"/>
    <w:rsid w:val="00DB53A4"/>
    <w:rsid w:val="00DE76A1"/>
    <w:rsid w:val="00E55476"/>
    <w:rsid w:val="00E9756B"/>
    <w:rsid w:val="00EB2002"/>
    <w:rsid w:val="00EC7762"/>
    <w:rsid w:val="00F422FC"/>
    <w:rsid w:val="00F47E73"/>
    <w:rsid w:val="00F867B1"/>
    <w:rsid w:val="00FF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B1C1"/>
  <w15:chartTrackingRefBased/>
  <w15:docId w15:val="{716AECA9-35B5-49FA-9EA9-F608F86B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2D2C80"/>
    <w:rPr>
      <w:spacing w:val="6"/>
      <w:sz w:val="21"/>
      <w:szCs w:val="21"/>
      <w:shd w:val="clear" w:color="auto" w:fill="FFFFFF"/>
    </w:rPr>
  </w:style>
  <w:style w:type="paragraph" w:styleId="a4">
    <w:name w:val="Body Text"/>
    <w:basedOn w:val="a"/>
    <w:link w:val="a3"/>
    <w:rsid w:val="002D2C80"/>
    <w:pPr>
      <w:shd w:val="clear" w:color="auto" w:fill="FFFFFF"/>
      <w:spacing w:after="60" w:line="240" w:lineRule="atLeast"/>
    </w:pPr>
    <w:rPr>
      <w:rFonts w:asciiTheme="minorHAnsi" w:eastAsiaTheme="minorHAnsi" w:hAnsiTheme="minorHAnsi" w:cstheme="minorBidi"/>
      <w:spacing w:val="6"/>
      <w:sz w:val="21"/>
      <w:szCs w:val="21"/>
      <w:lang w:eastAsia="en-US"/>
    </w:rPr>
  </w:style>
  <w:style w:type="character" w:customStyle="1" w:styleId="1">
    <w:name w:val="Основной текст Знак1"/>
    <w:basedOn w:val="a0"/>
    <w:uiPriority w:val="99"/>
    <w:semiHidden/>
    <w:rsid w:val="002D2C80"/>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D2C80"/>
    <w:rPr>
      <w:b/>
      <w:bCs/>
      <w:spacing w:val="6"/>
      <w:sz w:val="21"/>
      <w:szCs w:val="21"/>
      <w:shd w:val="clear" w:color="auto" w:fill="FFFFFF"/>
    </w:rPr>
  </w:style>
  <w:style w:type="paragraph" w:customStyle="1" w:styleId="20">
    <w:name w:val="Основной текст (2)"/>
    <w:basedOn w:val="a"/>
    <w:link w:val="2"/>
    <w:rsid w:val="002D2C80"/>
    <w:pPr>
      <w:shd w:val="clear" w:color="auto" w:fill="FFFFFF"/>
      <w:spacing w:before="60" w:line="240" w:lineRule="atLeast"/>
    </w:pPr>
    <w:rPr>
      <w:rFonts w:asciiTheme="minorHAnsi" w:eastAsiaTheme="minorHAnsi" w:hAnsiTheme="minorHAnsi" w:cstheme="minorBidi"/>
      <w:b/>
      <w:bCs/>
      <w:spacing w:val="6"/>
      <w:sz w:val="21"/>
      <w:szCs w:val="21"/>
      <w:lang w:eastAsia="en-US"/>
    </w:rPr>
  </w:style>
  <w:style w:type="paragraph" w:styleId="a5">
    <w:name w:val="List Paragraph"/>
    <w:basedOn w:val="a"/>
    <w:qFormat/>
    <w:rsid w:val="002D2C80"/>
    <w:pPr>
      <w:spacing w:after="200" w:line="276" w:lineRule="auto"/>
      <w:ind w:left="720"/>
      <w:contextualSpacing/>
    </w:pPr>
    <w:rPr>
      <w:rFonts w:eastAsia="Calibri"/>
      <w:sz w:val="28"/>
      <w:szCs w:val="28"/>
      <w:lang w:eastAsia="en-US"/>
    </w:rPr>
  </w:style>
  <w:style w:type="character" w:customStyle="1" w:styleId="10">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а Знак,З Знак, Знак Знак"/>
    <w:link w:val="a6"/>
    <w:locked/>
    <w:rsid w:val="00CE290C"/>
    <w:rPr>
      <w:rFonts w:ascii="Courier New" w:eastAsia="Times New Roman" w:hAnsi="Courier New" w:cs="Courier New"/>
      <w:sz w:val="20"/>
      <w:szCs w:val="20"/>
      <w:lang w:eastAsia="ru-RU"/>
    </w:rPr>
  </w:style>
  <w:style w:type="paragraph" w:styleId="a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З, Знак Знак Знак Знак, Знак, Знак3"/>
    <w:basedOn w:val="a"/>
    <w:link w:val="10"/>
    <w:unhideWhenUsed/>
    <w:rsid w:val="00CE290C"/>
    <w:rPr>
      <w:rFonts w:ascii="Courier New" w:hAnsi="Courier New" w:cs="Courier New"/>
      <w:sz w:val="20"/>
      <w:szCs w:val="20"/>
    </w:rPr>
  </w:style>
  <w:style w:type="character" w:customStyle="1" w:styleId="a7">
    <w:name w:val="Текст Знак"/>
    <w:basedOn w:val="a0"/>
    <w:uiPriority w:val="99"/>
    <w:semiHidden/>
    <w:rsid w:val="00CE290C"/>
    <w:rPr>
      <w:rFonts w:ascii="Consolas" w:eastAsia="Times New Roman" w:hAnsi="Consolas" w:cs="Times New Roman"/>
      <w:sz w:val="21"/>
      <w:szCs w:val="21"/>
      <w:lang w:eastAsia="ru-RU"/>
    </w:rPr>
  </w:style>
  <w:style w:type="character" w:styleId="a8">
    <w:name w:val="Subtle Reference"/>
    <w:basedOn w:val="a0"/>
    <w:uiPriority w:val="31"/>
    <w:qFormat/>
    <w:rsid w:val="006D06A4"/>
    <w:rPr>
      <w:smallCaps/>
      <w:color w:val="5A5A5A" w:themeColor="text1" w:themeTint="A5"/>
    </w:rPr>
  </w:style>
  <w:style w:type="paragraph" w:styleId="a9">
    <w:name w:val="footer"/>
    <w:basedOn w:val="a"/>
    <w:link w:val="aa"/>
    <w:rsid w:val="009A4403"/>
    <w:pPr>
      <w:tabs>
        <w:tab w:val="center" w:pos="4677"/>
        <w:tab w:val="right" w:pos="9355"/>
      </w:tabs>
    </w:pPr>
  </w:style>
  <w:style w:type="character" w:customStyle="1" w:styleId="aa">
    <w:name w:val="Нижний колонтитул Знак"/>
    <w:basedOn w:val="a0"/>
    <w:link w:val="a9"/>
    <w:rsid w:val="009A440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21131"/>
    <w:rPr>
      <w:rFonts w:ascii="Segoe UI" w:hAnsi="Segoe UI" w:cs="Segoe UI"/>
      <w:sz w:val="18"/>
      <w:szCs w:val="18"/>
    </w:rPr>
  </w:style>
  <w:style w:type="character" w:customStyle="1" w:styleId="ac">
    <w:name w:val="Текст выноски Знак"/>
    <w:basedOn w:val="a0"/>
    <w:link w:val="ab"/>
    <w:uiPriority w:val="99"/>
    <w:semiHidden/>
    <w:rsid w:val="00A211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7984">
      <w:bodyDiv w:val="1"/>
      <w:marLeft w:val="0"/>
      <w:marRight w:val="0"/>
      <w:marTop w:val="0"/>
      <w:marBottom w:val="0"/>
      <w:divBdr>
        <w:top w:val="none" w:sz="0" w:space="0" w:color="auto"/>
        <w:left w:val="none" w:sz="0" w:space="0" w:color="auto"/>
        <w:bottom w:val="none" w:sz="0" w:space="0" w:color="auto"/>
        <w:right w:val="none" w:sz="0" w:space="0" w:color="auto"/>
      </w:divBdr>
    </w:div>
    <w:div w:id="329868833">
      <w:bodyDiv w:val="1"/>
      <w:marLeft w:val="0"/>
      <w:marRight w:val="0"/>
      <w:marTop w:val="0"/>
      <w:marBottom w:val="0"/>
      <w:divBdr>
        <w:top w:val="none" w:sz="0" w:space="0" w:color="auto"/>
        <w:left w:val="none" w:sz="0" w:space="0" w:color="auto"/>
        <w:bottom w:val="none" w:sz="0" w:space="0" w:color="auto"/>
        <w:right w:val="none" w:sz="0" w:space="0" w:color="auto"/>
      </w:divBdr>
    </w:div>
    <w:div w:id="1488130948">
      <w:bodyDiv w:val="1"/>
      <w:marLeft w:val="0"/>
      <w:marRight w:val="0"/>
      <w:marTop w:val="0"/>
      <w:marBottom w:val="0"/>
      <w:divBdr>
        <w:top w:val="none" w:sz="0" w:space="0" w:color="auto"/>
        <w:left w:val="none" w:sz="0" w:space="0" w:color="auto"/>
        <w:bottom w:val="none" w:sz="0" w:space="0" w:color="auto"/>
        <w:right w:val="none" w:sz="0" w:space="0" w:color="auto"/>
      </w:divBdr>
    </w:div>
    <w:div w:id="1696691364">
      <w:bodyDiv w:val="1"/>
      <w:marLeft w:val="0"/>
      <w:marRight w:val="0"/>
      <w:marTop w:val="0"/>
      <w:marBottom w:val="0"/>
      <w:divBdr>
        <w:top w:val="none" w:sz="0" w:space="0" w:color="auto"/>
        <w:left w:val="none" w:sz="0" w:space="0" w:color="auto"/>
        <w:bottom w:val="none" w:sz="0" w:space="0" w:color="auto"/>
        <w:right w:val="none" w:sz="0" w:space="0" w:color="auto"/>
      </w:divBdr>
    </w:div>
    <w:div w:id="1697928770">
      <w:bodyDiv w:val="1"/>
      <w:marLeft w:val="0"/>
      <w:marRight w:val="0"/>
      <w:marTop w:val="0"/>
      <w:marBottom w:val="0"/>
      <w:divBdr>
        <w:top w:val="none" w:sz="0" w:space="0" w:color="auto"/>
        <w:left w:val="none" w:sz="0" w:space="0" w:color="auto"/>
        <w:bottom w:val="none" w:sz="0" w:space="0" w:color="auto"/>
        <w:right w:val="none" w:sz="0" w:space="0" w:color="auto"/>
      </w:divBdr>
    </w:div>
    <w:div w:id="19282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571F-5A69-4E59-9FC0-C28FEAA2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7</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Веткова Евгения Игорьевна</cp:lastModifiedBy>
  <cp:revision>12</cp:revision>
  <cp:lastPrinted>2023-10-19T06:40:00Z</cp:lastPrinted>
  <dcterms:created xsi:type="dcterms:W3CDTF">2023-09-18T13:12:00Z</dcterms:created>
  <dcterms:modified xsi:type="dcterms:W3CDTF">2023-10-19T10:48:00Z</dcterms:modified>
</cp:coreProperties>
</file>