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8F" w:rsidRPr="0060325A" w:rsidRDefault="00A9658F" w:rsidP="00A9658F">
      <w:pPr>
        <w:ind w:left="426"/>
        <w:jc w:val="center"/>
        <w:outlineLvl w:val="0"/>
        <w:rPr>
          <w:b/>
          <w:sz w:val="24"/>
          <w:szCs w:val="24"/>
        </w:rPr>
      </w:pPr>
      <w:r w:rsidRPr="0060325A">
        <w:rPr>
          <w:b/>
          <w:sz w:val="24"/>
          <w:szCs w:val="24"/>
        </w:rPr>
        <w:t>Сравнительная таблица</w:t>
      </w:r>
    </w:p>
    <w:p w:rsidR="00A9658F" w:rsidRDefault="00A9658F" w:rsidP="00A9658F">
      <w:pPr>
        <w:ind w:left="426"/>
        <w:jc w:val="center"/>
        <w:outlineLvl w:val="0"/>
        <w:rPr>
          <w:b/>
          <w:sz w:val="24"/>
          <w:szCs w:val="24"/>
        </w:rPr>
      </w:pPr>
      <w:r w:rsidRPr="0060325A">
        <w:rPr>
          <w:b/>
          <w:sz w:val="24"/>
          <w:szCs w:val="24"/>
        </w:rPr>
        <w:t>к проекту Закона Приднестровской Молдавской Республики</w:t>
      </w:r>
    </w:p>
    <w:p w:rsidR="00A9658F" w:rsidRDefault="00A9658F" w:rsidP="00A9658F">
      <w:pPr>
        <w:ind w:left="426"/>
        <w:jc w:val="center"/>
        <w:outlineLvl w:val="0"/>
        <w:rPr>
          <w:b/>
          <w:sz w:val="24"/>
          <w:szCs w:val="24"/>
        </w:rPr>
      </w:pPr>
      <w:r w:rsidRPr="0060325A">
        <w:rPr>
          <w:b/>
          <w:sz w:val="24"/>
          <w:szCs w:val="24"/>
        </w:rPr>
        <w:t xml:space="preserve">«О внесении </w:t>
      </w:r>
      <w:r>
        <w:rPr>
          <w:b/>
          <w:sz w:val="24"/>
          <w:szCs w:val="24"/>
        </w:rPr>
        <w:t>допол</w:t>
      </w:r>
      <w:r w:rsidRPr="0060325A">
        <w:rPr>
          <w:b/>
          <w:sz w:val="24"/>
          <w:szCs w:val="24"/>
        </w:rPr>
        <w:t>нения в Закон Приднестровской Молдавской Республики</w:t>
      </w:r>
    </w:p>
    <w:p w:rsidR="00A9658F" w:rsidRPr="0060325A" w:rsidRDefault="00A9658F" w:rsidP="00A9658F">
      <w:pPr>
        <w:ind w:left="426"/>
        <w:jc w:val="center"/>
        <w:outlineLvl w:val="0"/>
        <w:rPr>
          <w:b/>
          <w:bCs/>
          <w:kern w:val="36"/>
          <w:sz w:val="24"/>
          <w:szCs w:val="24"/>
        </w:rPr>
      </w:pPr>
      <w:r w:rsidRPr="0060325A">
        <w:rPr>
          <w:b/>
          <w:bCs/>
          <w:kern w:val="36"/>
          <w:sz w:val="24"/>
          <w:szCs w:val="24"/>
        </w:rPr>
        <w:t>«</w:t>
      </w:r>
      <w:r>
        <w:rPr>
          <w:b/>
          <w:bCs/>
          <w:kern w:val="36"/>
          <w:sz w:val="24"/>
          <w:szCs w:val="24"/>
        </w:rPr>
        <w:t>Об основах налоговой системы в Приднестровской Молдавской Республике</w:t>
      </w:r>
      <w:r w:rsidRPr="0060325A">
        <w:rPr>
          <w:b/>
          <w:bCs/>
          <w:kern w:val="36"/>
          <w:sz w:val="24"/>
          <w:szCs w:val="24"/>
        </w:rPr>
        <w:t>»</w:t>
      </w:r>
    </w:p>
    <w:tbl>
      <w:tblPr>
        <w:tblW w:w="10446" w:type="dxa"/>
        <w:tblInd w:w="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4"/>
        <w:gridCol w:w="5202"/>
      </w:tblGrid>
      <w:tr w:rsidR="00A9658F" w:rsidRPr="0060325A" w:rsidTr="008A27DB">
        <w:trPr>
          <w:trHeight w:val="458"/>
        </w:trPr>
        <w:tc>
          <w:tcPr>
            <w:tcW w:w="5244" w:type="dxa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58F" w:rsidRPr="0060325A" w:rsidRDefault="00A9658F" w:rsidP="008A27DB">
            <w:pPr>
              <w:jc w:val="center"/>
              <w:rPr>
                <w:b/>
                <w:sz w:val="24"/>
                <w:szCs w:val="24"/>
              </w:rPr>
            </w:pPr>
            <w:r w:rsidRPr="0060325A">
              <w:rPr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520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58F" w:rsidRPr="0060325A" w:rsidRDefault="00A9658F" w:rsidP="008A27DB">
            <w:pPr>
              <w:jc w:val="center"/>
              <w:rPr>
                <w:b/>
                <w:sz w:val="24"/>
                <w:szCs w:val="24"/>
              </w:rPr>
            </w:pPr>
            <w:r w:rsidRPr="0060325A">
              <w:rPr>
                <w:b/>
                <w:sz w:val="24"/>
                <w:szCs w:val="24"/>
              </w:rPr>
              <w:t xml:space="preserve">Предлагаемая Редакция </w:t>
            </w:r>
          </w:p>
        </w:tc>
      </w:tr>
      <w:tr w:rsidR="00A9658F" w:rsidRPr="0060325A" w:rsidTr="008A27DB">
        <w:trPr>
          <w:trHeight w:val="4524"/>
        </w:trPr>
        <w:tc>
          <w:tcPr>
            <w:tcW w:w="5244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A9658F" w:rsidRDefault="00A9658F" w:rsidP="008A27DB">
            <w:pPr>
              <w:ind w:firstLine="793"/>
              <w:jc w:val="both"/>
              <w:rPr>
                <w:sz w:val="24"/>
              </w:rPr>
            </w:pPr>
            <w:r w:rsidRPr="00D9664D">
              <w:rPr>
                <w:sz w:val="24"/>
              </w:rPr>
              <w:t>Статья 16. Местные (городские, районные) налоги</w:t>
            </w:r>
          </w:p>
          <w:p w:rsidR="00A9658F" w:rsidRPr="00D9664D" w:rsidRDefault="00A9658F" w:rsidP="008A27DB">
            <w:pPr>
              <w:ind w:firstLine="793"/>
              <w:jc w:val="both"/>
              <w:rPr>
                <w:sz w:val="24"/>
              </w:rPr>
            </w:pPr>
          </w:p>
          <w:p w:rsidR="00A9658F" w:rsidRPr="00D9664D" w:rsidRDefault="00A9658F" w:rsidP="008A27DB">
            <w:pPr>
              <w:ind w:firstLine="793"/>
              <w:jc w:val="both"/>
              <w:rPr>
                <w:sz w:val="24"/>
              </w:rPr>
            </w:pPr>
            <w:r w:rsidRPr="00D9664D">
              <w:rPr>
                <w:sz w:val="24"/>
              </w:rPr>
              <w:t xml:space="preserve">1. Система местных налогов включает: </w:t>
            </w:r>
          </w:p>
          <w:p w:rsidR="00A9658F" w:rsidRPr="00D9664D" w:rsidRDefault="00A9658F" w:rsidP="008A27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  <w:p w:rsidR="00A9658F" w:rsidRPr="00D9664D" w:rsidRDefault="00A9658F" w:rsidP="008A27DB">
            <w:pPr>
              <w:ind w:firstLine="793"/>
              <w:jc w:val="both"/>
              <w:rPr>
                <w:sz w:val="24"/>
              </w:rPr>
            </w:pPr>
            <w:r w:rsidRPr="00D9664D">
              <w:rPr>
                <w:sz w:val="24"/>
              </w:rPr>
              <w:t xml:space="preserve">с) </w:t>
            </w:r>
            <w:r w:rsidRPr="00D9664D">
              <w:rPr>
                <w:i/>
                <w:sz w:val="24"/>
              </w:rPr>
              <w:t>отсутствует</w:t>
            </w:r>
          </w:p>
          <w:p w:rsidR="00A9658F" w:rsidRPr="009803F4" w:rsidRDefault="00A9658F" w:rsidP="008A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  <w:p w:rsidR="00A9658F" w:rsidRPr="009803F4" w:rsidRDefault="00A9658F" w:rsidP="008A27DB">
            <w:pPr>
              <w:ind w:firstLine="651"/>
              <w:jc w:val="both"/>
              <w:rPr>
                <w:sz w:val="24"/>
                <w:szCs w:val="24"/>
              </w:rPr>
            </w:pPr>
          </w:p>
          <w:p w:rsidR="00A9658F" w:rsidRPr="009803F4" w:rsidRDefault="00A9658F" w:rsidP="008A27DB">
            <w:pPr>
              <w:ind w:firstLine="651"/>
              <w:jc w:val="both"/>
              <w:rPr>
                <w:sz w:val="24"/>
                <w:szCs w:val="24"/>
              </w:rPr>
            </w:pPr>
          </w:p>
          <w:p w:rsidR="00A9658F" w:rsidRPr="009803F4" w:rsidRDefault="00A9658F" w:rsidP="008A27DB">
            <w:pPr>
              <w:ind w:firstLine="651"/>
              <w:jc w:val="both"/>
              <w:rPr>
                <w:sz w:val="24"/>
                <w:szCs w:val="24"/>
              </w:rPr>
            </w:pPr>
          </w:p>
          <w:p w:rsidR="00A9658F" w:rsidRPr="009803F4" w:rsidRDefault="00A9658F" w:rsidP="008A27DB">
            <w:pPr>
              <w:ind w:firstLine="651"/>
              <w:jc w:val="both"/>
              <w:rPr>
                <w:sz w:val="24"/>
                <w:szCs w:val="24"/>
              </w:rPr>
            </w:pPr>
          </w:p>
          <w:p w:rsidR="00A9658F" w:rsidRPr="009803F4" w:rsidRDefault="00A9658F" w:rsidP="008A27DB">
            <w:pPr>
              <w:ind w:firstLine="651"/>
              <w:jc w:val="both"/>
              <w:rPr>
                <w:sz w:val="24"/>
                <w:szCs w:val="24"/>
              </w:rPr>
            </w:pPr>
          </w:p>
        </w:tc>
        <w:tc>
          <w:tcPr>
            <w:tcW w:w="5202" w:type="dxa"/>
            <w:tcMar>
              <w:left w:w="57" w:type="dxa"/>
              <w:right w:w="57" w:type="dxa"/>
            </w:tcMar>
          </w:tcPr>
          <w:p w:rsidR="00A9658F" w:rsidRDefault="00A9658F" w:rsidP="008A27DB">
            <w:pPr>
              <w:ind w:firstLine="793"/>
              <w:jc w:val="both"/>
              <w:rPr>
                <w:sz w:val="24"/>
              </w:rPr>
            </w:pPr>
            <w:r w:rsidRPr="00D9664D">
              <w:rPr>
                <w:sz w:val="24"/>
              </w:rPr>
              <w:t>Статья 16. Местные (городские, районные) налоги</w:t>
            </w:r>
          </w:p>
          <w:p w:rsidR="00A9658F" w:rsidRPr="00D9664D" w:rsidRDefault="00A9658F" w:rsidP="008A27DB">
            <w:pPr>
              <w:ind w:firstLine="793"/>
              <w:jc w:val="both"/>
              <w:rPr>
                <w:sz w:val="24"/>
              </w:rPr>
            </w:pPr>
          </w:p>
          <w:p w:rsidR="00A9658F" w:rsidRPr="00D9664D" w:rsidRDefault="00A9658F" w:rsidP="008A27DB">
            <w:pPr>
              <w:ind w:firstLine="793"/>
              <w:jc w:val="both"/>
              <w:rPr>
                <w:sz w:val="24"/>
              </w:rPr>
            </w:pPr>
            <w:r w:rsidRPr="00D9664D">
              <w:rPr>
                <w:sz w:val="24"/>
              </w:rPr>
              <w:t xml:space="preserve">1. Система местных налогов включает: </w:t>
            </w:r>
          </w:p>
          <w:p w:rsidR="00A9658F" w:rsidRPr="00D9664D" w:rsidRDefault="00A9658F" w:rsidP="008A27DB">
            <w:pPr>
              <w:jc w:val="center"/>
              <w:rPr>
                <w:sz w:val="24"/>
              </w:rPr>
            </w:pPr>
            <w:r>
              <w:rPr>
                <w:sz w:val="24"/>
              </w:rPr>
              <w:t>***</w:t>
            </w:r>
          </w:p>
          <w:p w:rsidR="00A9658F" w:rsidRPr="00C17F18" w:rsidRDefault="00A9658F" w:rsidP="008A27DB">
            <w:pPr>
              <w:ind w:firstLine="794"/>
              <w:jc w:val="both"/>
              <w:rPr>
                <w:b/>
                <w:sz w:val="24"/>
                <w:szCs w:val="26"/>
              </w:rPr>
            </w:pPr>
            <w:r w:rsidRPr="00C17F18">
              <w:rPr>
                <w:b/>
                <w:sz w:val="24"/>
                <w:szCs w:val="26"/>
              </w:rPr>
              <w:t>с) сбор за регистрацию собак. Разовый сбор уплачивается собственником (владельцем) собаки при ее регистрации в ветеринарной клинике по месту постоянного или преимущественного проживания ее собственника (владельца) в размере                              1 РУ МЗП.</w:t>
            </w:r>
          </w:p>
          <w:p w:rsidR="00A9658F" w:rsidRPr="00C17F18" w:rsidRDefault="00A9658F" w:rsidP="008A27DB">
            <w:pPr>
              <w:pStyle w:val="a3"/>
              <w:spacing w:before="0" w:beforeAutospacing="0" w:after="0" w:afterAutospacing="0"/>
              <w:ind w:firstLine="794"/>
              <w:jc w:val="both"/>
              <w:rPr>
                <w:b/>
                <w:szCs w:val="26"/>
              </w:rPr>
            </w:pPr>
            <w:r w:rsidRPr="00C17F18">
              <w:rPr>
                <w:b/>
                <w:szCs w:val="26"/>
              </w:rPr>
              <w:t>От уплаты сбора за регистрацию собак освобождаются:</w:t>
            </w:r>
          </w:p>
          <w:p w:rsidR="00A9658F" w:rsidRPr="00C17F18" w:rsidRDefault="00A9658F" w:rsidP="008A27DB">
            <w:pPr>
              <w:ind w:firstLine="794"/>
              <w:jc w:val="both"/>
              <w:rPr>
                <w:b/>
                <w:color w:val="000000"/>
                <w:sz w:val="24"/>
                <w:szCs w:val="26"/>
              </w:rPr>
            </w:pPr>
            <w:r w:rsidRPr="00C17F18">
              <w:rPr>
                <w:b/>
                <w:color w:val="000000"/>
                <w:sz w:val="24"/>
                <w:szCs w:val="26"/>
              </w:rPr>
              <w:t>а) органы государственной власти и органы местного самоуправления, использующие собак в служебных целях;</w:t>
            </w:r>
          </w:p>
          <w:p w:rsidR="00A9658F" w:rsidRPr="00C17F18" w:rsidRDefault="00A9658F" w:rsidP="008A27DB">
            <w:pPr>
              <w:pStyle w:val="a3"/>
              <w:spacing w:before="0" w:beforeAutospacing="0" w:after="0" w:afterAutospacing="0"/>
              <w:ind w:firstLine="794"/>
              <w:jc w:val="both"/>
              <w:rPr>
                <w:b/>
                <w:szCs w:val="26"/>
              </w:rPr>
            </w:pPr>
            <w:r w:rsidRPr="00C17F18">
              <w:rPr>
                <w:b/>
                <w:szCs w:val="26"/>
              </w:rPr>
              <w:t>б) граждане, которым для обеспечения нормальных условий жизнедеятельности необходимо наличие собак-поводырей;</w:t>
            </w:r>
          </w:p>
          <w:p w:rsidR="00A9658F" w:rsidRPr="00C17F18" w:rsidRDefault="00A9658F" w:rsidP="008A27DB">
            <w:pPr>
              <w:pStyle w:val="a3"/>
              <w:spacing w:before="0" w:beforeAutospacing="0" w:after="0" w:afterAutospacing="0"/>
              <w:ind w:firstLine="794"/>
              <w:jc w:val="both"/>
              <w:rPr>
                <w:b/>
                <w:szCs w:val="26"/>
              </w:rPr>
            </w:pPr>
            <w:r w:rsidRPr="00C17F18">
              <w:rPr>
                <w:b/>
                <w:szCs w:val="26"/>
              </w:rPr>
              <w:t>в) пункты передержки, приюты для собак, граждане, взявшие собаку из пункта передержки или приюта для собак.</w:t>
            </w:r>
          </w:p>
          <w:p w:rsidR="00A9658F" w:rsidRPr="00C17F18" w:rsidRDefault="00A9658F" w:rsidP="008A27DB">
            <w:pPr>
              <w:ind w:firstLine="794"/>
              <w:jc w:val="both"/>
              <w:rPr>
                <w:b/>
                <w:color w:val="000000"/>
                <w:sz w:val="24"/>
                <w:szCs w:val="26"/>
              </w:rPr>
            </w:pPr>
            <w:r w:rsidRPr="00C17F18">
              <w:rPr>
                <w:b/>
                <w:color w:val="000000"/>
                <w:sz w:val="24"/>
                <w:szCs w:val="26"/>
              </w:rPr>
              <w:t>Исчисление размера сбора для собственников (владельцев) стерилизованных собак производится с применением понижающего коэффициента 0,5.</w:t>
            </w:r>
          </w:p>
          <w:p w:rsidR="00A9658F" w:rsidRPr="00C17F18" w:rsidRDefault="00A9658F" w:rsidP="008A27DB">
            <w:pPr>
              <w:ind w:firstLine="794"/>
              <w:jc w:val="both"/>
              <w:rPr>
                <w:b/>
              </w:rPr>
            </w:pPr>
            <w:r w:rsidRPr="00C17F18">
              <w:rPr>
                <w:b/>
                <w:color w:val="000000"/>
                <w:sz w:val="24"/>
                <w:szCs w:val="26"/>
              </w:rPr>
              <w:t>Средства, получаемые от уплаты сбора за регистрацию собак, подлежат зачислению</w:t>
            </w:r>
            <w:r w:rsidRPr="00C17F18">
              <w:rPr>
                <w:b/>
                <w:sz w:val="24"/>
                <w:szCs w:val="26"/>
              </w:rPr>
              <w:t xml:space="preserve"> в местный бюджет и расходуются в соответствии с Программой, утвержденной</w:t>
            </w:r>
            <w:r>
              <w:rPr>
                <w:b/>
                <w:sz w:val="24"/>
                <w:szCs w:val="26"/>
              </w:rPr>
              <w:t xml:space="preserve"> соответствующим</w:t>
            </w:r>
            <w:r w:rsidRPr="00C17F18">
              <w:rPr>
                <w:b/>
                <w:sz w:val="24"/>
                <w:szCs w:val="26"/>
              </w:rPr>
              <w:t xml:space="preserve"> городским (районным) Советами народных депутатов</w:t>
            </w:r>
            <w:r>
              <w:rPr>
                <w:b/>
                <w:sz w:val="24"/>
                <w:szCs w:val="26"/>
              </w:rPr>
              <w:t>.</w:t>
            </w:r>
          </w:p>
          <w:p w:rsidR="00A9658F" w:rsidRPr="009803F4" w:rsidRDefault="00A9658F" w:rsidP="008A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***</w:t>
            </w:r>
          </w:p>
          <w:p w:rsidR="00A9658F" w:rsidRPr="009803F4" w:rsidRDefault="00A9658F" w:rsidP="008A27DB">
            <w:pPr>
              <w:ind w:firstLine="651"/>
              <w:jc w:val="both"/>
              <w:rPr>
                <w:sz w:val="24"/>
                <w:szCs w:val="24"/>
              </w:rPr>
            </w:pPr>
          </w:p>
        </w:tc>
      </w:tr>
    </w:tbl>
    <w:p w:rsidR="00A9658F" w:rsidRPr="00703B51" w:rsidRDefault="00A9658F" w:rsidP="00A9658F"/>
    <w:p w:rsidR="00A9658F" w:rsidRPr="00703B51" w:rsidRDefault="00A9658F" w:rsidP="00A9658F"/>
    <w:p w:rsidR="006929B3" w:rsidRDefault="006929B3">
      <w:bookmarkStart w:id="0" w:name="_GoBack"/>
      <w:bookmarkEnd w:id="0"/>
    </w:p>
    <w:sectPr w:rsidR="006929B3" w:rsidSect="008D7F16">
      <w:pgSz w:w="11906" w:h="16838"/>
      <w:pgMar w:top="510" w:right="1922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74D"/>
    <w:rsid w:val="006929B3"/>
    <w:rsid w:val="0094274D"/>
    <w:rsid w:val="00A9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30A0D-8651-4FC2-9CB7-06930322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5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9658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Гончар Елена Дмитриевна</cp:lastModifiedBy>
  <cp:revision>2</cp:revision>
  <dcterms:created xsi:type="dcterms:W3CDTF">2023-12-01T07:29:00Z</dcterms:created>
  <dcterms:modified xsi:type="dcterms:W3CDTF">2023-12-01T07:29:00Z</dcterms:modified>
</cp:coreProperties>
</file>