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77D" w:rsidRPr="00705384" w:rsidRDefault="00E2477D" w:rsidP="00E2477D">
      <w:pPr>
        <w:pStyle w:val="a3"/>
        <w:jc w:val="both"/>
        <w:rPr>
          <w:rFonts w:ascii="Times New Roman" w:hAnsi="Times New Roman"/>
          <w:sz w:val="24"/>
          <w:szCs w:val="24"/>
        </w:rPr>
      </w:pPr>
      <w:r w:rsidRPr="00705384">
        <w:rPr>
          <w:rFonts w:ascii="Times New Roman" w:hAnsi="Times New Roman"/>
          <w:sz w:val="24"/>
          <w:szCs w:val="24"/>
        </w:rPr>
        <w:t>СРАВНИТЕЛЬНАЯ ТАБЛИЦА</w:t>
      </w:r>
    </w:p>
    <w:p w:rsidR="00E2477D" w:rsidRPr="00705384" w:rsidRDefault="00E2477D" w:rsidP="00E2477D">
      <w:pPr>
        <w:pStyle w:val="a3"/>
        <w:jc w:val="both"/>
        <w:rPr>
          <w:rFonts w:ascii="Times New Roman" w:hAnsi="Times New Roman"/>
          <w:sz w:val="24"/>
          <w:szCs w:val="24"/>
        </w:rPr>
      </w:pPr>
      <w:r w:rsidRPr="00705384">
        <w:rPr>
          <w:rFonts w:ascii="Times New Roman" w:hAnsi="Times New Roman"/>
          <w:sz w:val="24"/>
          <w:szCs w:val="24"/>
        </w:rPr>
        <w:t>к проекту закона Приднестровской Молдавской Республики</w:t>
      </w:r>
    </w:p>
    <w:p w:rsidR="00E2477D" w:rsidRPr="00705384" w:rsidRDefault="00E2477D" w:rsidP="00E2477D">
      <w:pPr>
        <w:pStyle w:val="a3"/>
        <w:jc w:val="both"/>
        <w:rPr>
          <w:rFonts w:ascii="Times New Roman" w:hAnsi="Times New Roman"/>
          <w:sz w:val="24"/>
          <w:szCs w:val="24"/>
        </w:rPr>
      </w:pPr>
      <w:r w:rsidRPr="00705384">
        <w:rPr>
          <w:rFonts w:ascii="Times New Roman" w:hAnsi="Times New Roman"/>
          <w:sz w:val="24"/>
          <w:szCs w:val="24"/>
        </w:rPr>
        <w:t xml:space="preserve">«О внесении изменений и дополнения в Земельный кодекс </w:t>
      </w:r>
    </w:p>
    <w:p w:rsidR="00E2477D" w:rsidRPr="00705384" w:rsidRDefault="00E2477D" w:rsidP="00E2477D">
      <w:pPr>
        <w:pStyle w:val="a3"/>
        <w:jc w:val="both"/>
        <w:rPr>
          <w:rFonts w:ascii="Times New Roman" w:hAnsi="Times New Roman"/>
          <w:sz w:val="24"/>
          <w:szCs w:val="24"/>
        </w:rPr>
      </w:pPr>
      <w:r w:rsidRPr="00705384">
        <w:rPr>
          <w:rFonts w:ascii="Times New Roman" w:hAnsi="Times New Roman"/>
          <w:sz w:val="24"/>
          <w:szCs w:val="24"/>
        </w:rPr>
        <w:t>Приднестровской Молдавской Республики»</w:t>
      </w:r>
    </w:p>
    <w:p w:rsidR="00E2477D" w:rsidRPr="00705384" w:rsidRDefault="00E2477D" w:rsidP="00E2477D">
      <w:pPr>
        <w:pStyle w:val="a3"/>
        <w:jc w:val="both"/>
        <w:rPr>
          <w:rFonts w:ascii="Times New Roman" w:hAnsi="Times New Roman"/>
          <w:sz w:val="24"/>
          <w:szCs w:val="24"/>
        </w:rPr>
      </w:pPr>
    </w:p>
    <w:tbl>
      <w:tblPr>
        <w:tblW w:w="1017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650"/>
        <w:gridCol w:w="4961"/>
      </w:tblGrid>
      <w:tr w:rsidR="00E2477D" w:rsidRPr="00705384" w:rsidTr="00D864F3">
        <w:trPr>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t>№</w:t>
            </w:r>
          </w:p>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t>п/п</w:t>
            </w:r>
          </w:p>
          <w:p w:rsidR="00E2477D" w:rsidRPr="00705384" w:rsidRDefault="00E2477D" w:rsidP="00D864F3">
            <w:pPr>
              <w:pStyle w:val="a3"/>
              <w:jc w:val="both"/>
              <w:rPr>
                <w:rFonts w:ascii="Times New Roman" w:hAnsi="Times New Roman"/>
                <w:sz w:val="24"/>
                <w:szCs w:val="24"/>
              </w:rPr>
            </w:pPr>
          </w:p>
        </w:tc>
        <w:tc>
          <w:tcPr>
            <w:tcW w:w="4650" w:type="dxa"/>
            <w:tcBorders>
              <w:top w:val="single" w:sz="4" w:space="0" w:color="auto"/>
              <w:left w:val="single" w:sz="4" w:space="0" w:color="auto"/>
              <w:bottom w:val="single" w:sz="4" w:space="0" w:color="auto"/>
              <w:right w:val="single" w:sz="4" w:space="0" w:color="auto"/>
            </w:tcBorders>
            <w:vAlign w:val="center"/>
            <w:hideMark/>
          </w:tcPr>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t>Действующая редакция</w:t>
            </w:r>
          </w:p>
        </w:tc>
        <w:tc>
          <w:tcPr>
            <w:tcW w:w="4961" w:type="dxa"/>
            <w:tcBorders>
              <w:top w:val="single" w:sz="4" w:space="0" w:color="auto"/>
              <w:left w:val="single" w:sz="4" w:space="0" w:color="auto"/>
              <w:bottom w:val="single" w:sz="4" w:space="0" w:color="auto"/>
              <w:right w:val="single" w:sz="4" w:space="0" w:color="auto"/>
            </w:tcBorders>
            <w:vAlign w:val="center"/>
            <w:hideMark/>
          </w:tcPr>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t>Предлагаемая редакция</w:t>
            </w:r>
          </w:p>
        </w:tc>
      </w:tr>
      <w:tr w:rsidR="00E2477D" w:rsidRPr="00705384" w:rsidTr="00D864F3">
        <w:trPr>
          <w:trHeight w:val="287"/>
        </w:trPr>
        <w:tc>
          <w:tcPr>
            <w:tcW w:w="567" w:type="dxa"/>
            <w:tcBorders>
              <w:top w:val="single" w:sz="4" w:space="0" w:color="auto"/>
              <w:left w:val="single" w:sz="4" w:space="0" w:color="auto"/>
              <w:bottom w:val="single" w:sz="4" w:space="0" w:color="auto"/>
              <w:right w:val="single" w:sz="4" w:space="0" w:color="auto"/>
            </w:tcBorders>
          </w:tcPr>
          <w:p w:rsidR="00E2477D" w:rsidRPr="00705384" w:rsidRDefault="00E2477D" w:rsidP="00D864F3">
            <w:pPr>
              <w:pStyle w:val="a3"/>
              <w:jc w:val="both"/>
              <w:rPr>
                <w:rFonts w:ascii="Times New Roman" w:hAnsi="Times New Roman"/>
                <w:sz w:val="24"/>
                <w:szCs w:val="24"/>
              </w:rPr>
            </w:pPr>
          </w:p>
        </w:tc>
        <w:tc>
          <w:tcPr>
            <w:tcW w:w="4650" w:type="dxa"/>
            <w:tcBorders>
              <w:top w:val="single" w:sz="4" w:space="0" w:color="auto"/>
              <w:left w:val="single" w:sz="4" w:space="0" w:color="auto"/>
              <w:bottom w:val="single" w:sz="4" w:space="0" w:color="auto"/>
              <w:right w:val="single" w:sz="4" w:space="0" w:color="auto"/>
            </w:tcBorders>
          </w:tcPr>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t>Статья 12. Компетенция городского Совета народных депутатов в области регулирования земельных отношений</w:t>
            </w:r>
          </w:p>
          <w:p w:rsidR="00E2477D" w:rsidRPr="00705384" w:rsidRDefault="00E2477D" w:rsidP="00D864F3">
            <w:pPr>
              <w:pStyle w:val="a3"/>
              <w:jc w:val="both"/>
              <w:rPr>
                <w:rFonts w:ascii="Times New Roman" w:hAnsi="Times New Roman"/>
                <w:sz w:val="24"/>
                <w:szCs w:val="24"/>
              </w:rPr>
            </w:pPr>
          </w:p>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t>К компетенции городского Совета народных депутатов в области регулирования земельных отношений относятся:</w:t>
            </w:r>
          </w:p>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t>…</w:t>
            </w:r>
          </w:p>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t>г) утверждение правил застройки земельных участков, их зонирования в соответствии с действующим законодательством Приднестровской Молдавской Республики;</w:t>
            </w:r>
          </w:p>
          <w:p w:rsidR="00E2477D" w:rsidRPr="00705384" w:rsidRDefault="00E2477D" w:rsidP="00D864F3">
            <w:pPr>
              <w:pStyle w:val="a3"/>
              <w:jc w:val="both"/>
              <w:rPr>
                <w:rFonts w:ascii="Times New Roman" w:eastAsia="Calibri" w:hAnsi="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t>Статья 12. Компетенция городского Совета народных депутатов в области регулирования земельных отношений</w:t>
            </w:r>
          </w:p>
          <w:p w:rsidR="00E2477D" w:rsidRPr="00705384" w:rsidRDefault="00E2477D" w:rsidP="00D864F3">
            <w:pPr>
              <w:pStyle w:val="a3"/>
              <w:jc w:val="both"/>
              <w:rPr>
                <w:rFonts w:ascii="Times New Roman" w:hAnsi="Times New Roman"/>
                <w:sz w:val="24"/>
                <w:szCs w:val="24"/>
              </w:rPr>
            </w:pPr>
          </w:p>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t>К компетенции городского Совета народных депутатов в области регулирования земельных отношений относятся:</w:t>
            </w:r>
          </w:p>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t>…</w:t>
            </w:r>
          </w:p>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t>г) утверждение правил землепользования и застройки в соответствии с действующим законодательством Приднестровской Молдавской Республики;</w:t>
            </w:r>
          </w:p>
        </w:tc>
      </w:tr>
      <w:tr w:rsidR="00E2477D" w:rsidRPr="00705384" w:rsidTr="00D864F3">
        <w:trPr>
          <w:trHeight w:val="287"/>
        </w:trPr>
        <w:tc>
          <w:tcPr>
            <w:tcW w:w="567" w:type="dxa"/>
            <w:tcBorders>
              <w:top w:val="single" w:sz="4" w:space="0" w:color="auto"/>
              <w:left w:val="single" w:sz="4" w:space="0" w:color="auto"/>
              <w:bottom w:val="single" w:sz="4" w:space="0" w:color="auto"/>
              <w:right w:val="single" w:sz="4" w:space="0" w:color="auto"/>
            </w:tcBorders>
          </w:tcPr>
          <w:p w:rsidR="00E2477D" w:rsidRPr="00705384" w:rsidRDefault="00E2477D" w:rsidP="00D864F3">
            <w:pPr>
              <w:pStyle w:val="a3"/>
              <w:jc w:val="both"/>
              <w:rPr>
                <w:rFonts w:ascii="Times New Roman" w:hAnsi="Times New Roman"/>
                <w:sz w:val="24"/>
                <w:szCs w:val="24"/>
              </w:rPr>
            </w:pPr>
          </w:p>
        </w:tc>
        <w:tc>
          <w:tcPr>
            <w:tcW w:w="4650" w:type="dxa"/>
            <w:tcBorders>
              <w:top w:val="single" w:sz="4" w:space="0" w:color="auto"/>
              <w:left w:val="single" w:sz="4" w:space="0" w:color="auto"/>
              <w:bottom w:val="single" w:sz="4" w:space="0" w:color="auto"/>
              <w:right w:val="single" w:sz="4" w:space="0" w:color="auto"/>
            </w:tcBorders>
          </w:tcPr>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t xml:space="preserve">Статья 58. Выбор земельных участков для размещения объектов строительства </w:t>
            </w:r>
          </w:p>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t>…</w:t>
            </w:r>
          </w:p>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t>2. Органы государственного управления или местные органы власти по представлению соответствующей междуведомственной комиссии по размещению производительных сил с учетом социальных, экономических, экологических, градостроительных (в городах и других поселениях) и иных условий, перспектив использования соответствующей территории и ее недр, принимают решение о целесообразности размещения объекта. Решение является основанием для выбора в установленном порядке земельного участка, определения границ этого участка в натуре (на местности) и оформления акта о предварительном согласовании места размещения объекта, а в необходимых случаях и его санитарной (охранной) зоны. При выборе земельного участка определяются варианты размещения объекта и выбирается оптимальный. Исчисляются размеры возмещения убытков и потерь сельскохозяйственного и лесохозяйственного производства.</w:t>
            </w:r>
          </w:p>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lastRenderedPageBreak/>
              <w:t>3. Органы государственного управления или местные органы власти информируют землевладельцев и землепользователей, арендаторов земель, интересы которых могут быть затронуты возможным изъятием находящихся в их пользовании земельных участков в связи с их предоставлением для размещения объектов. В случае, когда для размещения объекта необходимо изъять земельные участки или их части из земель, находящихся во владении, пользовании, на правах аренды, органы государственного управления или местные органы власти информируют владельцев, пользователей, арендаторов этих участков о возможном выкупе их прав на этот земельный участок.</w:t>
            </w:r>
          </w:p>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t>Местные органы власти письменно информируют землевладельцев, землепользователей и арендаторов о назначении размещаемого объекта, об испрашиваемой площади, в том числе по угодьям, о возможном ограничении прав пользователей земли, об установлении санитарной или защитной зоны, о расчетах и размерах убытков.</w:t>
            </w:r>
          </w:p>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t>Землевладелец, землепользователи, арендаторы в месячный срок сообщают в местный орган власти о согласии или об отказе в размещении объекта.</w:t>
            </w:r>
          </w:p>
          <w:p w:rsidR="00E2477D" w:rsidRPr="00705384" w:rsidRDefault="00E2477D" w:rsidP="00D864F3">
            <w:pPr>
              <w:pStyle w:val="a3"/>
              <w:jc w:val="both"/>
              <w:rPr>
                <w:rFonts w:ascii="Times New Roman" w:hAnsi="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E2477D" w:rsidRPr="00705384" w:rsidRDefault="00E2477D" w:rsidP="00D864F3">
            <w:pPr>
              <w:pStyle w:val="a3"/>
              <w:jc w:val="both"/>
              <w:rPr>
                <w:rFonts w:ascii="Times New Roman" w:hAnsi="Times New Roman"/>
                <w:sz w:val="24"/>
                <w:szCs w:val="24"/>
              </w:rPr>
            </w:pPr>
          </w:p>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t xml:space="preserve">Статья 58. Выбор земельных участков для размещения объектов строительства </w:t>
            </w:r>
          </w:p>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t xml:space="preserve">                …</w:t>
            </w:r>
          </w:p>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t>2. Органы государственного управления или местные органы власти по представлению соответствующей междуведомственной комиссии по размещению производительных сил с учетом социальных, экономических, экологических, градостроительных (в городах и других поселениях) и иных условий, перспектив использования соответствующей территории и ее недр, принимают решение о целесообразности размещения объекта. Решение является основанием для выбора в установленном порядке земельного участка, определения границ этого участка в натуре (на местности) и оформления акта о предварительном согласовании места размещения объекта, а в необходимых случаях и его санитарно–</w:t>
            </w:r>
            <w:proofErr w:type="gramStart"/>
            <w:r w:rsidRPr="00705384">
              <w:rPr>
                <w:rFonts w:ascii="Times New Roman" w:hAnsi="Times New Roman"/>
                <w:sz w:val="24"/>
                <w:szCs w:val="24"/>
              </w:rPr>
              <w:t>защитной  зоны</w:t>
            </w:r>
            <w:proofErr w:type="gramEnd"/>
            <w:r w:rsidRPr="00705384">
              <w:rPr>
                <w:rFonts w:ascii="Times New Roman" w:hAnsi="Times New Roman"/>
                <w:sz w:val="24"/>
                <w:szCs w:val="24"/>
              </w:rPr>
              <w:t>. При выборе земельного участка определяются варианты размещения объекта и выбирается оптимальный. Исчисляются размеры возмещения убытков и потерь сельскохозяйственного и лесохозяйственного производства.</w:t>
            </w:r>
          </w:p>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t xml:space="preserve">3. Органы государственного управления или местные органы власти информируют </w:t>
            </w:r>
            <w:r w:rsidRPr="00705384">
              <w:rPr>
                <w:rFonts w:ascii="Times New Roman" w:hAnsi="Times New Roman"/>
                <w:sz w:val="24"/>
                <w:szCs w:val="24"/>
              </w:rPr>
              <w:lastRenderedPageBreak/>
              <w:t>землевладельцев и землепользователей, арендаторов земель, интересы которых могут быть затронуты возможным изъятием находящихся в их пользовании земельных участков в связи с их предоставлением для размещения объектов. В случае, когда для размещения объекта необходимо изъять земельные участки или их части из земель, находящихся во владении, пользовании, на правах аренды, органы государственного управления или местные органы власти информируют владельцев, пользователей, арендаторов этих участков о возможном выкупе их прав на этот земельный участок.</w:t>
            </w:r>
          </w:p>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t>Местные органы власти письменно информируют землевладельцев, землепользователей и арендаторов о назначении размещаемого объекта, об испрашиваемой площади, в том числе по угодьям, о возможном ограничении прав пользователей земли, об установлении санитарно–защитной зоны, о расчетах и размерах убытков.</w:t>
            </w:r>
          </w:p>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t>Землевладелец, землепользователи, арендаторы в месячный срок сообщают в местный орган власти о согласии или об отказе в размещении объекта.</w:t>
            </w:r>
          </w:p>
          <w:p w:rsidR="00E2477D" w:rsidRPr="00705384" w:rsidRDefault="00E2477D" w:rsidP="00D864F3">
            <w:pPr>
              <w:pStyle w:val="a3"/>
              <w:jc w:val="both"/>
              <w:rPr>
                <w:rFonts w:ascii="Times New Roman" w:hAnsi="Times New Roman"/>
                <w:sz w:val="24"/>
                <w:szCs w:val="24"/>
              </w:rPr>
            </w:pPr>
          </w:p>
        </w:tc>
      </w:tr>
      <w:tr w:rsidR="00E2477D" w:rsidRPr="00705384" w:rsidTr="00D864F3">
        <w:trPr>
          <w:trHeight w:val="287"/>
        </w:trPr>
        <w:tc>
          <w:tcPr>
            <w:tcW w:w="567" w:type="dxa"/>
            <w:tcBorders>
              <w:top w:val="single" w:sz="4" w:space="0" w:color="auto"/>
              <w:left w:val="single" w:sz="4" w:space="0" w:color="auto"/>
              <w:bottom w:val="single" w:sz="4" w:space="0" w:color="auto"/>
              <w:right w:val="single" w:sz="4" w:space="0" w:color="auto"/>
            </w:tcBorders>
          </w:tcPr>
          <w:p w:rsidR="00E2477D" w:rsidRPr="00705384" w:rsidRDefault="00E2477D" w:rsidP="00D864F3">
            <w:pPr>
              <w:pStyle w:val="a3"/>
              <w:jc w:val="both"/>
              <w:rPr>
                <w:rFonts w:ascii="Times New Roman" w:hAnsi="Times New Roman"/>
                <w:sz w:val="24"/>
                <w:szCs w:val="24"/>
              </w:rPr>
            </w:pPr>
          </w:p>
        </w:tc>
        <w:tc>
          <w:tcPr>
            <w:tcW w:w="4650" w:type="dxa"/>
            <w:tcBorders>
              <w:top w:val="single" w:sz="4" w:space="0" w:color="auto"/>
              <w:left w:val="single" w:sz="4" w:space="0" w:color="auto"/>
              <w:bottom w:val="single" w:sz="4" w:space="0" w:color="auto"/>
              <w:right w:val="single" w:sz="4" w:space="0" w:color="auto"/>
            </w:tcBorders>
          </w:tcPr>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t>Статья 118. Земельные участки для садоводства</w:t>
            </w:r>
          </w:p>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t>…</w:t>
            </w:r>
          </w:p>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t xml:space="preserve">4. Земельные участки предоставляются садоводческому товариществу (кооперативу) исходя из численности членов в размере </w:t>
            </w:r>
            <w:smartTag w:uri="urn:schemas-microsoft-com:office:smarttags" w:element="metricconverter">
              <w:smartTagPr>
                <w:attr w:name="ProductID" w:val="0,06 га"/>
              </w:smartTagPr>
              <w:r w:rsidRPr="00705384">
                <w:rPr>
                  <w:rFonts w:ascii="Times New Roman" w:hAnsi="Times New Roman"/>
                  <w:sz w:val="24"/>
                  <w:szCs w:val="24"/>
                </w:rPr>
                <w:t>0,06 га</w:t>
              </w:r>
            </w:smartTag>
            <w:r w:rsidRPr="00705384">
              <w:rPr>
                <w:rFonts w:ascii="Times New Roman" w:hAnsi="Times New Roman"/>
                <w:sz w:val="24"/>
                <w:szCs w:val="24"/>
              </w:rPr>
              <w:t xml:space="preserve"> на семью, а также с учетом необходимости размещения земель общего пользования. Если размер земельного участка, приходящегося на семью, расположенного на окраине выделенного массива, составляет больше или меньше </w:t>
            </w:r>
            <w:smartTag w:uri="urn:schemas-microsoft-com:office:smarttags" w:element="metricconverter">
              <w:smartTagPr>
                <w:attr w:name="ProductID" w:val="0,06 га"/>
              </w:smartTagPr>
              <w:r w:rsidRPr="00705384">
                <w:rPr>
                  <w:rFonts w:ascii="Times New Roman" w:hAnsi="Times New Roman"/>
                  <w:sz w:val="24"/>
                  <w:szCs w:val="24"/>
                </w:rPr>
                <w:t>0,06 га</w:t>
              </w:r>
            </w:smartTag>
            <w:r w:rsidRPr="00705384">
              <w:rPr>
                <w:rFonts w:ascii="Times New Roman" w:hAnsi="Times New Roman"/>
                <w:sz w:val="24"/>
                <w:szCs w:val="24"/>
              </w:rPr>
              <w:t xml:space="preserve">, то он может быть увеличен или уменьшен, но не более чем на </w:t>
            </w:r>
            <w:smartTag w:uri="urn:schemas-microsoft-com:office:smarttags" w:element="metricconverter">
              <w:smartTagPr>
                <w:attr w:name="ProductID" w:val="0,03 га"/>
              </w:smartTagPr>
              <w:r w:rsidRPr="00705384">
                <w:rPr>
                  <w:rFonts w:ascii="Times New Roman" w:hAnsi="Times New Roman"/>
                  <w:sz w:val="24"/>
                  <w:szCs w:val="24"/>
                </w:rPr>
                <w:t>0,03 га</w:t>
              </w:r>
            </w:smartTag>
            <w:r w:rsidRPr="00705384">
              <w:rPr>
                <w:rFonts w:ascii="Times New Roman" w:hAnsi="Times New Roman"/>
                <w:sz w:val="24"/>
                <w:szCs w:val="24"/>
              </w:rPr>
              <w:t xml:space="preserve">. </w:t>
            </w:r>
          </w:p>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t xml:space="preserve">5. В период проведения землеустроительных работ по межеванию земельного участка, предоставленного в </w:t>
            </w:r>
            <w:r w:rsidRPr="00705384">
              <w:rPr>
                <w:rFonts w:ascii="Times New Roman" w:hAnsi="Times New Roman"/>
                <w:sz w:val="24"/>
                <w:szCs w:val="24"/>
              </w:rPr>
              <w:lastRenderedPageBreak/>
              <w:t xml:space="preserve">аренду садоводческому товариществу (кооперативу), осуществляется межевание земель на земли общего пользования, к которым относятся земельные участки, отведенные под дороги, проезды и иные участки и объекты общего пользования, и на земли каждого из членов садоводческого товарищества (кооператива). </w:t>
            </w:r>
          </w:p>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t xml:space="preserve">6. По завершении проведения работ по межеванию земельного участка члены садоводческих товариществ (кооперативов) ходатайствуют перед общим собранием о даче согласия на выделение им земельного участка в пожизненно наследуемое владение или долгосрочное пользование либо об отказе от прав на них в пользу садоводческого товарищества (кооператива). </w:t>
            </w:r>
          </w:p>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t>Член садоводческого товарищества (кооператива) вправе отказаться от прав на земельный участок в пользу садоводческого товарищества (кооператива).</w:t>
            </w:r>
          </w:p>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t>Общее заявление, подписанное всеми членами садоводческого товарищества (кооператива), с указанием площадей испрашиваемых участков, выписка из протокола заседания общего собрания о даче согласия на выделение земельных участков членам садоводческого товарищества (кооператива) направляются в орган государственной власти, в ведении которого находится испрашиваемый земельный участок, с целью получения решения о предоставлении:</w:t>
            </w:r>
          </w:p>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t>а) садоводческому товариществу (кооперативу) земель общего пользования и земель членов садоводческого товарищества (кооператива), отказавшихся от прав на них в пользу садоводческого товарищества (кооператива), – на праве долгосрочного пользования;</w:t>
            </w:r>
          </w:p>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t>б) гражданам земель из состава земель членов садоводческого товарищества (кооператива) – на праве пожизненно наследуемого владения или долгосрочного пользования.</w:t>
            </w:r>
          </w:p>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lastRenderedPageBreak/>
              <w:t>Орган государственной власти, в ведении которого находится испрашиваемый земельный участок, рассматривает ходатайство садоводческого товарищества (кооператива) в месячный срок и в случае соответствия действующему законодательству всех представленных заявителем документов принимает решение о предоставлении земельного участка садоводческому товариществу (кооперативу) и гражданам – членам садоводческого товарищества (кооператива) на соответствующем праве.</w:t>
            </w:r>
          </w:p>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t>Садоводческое товарищество (кооператив) вправе ходатайствовать перед органом государственной власти, в ведении которого находится испрашиваемый земельный участок, о предоставлении данному садоводческому товариществу (кооперативу) права пользования всем земельным участком.</w:t>
            </w:r>
          </w:p>
          <w:p w:rsidR="00E2477D" w:rsidRPr="00705384" w:rsidRDefault="00E2477D" w:rsidP="00D864F3">
            <w:pPr>
              <w:pStyle w:val="a3"/>
              <w:jc w:val="both"/>
              <w:rPr>
                <w:rFonts w:ascii="Times New Roman" w:hAnsi="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lastRenderedPageBreak/>
              <w:t>Статья 118. Земельные участки для садоводства</w:t>
            </w:r>
          </w:p>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t>…</w:t>
            </w:r>
          </w:p>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t xml:space="preserve">4. Земельные участки предоставляются садоводческому товариществу (кооперативу) исходя из численности членов в размере </w:t>
            </w:r>
            <w:smartTag w:uri="urn:schemas-microsoft-com:office:smarttags" w:element="metricconverter">
              <w:smartTagPr>
                <w:attr w:name="ProductID" w:val="0,06 га"/>
              </w:smartTagPr>
              <w:r w:rsidRPr="00705384">
                <w:rPr>
                  <w:rFonts w:ascii="Times New Roman" w:hAnsi="Times New Roman"/>
                  <w:sz w:val="24"/>
                  <w:szCs w:val="24"/>
                </w:rPr>
                <w:t>0,06 га</w:t>
              </w:r>
            </w:smartTag>
            <w:r w:rsidRPr="00705384">
              <w:rPr>
                <w:rFonts w:ascii="Times New Roman" w:hAnsi="Times New Roman"/>
                <w:sz w:val="24"/>
                <w:szCs w:val="24"/>
              </w:rPr>
              <w:t xml:space="preserve"> на семью, а также с учетом необходимости размещения территорий общего пользования. Если размер земельного участка, приходящегося на семью, расположенного на окраине выделенного массива, составляет больше или меньше </w:t>
            </w:r>
            <w:smartTag w:uri="urn:schemas-microsoft-com:office:smarttags" w:element="metricconverter">
              <w:smartTagPr>
                <w:attr w:name="ProductID" w:val="0,06 га"/>
              </w:smartTagPr>
              <w:r w:rsidRPr="00705384">
                <w:rPr>
                  <w:rFonts w:ascii="Times New Roman" w:hAnsi="Times New Roman"/>
                  <w:sz w:val="24"/>
                  <w:szCs w:val="24"/>
                </w:rPr>
                <w:t>0,06 га</w:t>
              </w:r>
            </w:smartTag>
            <w:r w:rsidRPr="00705384">
              <w:rPr>
                <w:rFonts w:ascii="Times New Roman" w:hAnsi="Times New Roman"/>
                <w:sz w:val="24"/>
                <w:szCs w:val="24"/>
              </w:rPr>
              <w:t xml:space="preserve">, то он может быть увеличен или уменьшен, но не более чем на </w:t>
            </w:r>
            <w:smartTag w:uri="urn:schemas-microsoft-com:office:smarttags" w:element="metricconverter">
              <w:smartTagPr>
                <w:attr w:name="ProductID" w:val="0,03 га"/>
              </w:smartTagPr>
              <w:r w:rsidRPr="00705384">
                <w:rPr>
                  <w:rFonts w:ascii="Times New Roman" w:hAnsi="Times New Roman"/>
                  <w:sz w:val="24"/>
                  <w:szCs w:val="24"/>
                </w:rPr>
                <w:t>0,03 га</w:t>
              </w:r>
            </w:smartTag>
            <w:r w:rsidRPr="00705384">
              <w:rPr>
                <w:rFonts w:ascii="Times New Roman" w:hAnsi="Times New Roman"/>
                <w:sz w:val="24"/>
                <w:szCs w:val="24"/>
              </w:rPr>
              <w:t xml:space="preserve">. </w:t>
            </w:r>
          </w:p>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t xml:space="preserve">5. В период проведения землеустроительных работ по межеванию земельного участка, предоставленного в аренду садоводческому товариществу (кооперативу), осуществляется </w:t>
            </w:r>
            <w:r w:rsidRPr="00705384">
              <w:rPr>
                <w:rFonts w:ascii="Times New Roman" w:hAnsi="Times New Roman"/>
                <w:sz w:val="24"/>
                <w:szCs w:val="24"/>
              </w:rPr>
              <w:lastRenderedPageBreak/>
              <w:t xml:space="preserve">межевание земель на территории общего пользования, к которым относятся земельные участки, отведенные под дороги, проезды и иные участки и объекты общего пользования, и на земли каждого из членов садоводческого товарищества (кооператива). </w:t>
            </w:r>
          </w:p>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t xml:space="preserve">6. По завершении проведения работ по межеванию земельного участка члены садоводческих товариществ (кооперативов) ходатайствуют перед общим собранием о даче согласия на выделение им земельного участка в пожизненно наследуемое владение или долгосрочное пользование либо об отказе от прав на них в пользу садоводческого товарищества (кооператива). </w:t>
            </w:r>
          </w:p>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t>Член садоводческого товарищества (кооператива) вправе отказаться от прав на земельный участок в пользу садоводческого товарищества (кооператива).</w:t>
            </w:r>
          </w:p>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t>Общее заявление, подписанное всеми членами садоводческого товарищества (кооператива), с указанием площадей испрашиваемых участков, выписка из протокола заседания общего собрания о даче согласия на выделение земельных участков членам садоводческого товарищества (кооператива) направляются в орган государственной власти, в ведении которого находится испрашиваемый земельный участок, с целью получения решения о предоставлении:</w:t>
            </w:r>
          </w:p>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t>а) садоводческому товариществу (кооперативу) территорий общего пользования и земель членов садоводческого товарищества (кооператива), отказавшихся от прав на них в пользу садоводческого товарищества (кооператива), – на праве долгосрочного пользования;</w:t>
            </w:r>
          </w:p>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t>б) гражданам земель из состава земель членов садоводческого товарищества (кооператива) – на праве пожизненно наследуемого владения или долгосрочного пользования.</w:t>
            </w:r>
          </w:p>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t xml:space="preserve">Орган государственной власти, в ведении которого находится испрашиваемый земельный участок, рассматривает ходатайство садоводческого товарищества (кооператива) в месячный срок и в случае соответствия действующему законодательству всех представленных заявителем документов принимает решение о </w:t>
            </w:r>
            <w:r w:rsidRPr="00705384">
              <w:rPr>
                <w:rFonts w:ascii="Times New Roman" w:hAnsi="Times New Roman"/>
                <w:sz w:val="24"/>
                <w:szCs w:val="24"/>
              </w:rPr>
              <w:lastRenderedPageBreak/>
              <w:t>предоставлении земельного участка садоводческому товариществу (кооперативу) и гражданам – членам садоводческого товарищества (кооператива) на соответствующем праве.</w:t>
            </w:r>
          </w:p>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t>Садоводческое товарищество (кооператив) вправе ходатайствовать перед органом государственной власти, в ведении которого находится испрашиваемый земельный участок, о предоставлении данному садоводческому товариществу (кооперативу) права пользования всем земельным участком.</w:t>
            </w:r>
          </w:p>
          <w:p w:rsidR="00E2477D" w:rsidRPr="00705384" w:rsidRDefault="00E2477D" w:rsidP="00D864F3">
            <w:pPr>
              <w:pStyle w:val="a3"/>
              <w:jc w:val="both"/>
              <w:rPr>
                <w:rFonts w:ascii="Times New Roman" w:hAnsi="Times New Roman"/>
                <w:sz w:val="24"/>
                <w:szCs w:val="24"/>
              </w:rPr>
            </w:pPr>
          </w:p>
        </w:tc>
      </w:tr>
      <w:tr w:rsidR="00E2477D" w:rsidRPr="00705384" w:rsidTr="00D864F3">
        <w:trPr>
          <w:trHeight w:val="287"/>
        </w:trPr>
        <w:tc>
          <w:tcPr>
            <w:tcW w:w="567" w:type="dxa"/>
            <w:tcBorders>
              <w:top w:val="single" w:sz="4" w:space="0" w:color="auto"/>
              <w:left w:val="single" w:sz="4" w:space="0" w:color="auto"/>
              <w:bottom w:val="single" w:sz="4" w:space="0" w:color="auto"/>
              <w:right w:val="single" w:sz="4" w:space="0" w:color="auto"/>
            </w:tcBorders>
          </w:tcPr>
          <w:p w:rsidR="00E2477D" w:rsidRPr="00705384" w:rsidRDefault="00E2477D" w:rsidP="00D864F3">
            <w:pPr>
              <w:pStyle w:val="a3"/>
              <w:jc w:val="both"/>
              <w:rPr>
                <w:rFonts w:ascii="Times New Roman" w:hAnsi="Times New Roman"/>
                <w:sz w:val="24"/>
                <w:szCs w:val="24"/>
              </w:rPr>
            </w:pPr>
          </w:p>
        </w:tc>
        <w:tc>
          <w:tcPr>
            <w:tcW w:w="4650" w:type="dxa"/>
            <w:tcBorders>
              <w:top w:val="single" w:sz="4" w:space="0" w:color="auto"/>
              <w:left w:val="single" w:sz="4" w:space="0" w:color="auto"/>
              <w:bottom w:val="single" w:sz="4" w:space="0" w:color="auto"/>
              <w:right w:val="single" w:sz="4" w:space="0" w:color="auto"/>
            </w:tcBorders>
          </w:tcPr>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t>Статья 125-1. Предоставление земель общего пользования</w:t>
            </w:r>
          </w:p>
          <w:p w:rsidR="00E2477D" w:rsidRPr="00705384" w:rsidRDefault="00E2477D" w:rsidP="00D864F3">
            <w:pPr>
              <w:pStyle w:val="a3"/>
              <w:jc w:val="both"/>
              <w:rPr>
                <w:rFonts w:ascii="Times New Roman" w:hAnsi="Times New Roman"/>
                <w:sz w:val="24"/>
                <w:szCs w:val="24"/>
              </w:rPr>
            </w:pPr>
          </w:p>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t>Земельные участки из земель общего пользования могут предоставляться гражданам и юридическим лицам в аренду и краткосрочное пользование.</w:t>
            </w:r>
          </w:p>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t>На предоставляемых землях общего пользования разрешается возведение капитальных строений и сооружений, а также временные строения и сооружения без ущерба для целевого назначения земель общего пользования.</w:t>
            </w:r>
          </w:p>
          <w:p w:rsidR="00E2477D" w:rsidRPr="00705384" w:rsidRDefault="00E2477D" w:rsidP="00D864F3">
            <w:pPr>
              <w:pStyle w:val="a3"/>
              <w:jc w:val="both"/>
              <w:rPr>
                <w:rFonts w:ascii="Times New Roman" w:hAnsi="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t>Статья 125-1. Предоставление территорий общего пользования</w:t>
            </w:r>
          </w:p>
          <w:p w:rsidR="00E2477D" w:rsidRPr="00705384" w:rsidRDefault="00E2477D" w:rsidP="00D864F3">
            <w:pPr>
              <w:pStyle w:val="a3"/>
              <w:jc w:val="both"/>
              <w:rPr>
                <w:rFonts w:ascii="Times New Roman" w:hAnsi="Times New Roman"/>
                <w:sz w:val="24"/>
                <w:szCs w:val="24"/>
              </w:rPr>
            </w:pPr>
          </w:p>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t>Земельные участки из территорий общего пользования могут предоставляться гражданам и юридическим лицам в аренду и краткосрочное пользование.</w:t>
            </w:r>
          </w:p>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t>На предоставляемых территориях общего пользования разрешается возведение капитальных строений и сооружений, а также временные строения и сооружения без ущерба для целевого назначения территорий общего пользования.</w:t>
            </w:r>
          </w:p>
          <w:p w:rsidR="00E2477D" w:rsidRPr="00705384" w:rsidRDefault="00E2477D" w:rsidP="00D864F3">
            <w:pPr>
              <w:pStyle w:val="a3"/>
              <w:jc w:val="both"/>
              <w:rPr>
                <w:rFonts w:ascii="Times New Roman" w:hAnsi="Times New Roman"/>
                <w:sz w:val="24"/>
                <w:szCs w:val="24"/>
              </w:rPr>
            </w:pPr>
          </w:p>
        </w:tc>
      </w:tr>
      <w:tr w:rsidR="00E2477D" w:rsidRPr="00705384" w:rsidTr="00D864F3">
        <w:trPr>
          <w:trHeight w:val="287"/>
        </w:trPr>
        <w:tc>
          <w:tcPr>
            <w:tcW w:w="567" w:type="dxa"/>
            <w:tcBorders>
              <w:top w:val="single" w:sz="4" w:space="0" w:color="auto"/>
              <w:left w:val="single" w:sz="4" w:space="0" w:color="auto"/>
              <w:bottom w:val="single" w:sz="4" w:space="0" w:color="auto"/>
              <w:right w:val="single" w:sz="4" w:space="0" w:color="auto"/>
            </w:tcBorders>
          </w:tcPr>
          <w:p w:rsidR="00E2477D" w:rsidRPr="00705384" w:rsidRDefault="00E2477D" w:rsidP="00D864F3">
            <w:pPr>
              <w:pStyle w:val="a3"/>
              <w:jc w:val="both"/>
              <w:rPr>
                <w:rFonts w:ascii="Times New Roman" w:hAnsi="Times New Roman"/>
                <w:sz w:val="24"/>
                <w:szCs w:val="24"/>
              </w:rPr>
            </w:pPr>
          </w:p>
        </w:tc>
        <w:tc>
          <w:tcPr>
            <w:tcW w:w="4650" w:type="dxa"/>
            <w:tcBorders>
              <w:top w:val="single" w:sz="4" w:space="0" w:color="auto"/>
              <w:left w:val="single" w:sz="4" w:space="0" w:color="auto"/>
              <w:bottom w:val="single" w:sz="4" w:space="0" w:color="auto"/>
              <w:right w:val="single" w:sz="4" w:space="0" w:color="auto"/>
            </w:tcBorders>
          </w:tcPr>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t>Статья 126. Земельные участки для жилищного, гаражного   строительства</w:t>
            </w:r>
          </w:p>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t xml:space="preserve">                …</w:t>
            </w:r>
          </w:p>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t>3. Земли для кооперативного жилищного, гаражного строительства состоят из земель общего пользования, переданных кооперативу в пользование, и земельных участков, переданных в пользование членам кооператива.</w:t>
            </w:r>
          </w:p>
          <w:p w:rsidR="00E2477D" w:rsidRPr="00705384" w:rsidRDefault="00E2477D" w:rsidP="00D864F3">
            <w:pPr>
              <w:pStyle w:val="a3"/>
              <w:jc w:val="both"/>
              <w:rPr>
                <w:rFonts w:ascii="Times New Roman" w:hAnsi="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t>Статья 126. Земельные участки для жилищного, гаражного   строительства</w:t>
            </w:r>
          </w:p>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t xml:space="preserve">                …</w:t>
            </w:r>
          </w:p>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t>3. Земли для кооперативного жилищного, гаражного строительства состоят из территорий общего пользования, переданных кооперативу в пользование, и земельных участков, переданных в пользование членам кооператива.</w:t>
            </w:r>
          </w:p>
          <w:p w:rsidR="00E2477D" w:rsidRPr="00705384" w:rsidRDefault="00E2477D" w:rsidP="00D864F3">
            <w:pPr>
              <w:pStyle w:val="a3"/>
              <w:jc w:val="both"/>
              <w:rPr>
                <w:rFonts w:ascii="Times New Roman" w:hAnsi="Times New Roman"/>
                <w:sz w:val="24"/>
                <w:szCs w:val="24"/>
              </w:rPr>
            </w:pPr>
          </w:p>
        </w:tc>
      </w:tr>
      <w:tr w:rsidR="00E2477D" w:rsidRPr="00705384" w:rsidTr="00D864F3">
        <w:trPr>
          <w:trHeight w:val="287"/>
        </w:trPr>
        <w:tc>
          <w:tcPr>
            <w:tcW w:w="567" w:type="dxa"/>
            <w:tcBorders>
              <w:top w:val="single" w:sz="4" w:space="0" w:color="auto"/>
              <w:left w:val="single" w:sz="4" w:space="0" w:color="auto"/>
              <w:bottom w:val="single" w:sz="4" w:space="0" w:color="auto"/>
              <w:right w:val="single" w:sz="4" w:space="0" w:color="auto"/>
            </w:tcBorders>
          </w:tcPr>
          <w:p w:rsidR="00E2477D" w:rsidRPr="00705384" w:rsidRDefault="00E2477D" w:rsidP="00D864F3">
            <w:pPr>
              <w:pStyle w:val="a3"/>
              <w:jc w:val="both"/>
              <w:rPr>
                <w:rFonts w:ascii="Times New Roman" w:hAnsi="Times New Roman"/>
                <w:sz w:val="24"/>
                <w:szCs w:val="24"/>
              </w:rPr>
            </w:pPr>
          </w:p>
        </w:tc>
        <w:tc>
          <w:tcPr>
            <w:tcW w:w="4650" w:type="dxa"/>
            <w:tcBorders>
              <w:top w:val="single" w:sz="4" w:space="0" w:color="auto"/>
              <w:left w:val="single" w:sz="4" w:space="0" w:color="auto"/>
              <w:bottom w:val="single" w:sz="4" w:space="0" w:color="auto"/>
              <w:right w:val="single" w:sz="4" w:space="0" w:color="auto"/>
            </w:tcBorders>
          </w:tcPr>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t xml:space="preserve">Статья 129. Состав земель промышленности, транспорта, связи, </w:t>
            </w:r>
            <w:r w:rsidRPr="00705384">
              <w:rPr>
                <w:rFonts w:ascii="Times New Roman" w:hAnsi="Times New Roman"/>
                <w:sz w:val="24"/>
                <w:szCs w:val="24"/>
              </w:rPr>
              <w:lastRenderedPageBreak/>
              <w:t>радиовещания, телевидения, информатики, энергетики, обороны и иного назначения</w:t>
            </w:r>
          </w:p>
          <w:p w:rsidR="00E2477D" w:rsidRPr="00705384" w:rsidRDefault="00E2477D" w:rsidP="00D864F3">
            <w:pPr>
              <w:pStyle w:val="a3"/>
              <w:jc w:val="both"/>
              <w:rPr>
                <w:rFonts w:ascii="Times New Roman" w:hAnsi="Times New Roman"/>
                <w:sz w:val="24"/>
                <w:szCs w:val="24"/>
              </w:rPr>
            </w:pPr>
          </w:p>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t>1. Землями промышленности, транспорта, связи, радиовещания, телевидения, информатики, энергетики, обороны и иного назначения признаются земли, предоставленные (переданные) в установленном порядке в пользование, в том числе в аренду, и предназначенные для эксплуатации и (или) обеспечения деятельности объектов промышленности, транспорта, связи, радиовещания, телевидения, информатики, энергетики, обороны и иного назначения (в целях размещения производственных и административных зданий, строений, сооружений и обслуживающих их объектов, установления зон с особыми условиями использования земель и других).</w:t>
            </w:r>
          </w:p>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t>…</w:t>
            </w:r>
          </w:p>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t>4. Зоны с особыми условиями использования земель устанавливаются в целях обеспечения безопасности населения и создания необходимых условий для эксплуатации промышленных, транспортных и иных объектов. Земельные участки, на которых устанавливаются указанные зоны, у землевладельцев, землепользователей и арендаторов не изымаются, но в их пределах вводится особый режим использования земель, ограничивающий или запрещающий те виды деятельности, которые несовместимы с целями установления зон.</w:t>
            </w:r>
          </w:p>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t>5. Предприятия, учреждения и организации, в интересах которых устанавливаются зоны с особыми условиями использования земель, обязаны обозначить границы зон специальными информационными знаками.</w:t>
            </w:r>
          </w:p>
          <w:p w:rsidR="00E2477D" w:rsidRPr="00705384" w:rsidRDefault="00E2477D" w:rsidP="00D864F3">
            <w:pPr>
              <w:pStyle w:val="a3"/>
              <w:jc w:val="both"/>
              <w:rPr>
                <w:rFonts w:ascii="Times New Roman" w:hAnsi="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lastRenderedPageBreak/>
              <w:t xml:space="preserve">Статья 129. Состав земель промышленности, транспорта, связи, радиовещания, </w:t>
            </w:r>
            <w:r w:rsidRPr="00705384">
              <w:rPr>
                <w:rFonts w:ascii="Times New Roman" w:hAnsi="Times New Roman"/>
                <w:sz w:val="24"/>
                <w:szCs w:val="24"/>
              </w:rPr>
              <w:lastRenderedPageBreak/>
              <w:t>телевидения, информатики, энергетики, обороны и иного назначения</w:t>
            </w:r>
          </w:p>
          <w:p w:rsidR="00E2477D" w:rsidRPr="00705384" w:rsidRDefault="00E2477D" w:rsidP="00D864F3">
            <w:pPr>
              <w:pStyle w:val="a3"/>
              <w:jc w:val="both"/>
              <w:rPr>
                <w:rFonts w:ascii="Times New Roman" w:hAnsi="Times New Roman"/>
                <w:sz w:val="24"/>
                <w:szCs w:val="24"/>
              </w:rPr>
            </w:pPr>
          </w:p>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t>1. Землями промышленности, транспорта, связи, радиовещания, телевидения, информатики, энергетики, обороны и иного назначения признаются земли, предоставленные (переданные) в установленном порядке в пользование, в том числе в аренду, и предназначенные для эксплуатации и (или) обеспечения деятельности объектов промышленности, транспорта, связи, радиовещания, телевидения, информатики, энергетики, обороны и иного назначения (в целях размещения производственных и административных зданий, строений, сооружений и обслуживающих их объектов, установления зон с особыми условиями использования территорий и других).</w:t>
            </w:r>
          </w:p>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t>…</w:t>
            </w:r>
          </w:p>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t>4. Зоны с особыми условиями использования территорий устанавливаются в целях обеспечения безопасности населения и создания необходимых условий для эксплуатации промышленных, транспортных и иных объектов. Земельные участки, на которых устанавливаются указанные зоны, у землевладельцев, землепользователей и арендаторов не изымаются, но в их пределах вводится особый режим использования земель, ограничивающий или запрещающий те виды деятельности, которые несовместимы с целями установления зон.</w:t>
            </w:r>
          </w:p>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t>5. Предприятия, учреждения и организации, в интересах которых устанавливаются зоны с особыми условиями использования территорий, обязаны обозначить границы зон специальными информационными знаками.</w:t>
            </w:r>
          </w:p>
          <w:p w:rsidR="00E2477D" w:rsidRPr="00705384" w:rsidRDefault="00E2477D" w:rsidP="00D864F3">
            <w:pPr>
              <w:pStyle w:val="a3"/>
              <w:jc w:val="both"/>
              <w:rPr>
                <w:rFonts w:ascii="Times New Roman" w:hAnsi="Times New Roman"/>
                <w:sz w:val="24"/>
                <w:szCs w:val="24"/>
              </w:rPr>
            </w:pPr>
          </w:p>
        </w:tc>
      </w:tr>
      <w:tr w:rsidR="00E2477D" w:rsidRPr="00705384" w:rsidTr="00D864F3">
        <w:trPr>
          <w:trHeight w:val="287"/>
        </w:trPr>
        <w:tc>
          <w:tcPr>
            <w:tcW w:w="567" w:type="dxa"/>
            <w:tcBorders>
              <w:top w:val="single" w:sz="4" w:space="0" w:color="auto"/>
              <w:left w:val="single" w:sz="4" w:space="0" w:color="auto"/>
              <w:bottom w:val="single" w:sz="4" w:space="0" w:color="auto"/>
              <w:right w:val="single" w:sz="4" w:space="0" w:color="auto"/>
            </w:tcBorders>
          </w:tcPr>
          <w:p w:rsidR="00E2477D" w:rsidRPr="00705384" w:rsidRDefault="00E2477D" w:rsidP="00D864F3">
            <w:pPr>
              <w:pStyle w:val="a3"/>
              <w:jc w:val="both"/>
              <w:rPr>
                <w:rFonts w:ascii="Times New Roman" w:hAnsi="Times New Roman"/>
                <w:sz w:val="24"/>
                <w:szCs w:val="24"/>
              </w:rPr>
            </w:pPr>
          </w:p>
        </w:tc>
        <w:tc>
          <w:tcPr>
            <w:tcW w:w="4650" w:type="dxa"/>
            <w:tcBorders>
              <w:top w:val="single" w:sz="4" w:space="0" w:color="auto"/>
              <w:left w:val="single" w:sz="4" w:space="0" w:color="auto"/>
              <w:bottom w:val="single" w:sz="4" w:space="0" w:color="auto"/>
              <w:right w:val="single" w:sz="4" w:space="0" w:color="auto"/>
            </w:tcBorders>
          </w:tcPr>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t>Статья 136. Земли природоохранного назначения</w:t>
            </w:r>
          </w:p>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t>…</w:t>
            </w:r>
          </w:p>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t xml:space="preserve">3. Предприятия, учреждения и организации, в интересах которых устанавливаются зоны с особыми </w:t>
            </w:r>
            <w:r w:rsidRPr="00705384">
              <w:rPr>
                <w:rFonts w:ascii="Times New Roman" w:hAnsi="Times New Roman"/>
                <w:sz w:val="24"/>
                <w:szCs w:val="24"/>
              </w:rPr>
              <w:lastRenderedPageBreak/>
              <w:t>условиями использования земли, обязаны обозначить границы зон специальными информационными знаками.</w:t>
            </w:r>
          </w:p>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t>…</w:t>
            </w:r>
          </w:p>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t>5. Порядок использования земель природоохранного назначения, установления и использования зон с особыми условиями землепользования определяется действующим законодательством Приднестровской Молдавской Республики.</w:t>
            </w:r>
          </w:p>
          <w:p w:rsidR="00E2477D" w:rsidRPr="00705384" w:rsidRDefault="00E2477D" w:rsidP="00D864F3">
            <w:pPr>
              <w:pStyle w:val="a3"/>
              <w:jc w:val="both"/>
              <w:rPr>
                <w:rFonts w:ascii="Times New Roman" w:hAnsi="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lastRenderedPageBreak/>
              <w:t>Статья 136. Земли природоохранного назначения</w:t>
            </w:r>
          </w:p>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t>…</w:t>
            </w:r>
          </w:p>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t xml:space="preserve">3. Предприятия, учреждения и организации, в интересах которых устанавливаются зоны с особыми условиями использования </w:t>
            </w:r>
            <w:r w:rsidRPr="00705384">
              <w:rPr>
                <w:rFonts w:ascii="Times New Roman" w:hAnsi="Times New Roman"/>
                <w:sz w:val="24"/>
                <w:szCs w:val="24"/>
              </w:rPr>
              <w:lastRenderedPageBreak/>
              <w:t>территорий, обязаны обозначить границы зон специальными информационными знаками.</w:t>
            </w:r>
          </w:p>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t>…</w:t>
            </w:r>
          </w:p>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t>5. Порядок использования земель природоохранного назначения, установления и использования зон с особыми условиями использования территорий определяется действующим законодательством Приднестровской Молдавской Республики.</w:t>
            </w:r>
          </w:p>
          <w:p w:rsidR="00E2477D" w:rsidRPr="00705384" w:rsidRDefault="00E2477D" w:rsidP="00D864F3">
            <w:pPr>
              <w:pStyle w:val="a3"/>
              <w:jc w:val="both"/>
              <w:rPr>
                <w:rFonts w:ascii="Times New Roman" w:hAnsi="Times New Roman"/>
                <w:sz w:val="24"/>
                <w:szCs w:val="24"/>
              </w:rPr>
            </w:pPr>
          </w:p>
        </w:tc>
      </w:tr>
      <w:tr w:rsidR="00E2477D" w:rsidRPr="00705384" w:rsidTr="00D864F3">
        <w:trPr>
          <w:trHeight w:val="287"/>
        </w:trPr>
        <w:tc>
          <w:tcPr>
            <w:tcW w:w="567" w:type="dxa"/>
            <w:tcBorders>
              <w:top w:val="single" w:sz="4" w:space="0" w:color="auto"/>
              <w:left w:val="single" w:sz="4" w:space="0" w:color="auto"/>
              <w:bottom w:val="single" w:sz="4" w:space="0" w:color="auto"/>
              <w:right w:val="single" w:sz="4" w:space="0" w:color="auto"/>
            </w:tcBorders>
          </w:tcPr>
          <w:p w:rsidR="00E2477D" w:rsidRPr="00705384" w:rsidRDefault="00E2477D" w:rsidP="00D864F3">
            <w:pPr>
              <w:pStyle w:val="a3"/>
              <w:jc w:val="both"/>
              <w:rPr>
                <w:rFonts w:ascii="Times New Roman" w:hAnsi="Times New Roman"/>
                <w:sz w:val="24"/>
                <w:szCs w:val="24"/>
              </w:rPr>
            </w:pPr>
          </w:p>
        </w:tc>
        <w:tc>
          <w:tcPr>
            <w:tcW w:w="4650" w:type="dxa"/>
            <w:tcBorders>
              <w:top w:val="single" w:sz="4" w:space="0" w:color="auto"/>
              <w:left w:val="single" w:sz="4" w:space="0" w:color="auto"/>
              <w:bottom w:val="single" w:sz="4" w:space="0" w:color="auto"/>
              <w:right w:val="single" w:sz="4" w:space="0" w:color="auto"/>
            </w:tcBorders>
          </w:tcPr>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t>Статья 138. Земли оздоровительного назначения</w:t>
            </w:r>
          </w:p>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t>…</w:t>
            </w:r>
          </w:p>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t>3. В целях создания необходимых условий для охраны земель оздоровительного назначения, лечебных природных факторов, курортов могут устанавливаться зоны с особыми условиями использования (охранные зоны, округа санитарной охраны и другие).</w:t>
            </w:r>
          </w:p>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t>4. Порядок использования земель оздоровительного назначения, установления и использования зон с особыми условиями землепользования определяется действующим законодательством Приднестровской Молдавской Республики.</w:t>
            </w:r>
          </w:p>
          <w:p w:rsidR="00E2477D" w:rsidRPr="00705384" w:rsidRDefault="00E2477D" w:rsidP="00D864F3">
            <w:pPr>
              <w:pStyle w:val="a3"/>
              <w:jc w:val="both"/>
              <w:rPr>
                <w:rFonts w:ascii="Times New Roman" w:hAnsi="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t>Статья 138. Земли оздоровительного назначения</w:t>
            </w:r>
          </w:p>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t>…</w:t>
            </w:r>
          </w:p>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t>3. В целях создания необходимых условий для охраны земель оздоровительного назначения, лечебных природных факторов, курортов могут устанавливаться зоны с особыми условиями использования территорий (охранные зоны, округа санитарной охраны и другие).</w:t>
            </w:r>
          </w:p>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t>4. Порядок использования земель оздоровительного назначения, установления и использования зон с особыми условиями территорий определяется действующим законодательством Приднестровской Молдавской Республики.</w:t>
            </w:r>
          </w:p>
          <w:p w:rsidR="00E2477D" w:rsidRPr="00705384" w:rsidRDefault="00E2477D" w:rsidP="00D864F3">
            <w:pPr>
              <w:pStyle w:val="a3"/>
              <w:jc w:val="both"/>
              <w:rPr>
                <w:rFonts w:ascii="Times New Roman" w:hAnsi="Times New Roman"/>
                <w:sz w:val="24"/>
                <w:szCs w:val="24"/>
              </w:rPr>
            </w:pPr>
          </w:p>
        </w:tc>
      </w:tr>
      <w:tr w:rsidR="00E2477D" w:rsidRPr="00705384" w:rsidTr="00D864F3">
        <w:trPr>
          <w:trHeight w:val="287"/>
        </w:trPr>
        <w:tc>
          <w:tcPr>
            <w:tcW w:w="567" w:type="dxa"/>
            <w:tcBorders>
              <w:top w:val="single" w:sz="4" w:space="0" w:color="auto"/>
              <w:left w:val="single" w:sz="4" w:space="0" w:color="auto"/>
              <w:bottom w:val="single" w:sz="4" w:space="0" w:color="auto"/>
              <w:right w:val="single" w:sz="4" w:space="0" w:color="auto"/>
            </w:tcBorders>
          </w:tcPr>
          <w:p w:rsidR="00E2477D" w:rsidRPr="00705384" w:rsidRDefault="00E2477D" w:rsidP="00D864F3">
            <w:pPr>
              <w:pStyle w:val="a3"/>
              <w:jc w:val="both"/>
              <w:rPr>
                <w:rFonts w:ascii="Times New Roman" w:hAnsi="Times New Roman"/>
                <w:sz w:val="24"/>
                <w:szCs w:val="24"/>
              </w:rPr>
            </w:pPr>
          </w:p>
        </w:tc>
        <w:tc>
          <w:tcPr>
            <w:tcW w:w="4650" w:type="dxa"/>
            <w:tcBorders>
              <w:top w:val="single" w:sz="4" w:space="0" w:color="auto"/>
              <w:left w:val="single" w:sz="4" w:space="0" w:color="auto"/>
              <w:bottom w:val="single" w:sz="4" w:space="0" w:color="auto"/>
              <w:right w:val="single" w:sz="4" w:space="0" w:color="auto"/>
            </w:tcBorders>
          </w:tcPr>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t>Статья 145. Планирование развития территории</w:t>
            </w:r>
          </w:p>
          <w:p w:rsidR="00E2477D" w:rsidRPr="00705384" w:rsidRDefault="00E2477D" w:rsidP="00D864F3">
            <w:pPr>
              <w:pStyle w:val="a3"/>
              <w:jc w:val="both"/>
              <w:rPr>
                <w:rFonts w:ascii="Times New Roman" w:hAnsi="Times New Roman"/>
                <w:sz w:val="24"/>
                <w:szCs w:val="24"/>
              </w:rPr>
            </w:pPr>
          </w:p>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t>1. Хозяйственное и иное освоение территории производится на основе решений органов государственного управления и местных органов власти о планировании развития территории.</w:t>
            </w:r>
          </w:p>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t>2. Планирование осуществляется в целях определения долгосрочной перспективы развития территории на основании социально-экономических программ и утвержденной в установленном порядке землеустроительной, градостроительной, природоохранной и иной документации.</w:t>
            </w:r>
          </w:p>
          <w:p w:rsidR="00E2477D" w:rsidRPr="00705384" w:rsidRDefault="00E2477D" w:rsidP="00D864F3">
            <w:pPr>
              <w:pStyle w:val="a3"/>
              <w:jc w:val="both"/>
              <w:rPr>
                <w:rFonts w:ascii="Times New Roman" w:hAnsi="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t xml:space="preserve">Статья 145. Территориальное планирование </w:t>
            </w:r>
          </w:p>
          <w:p w:rsidR="00E2477D" w:rsidRPr="00705384" w:rsidRDefault="00E2477D" w:rsidP="00D864F3">
            <w:pPr>
              <w:pStyle w:val="a3"/>
              <w:jc w:val="both"/>
              <w:rPr>
                <w:rFonts w:ascii="Times New Roman" w:hAnsi="Times New Roman"/>
                <w:sz w:val="24"/>
                <w:szCs w:val="24"/>
              </w:rPr>
            </w:pPr>
          </w:p>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t>1. Хозяйственное и иное освоение территории производится на основе решений органов государственного управления и местных органов власти о территориальном планировании.</w:t>
            </w:r>
          </w:p>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t>2. Территориальное планирование осуществляется в целях определения долгосрочной перспективы развития территории на основании социально-экономических программ и утвержденной в установленном порядке землеустроительной, градостроительной, природоохранной и иной документации.</w:t>
            </w:r>
          </w:p>
          <w:p w:rsidR="00E2477D" w:rsidRPr="00705384" w:rsidRDefault="00E2477D" w:rsidP="00D864F3">
            <w:pPr>
              <w:pStyle w:val="a3"/>
              <w:jc w:val="both"/>
              <w:rPr>
                <w:rFonts w:ascii="Times New Roman" w:hAnsi="Times New Roman"/>
                <w:sz w:val="24"/>
                <w:szCs w:val="24"/>
              </w:rPr>
            </w:pPr>
          </w:p>
        </w:tc>
      </w:tr>
      <w:tr w:rsidR="00E2477D" w:rsidRPr="00705384" w:rsidTr="00D864F3">
        <w:trPr>
          <w:trHeight w:val="287"/>
        </w:trPr>
        <w:tc>
          <w:tcPr>
            <w:tcW w:w="567" w:type="dxa"/>
            <w:tcBorders>
              <w:top w:val="single" w:sz="4" w:space="0" w:color="auto"/>
              <w:left w:val="single" w:sz="4" w:space="0" w:color="auto"/>
              <w:bottom w:val="single" w:sz="4" w:space="0" w:color="auto"/>
              <w:right w:val="single" w:sz="4" w:space="0" w:color="auto"/>
            </w:tcBorders>
          </w:tcPr>
          <w:p w:rsidR="00E2477D" w:rsidRPr="00705384" w:rsidRDefault="00E2477D" w:rsidP="00D864F3">
            <w:pPr>
              <w:pStyle w:val="a3"/>
              <w:jc w:val="both"/>
              <w:rPr>
                <w:rFonts w:ascii="Times New Roman" w:hAnsi="Times New Roman"/>
                <w:sz w:val="24"/>
                <w:szCs w:val="24"/>
              </w:rPr>
            </w:pPr>
          </w:p>
        </w:tc>
        <w:tc>
          <w:tcPr>
            <w:tcW w:w="4650" w:type="dxa"/>
            <w:tcBorders>
              <w:top w:val="single" w:sz="4" w:space="0" w:color="auto"/>
              <w:left w:val="single" w:sz="4" w:space="0" w:color="auto"/>
              <w:bottom w:val="single" w:sz="4" w:space="0" w:color="auto"/>
              <w:right w:val="single" w:sz="4" w:space="0" w:color="auto"/>
            </w:tcBorders>
          </w:tcPr>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t>Статья 169. Назначение и содержание землеустройства</w:t>
            </w:r>
          </w:p>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lastRenderedPageBreak/>
              <w:t>2. Основные направления землеустроительной деятельности:</w:t>
            </w:r>
          </w:p>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t>а) научное обоснование земельных преобразований и прогнозирование оптимального перераспределения земель;</w:t>
            </w:r>
          </w:p>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t>б) планирование и организация рационального использования земель;</w:t>
            </w:r>
          </w:p>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t>…</w:t>
            </w:r>
          </w:p>
        </w:tc>
        <w:tc>
          <w:tcPr>
            <w:tcW w:w="4961" w:type="dxa"/>
            <w:tcBorders>
              <w:top w:val="single" w:sz="4" w:space="0" w:color="auto"/>
              <w:left w:val="single" w:sz="4" w:space="0" w:color="auto"/>
              <w:bottom w:val="single" w:sz="4" w:space="0" w:color="auto"/>
              <w:right w:val="single" w:sz="4" w:space="0" w:color="auto"/>
            </w:tcBorders>
          </w:tcPr>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lastRenderedPageBreak/>
              <w:t>Статья 169. Назначение и содержание землеустройства</w:t>
            </w:r>
          </w:p>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lastRenderedPageBreak/>
              <w:t>2. Основные направления землеустроительной деятельности:</w:t>
            </w:r>
          </w:p>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t>а) научное обоснование земельных преобразований и прогнозирование оптимального перераспределения земель;</w:t>
            </w:r>
          </w:p>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t>б) территориальное планирование и организация рационального использования земель;</w:t>
            </w:r>
          </w:p>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t>…</w:t>
            </w:r>
          </w:p>
        </w:tc>
      </w:tr>
      <w:tr w:rsidR="00E2477D" w:rsidRPr="00705384" w:rsidTr="00D864F3">
        <w:trPr>
          <w:trHeight w:val="287"/>
        </w:trPr>
        <w:tc>
          <w:tcPr>
            <w:tcW w:w="567" w:type="dxa"/>
            <w:tcBorders>
              <w:top w:val="single" w:sz="4" w:space="0" w:color="auto"/>
              <w:left w:val="single" w:sz="4" w:space="0" w:color="auto"/>
              <w:bottom w:val="single" w:sz="4" w:space="0" w:color="auto"/>
              <w:right w:val="single" w:sz="4" w:space="0" w:color="auto"/>
            </w:tcBorders>
          </w:tcPr>
          <w:p w:rsidR="00E2477D" w:rsidRPr="00705384" w:rsidRDefault="00E2477D" w:rsidP="00D864F3">
            <w:pPr>
              <w:pStyle w:val="a3"/>
              <w:jc w:val="both"/>
              <w:rPr>
                <w:rFonts w:ascii="Times New Roman" w:hAnsi="Times New Roman"/>
                <w:sz w:val="24"/>
                <w:szCs w:val="24"/>
              </w:rPr>
            </w:pPr>
          </w:p>
        </w:tc>
        <w:tc>
          <w:tcPr>
            <w:tcW w:w="4650" w:type="dxa"/>
            <w:tcBorders>
              <w:top w:val="single" w:sz="4" w:space="0" w:color="auto"/>
              <w:left w:val="single" w:sz="4" w:space="0" w:color="auto"/>
              <w:bottom w:val="single" w:sz="4" w:space="0" w:color="auto"/>
              <w:right w:val="single" w:sz="4" w:space="0" w:color="auto"/>
            </w:tcBorders>
          </w:tcPr>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t>Статья 172. Состав землеустроительной документации и ее назначение</w:t>
            </w:r>
          </w:p>
          <w:p w:rsidR="00E2477D" w:rsidRPr="00705384" w:rsidRDefault="00E2477D" w:rsidP="00D864F3">
            <w:pPr>
              <w:pStyle w:val="a3"/>
              <w:jc w:val="both"/>
              <w:rPr>
                <w:rFonts w:ascii="Times New Roman" w:hAnsi="Times New Roman"/>
                <w:sz w:val="24"/>
                <w:szCs w:val="24"/>
              </w:rPr>
            </w:pPr>
          </w:p>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t>В процессе землеустройства проводится комплекс взаимоувязанных проектных, обследовательских и изыскательских работ с изготовлением следующих основных видов землеустроительной документации:</w:t>
            </w:r>
          </w:p>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t>а) государственные (общереспубликанские), районные прогнозы, программы использования и охраны земельных ресурсов, предназначенные для взаимоувязанного решения проблем планирования и организации рационального использования и охраны земель всех категорий в комплексе с другими природоохранными мероприятиями;</w:t>
            </w:r>
          </w:p>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t>…</w:t>
            </w:r>
          </w:p>
        </w:tc>
        <w:tc>
          <w:tcPr>
            <w:tcW w:w="4961" w:type="dxa"/>
            <w:tcBorders>
              <w:top w:val="single" w:sz="4" w:space="0" w:color="auto"/>
              <w:left w:val="single" w:sz="4" w:space="0" w:color="auto"/>
              <w:bottom w:val="single" w:sz="4" w:space="0" w:color="auto"/>
              <w:right w:val="single" w:sz="4" w:space="0" w:color="auto"/>
            </w:tcBorders>
          </w:tcPr>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t>Статья 172. Состав землеустроительной документации и ее назначение</w:t>
            </w:r>
          </w:p>
          <w:p w:rsidR="00E2477D" w:rsidRPr="00705384" w:rsidRDefault="00E2477D" w:rsidP="00D864F3">
            <w:pPr>
              <w:pStyle w:val="a3"/>
              <w:jc w:val="both"/>
              <w:rPr>
                <w:rFonts w:ascii="Times New Roman" w:hAnsi="Times New Roman"/>
                <w:sz w:val="24"/>
                <w:szCs w:val="24"/>
              </w:rPr>
            </w:pPr>
          </w:p>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t>В процессе землеустройства проводится комплекс взаимоувязанных проектных, обследовательских и изыскательских работ с изготовлением следующих основных видов землеустроительной документации:</w:t>
            </w:r>
          </w:p>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t>а) государственные (общереспубликанские), районные прогнозы, программы использования и охраны земельных ресурсов, предназначенные для взаимоувязанного решения проблем территориального планирования и организации рационального использования и охраны земель всех категорий в комплексе с другими природоохранными мероприятиями;</w:t>
            </w:r>
          </w:p>
          <w:p w:rsidR="00E2477D" w:rsidRPr="00705384" w:rsidRDefault="00E2477D" w:rsidP="00D864F3">
            <w:pPr>
              <w:pStyle w:val="a3"/>
              <w:jc w:val="both"/>
              <w:rPr>
                <w:rFonts w:ascii="Times New Roman" w:hAnsi="Times New Roman"/>
                <w:sz w:val="24"/>
                <w:szCs w:val="24"/>
              </w:rPr>
            </w:pPr>
            <w:r w:rsidRPr="00705384">
              <w:rPr>
                <w:rFonts w:ascii="Times New Roman" w:hAnsi="Times New Roman"/>
                <w:sz w:val="24"/>
                <w:szCs w:val="24"/>
              </w:rPr>
              <w:t>…</w:t>
            </w:r>
          </w:p>
        </w:tc>
      </w:tr>
    </w:tbl>
    <w:p w:rsidR="00E2477D" w:rsidRPr="00705384" w:rsidRDefault="00E2477D" w:rsidP="00E2477D">
      <w:pPr>
        <w:pStyle w:val="a3"/>
        <w:jc w:val="both"/>
        <w:rPr>
          <w:rFonts w:ascii="Times New Roman" w:hAnsi="Times New Roman"/>
          <w:sz w:val="24"/>
          <w:szCs w:val="24"/>
        </w:rPr>
      </w:pPr>
    </w:p>
    <w:p w:rsidR="007D08A0" w:rsidRDefault="007D08A0">
      <w:bookmarkStart w:id="0" w:name="_GoBack"/>
      <w:bookmarkEnd w:id="0"/>
    </w:p>
    <w:sectPr w:rsidR="007D08A0" w:rsidSect="00705384">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3BE"/>
    <w:rsid w:val="007D08A0"/>
    <w:rsid w:val="008D33BE"/>
    <w:rsid w:val="00E24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A2BD6B1-D5B5-49A3-8D2E-3532C817E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47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2477D"/>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2954</Words>
  <Characters>16838</Characters>
  <Application>Microsoft Office Word</Application>
  <DocSecurity>0</DocSecurity>
  <Lines>140</Lines>
  <Paragraphs>39</Paragraphs>
  <ScaleCrop>false</ScaleCrop>
  <Company/>
  <LinksUpToDate>false</LinksUpToDate>
  <CharactersWithSpaces>19753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 Елена Дмитриевна</dc:creator>
  <cp:keywords/>
  <dc:description/>
  <cp:lastModifiedBy>Гончар Елена Дмитриевна</cp:lastModifiedBy>
  <cp:revision>2</cp:revision>
  <dcterms:created xsi:type="dcterms:W3CDTF">2025-02-06T13:58:00Z</dcterms:created>
  <dcterms:modified xsi:type="dcterms:W3CDTF">2025-02-06T13:58:00Z</dcterms:modified>
</cp:coreProperties>
</file>