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4F2" w:rsidRPr="008143E7" w:rsidRDefault="009E54F2" w:rsidP="009E54F2">
      <w:pPr>
        <w:spacing w:after="0" w:line="240" w:lineRule="auto"/>
        <w:jc w:val="center"/>
        <w:rPr>
          <w:rFonts w:ascii="Times New Roman" w:hAnsi="Times New Roman" w:cs="Times New Roman"/>
          <w:b/>
          <w:color w:val="000000" w:themeColor="text1"/>
          <w:sz w:val="28"/>
          <w:szCs w:val="28"/>
        </w:rPr>
      </w:pPr>
      <w:r w:rsidRPr="008143E7">
        <w:rPr>
          <w:rFonts w:ascii="Times New Roman" w:hAnsi="Times New Roman" w:cs="Times New Roman"/>
          <w:b/>
          <w:color w:val="000000" w:themeColor="text1"/>
          <w:sz w:val="28"/>
          <w:szCs w:val="28"/>
        </w:rPr>
        <w:t>Сравнительная таблица</w:t>
      </w:r>
    </w:p>
    <w:p w:rsidR="009E54F2" w:rsidRPr="008143E7" w:rsidRDefault="009E54F2" w:rsidP="009E54F2">
      <w:pPr>
        <w:spacing w:after="0" w:line="240" w:lineRule="auto"/>
        <w:jc w:val="center"/>
        <w:rPr>
          <w:rFonts w:ascii="Times New Roman" w:hAnsi="Times New Roman" w:cs="Times New Roman"/>
          <w:b/>
          <w:color w:val="000000" w:themeColor="text1"/>
          <w:sz w:val="28"/>
          <w:szCs w:val="28"/>
        </w:rPr>
      </w:pPr>
      <w:r w:rsidRPr="008143E7">
        <w:rPr>
          <w:rFonts w:ascii="Times New Roman" w:hAnsi="Times New Roman" w:cs="Times New Roman"/>
          <w:b/>
          <w:color w:val="000000" w:themeColor="text1"/>
          <w:sz w:val="28"/>
          <w:szCs w:val="28"/>
        </w:rPr>
        <w:t xml:space="preserve">к проекту закона Приднестровской Молдавской Республики </w:t>
      </w:r>
    </w:p>
    <w:p w:rsidR="00BA7A53" w:rsidRDefault="009E54F2" w:rsidP="009E54F2">
      <w:pPr>
        <w:spacing w:after="0" w:line="240" w:lineRule="auto"/>
        <w:jc w:val="center"/>
        <w:rPr>
          <w:rFonts w:ascii="Times New Roman" w:hAnsi="Times New Roman" w:cs="Times New Roman"/>
          <w:b/>
          <w:color w:val="000000" w:themeColor="text1"/>
          <w:sz w:val="28"/>
          <w:szCs w:val="28"/>
        </w:rPr>
      </w:pPr>
      <w:r w:rsidRPr="00A20E46">
        <w:rPr>
          <w:rFonts w:ascii="Times New Roman" w:hAnsi="Times New Roman" w:cs="Times New Roman"/>
          <w:b/>
          <w:color w:val="000000" w:themeColor="text1"/>
          <w:sz w:val="28"/>
          <w:szCs w:val="28"/>
        </w:rPr>
        <w:t xml:space="preserve"> «О внесении изменени</w:t>
      </w:r>
      <w:r w:rsidR="00BA7A53">
        <w:rPr>
          <w:rFonts w:ascii="Times New Roman" w:hAnsi="Times New Roman" w:cs="Times New Roman"/>
          <w:b/>
          <w:color w:val="000000" w:themeColor="text1"/>
          <w:sz w:val="28"/>
          <w:szCs w:val="28"/>
        </w:rPr>
        <w:t>й</w:t>
      </w:r>
      <w:r w:rsidRPr="00A20E46">
        <w:rPr>
          <w:rFonts w:ascii="Times New Roman" w:hAnsi="Times New Roman" w:cs="Times New Roman"/>
          <w:b/>
          <w:color w:val="000000" w:themeColor="text1"/>
          <w:sz w:val="28"/>
          <w:szCs w:val="28"/>
        </w:rPr>
        <w:t xml:space="preserve"> в</w:t>
      </w:r>
    </w:p>
    <w:p w:rsidR="009E54F2" w:rsidRPr="00A20E46" w:rsidRDefault="009E54F2" w:rsidP="009E54F2">
      <w:pPr>
        <w:spacing w:after="0" w:line="240" w:lineRule="auto"/>
        <w:jc w:val="center"/>
        <w:rPr>
          <w:rFonts w:ascii="Times New Roman" w:hAnsi="Times New Roman" w:cs="Times New Roman"/>
          <w:b/>
          <w:color w:val="000000" w:themeColor="text1"/>
          <w:sz w:val="28"/>
          <w:szCs w:val="28"/>
        </w:rPr>
      </w:pPr>
      <w:r w:rsidRPr="00A20E46">
        <w:rPr>
          <w:rFonts w:ascii="Times New Roman" w:hAnsi="Times New Roman" w:cs="Times New Roman"/>
          <w:b/>
          <w:color w:val="000000" w:themeColor="text1"/>
          <w:sz w:val="28"/>
          <w:szCs w:val="28"/>
        </w:rPr>
        <w:t xml:space="preserve"> Закон Приднестровской Молдавской Республики </w:t>
      </w:r>
    </w:p>
    <w:p w:rsidR="009E54F2" w:rsidRPr="00A20E46" w:rsidRDefault="009E54F2" w:rsidP="009E54F2">
      <w:pPr>
        <w:spacing w:after="0" w:line="240" w:lineRule="auto"/>
        <w:jc w:val="center"/>
        <w:rPr>
          <w:rFonts w:ascii="Times New Roman" w:hAnsi="Times New Roman" w:cs="Times New Roman"/>
          <w:b/>
          <w:color w:val="000000" w:themeColor="text1"/>
          <w:sz w:val="28"/>
          <w:szCs w:val="28"/>
        </w:rPr>
      </w:pPr>
      <w:r w:rsidRPr="00A20E46">
        <w:rPr>
          <w:rFonts w:ascii="Times New Roman" w:hAnsi="Times New Roman" w:cs="Times New Roman"/>
          <w:b/>
          <w:color w:val="000000" w:themeColor="text1"/>
          <w:sz w:val="28"/>
          <w:szCs w:val="28"/>
        </w:rPr>
        <w:t xml:space="preserve">«О заработной плате работников бюджетной сферы, </w:t>
      </w:r>
    </w:p>
    <w:p w:rsidR="009E54F2" w:rsidRPr="00A20E46" w:rsidRDefault="009E54F2" w:rsidP="009E54F2">
      <w:pPr>
        <w:spacing w:after="0" w:line="240" w:lineRule="auto"/>
        <w:jc w:val="center"/>
        <w:rPr>
          <w:rFonts w:ascii="Times New Roman" w:hAnsi="Times New Roman" w:cs="Times New Roman"/>
          <w:b/>
          <w:color w:val="000000" w:themeColor="text1"/>
          <w:sz w:val="28"/>
          <w:szCs w:val="28"/>
        </w:rPr>
      </w:pPr>
      <w:r w:rsidRPr="00A20E46">
        <w:rPr>
          <w:rFonts w:ascii="Times New Roman" w:hAnsi="Times New Roman" w:cs="Times New Roman"/>
          <w:b/>
          <w:color w:val="000000" w:themeColor="text1"/>
          <w:sz w:val="28"/>
          <w:szCs w:val="28"/>
        </w:rPr>
        <w:t xml:space="preserve">денежном довольствии военнослужащих и лиц, </w:t>
      </w:r>
    </w:p>
    <w:p w:rsidR="009E54F2" w:rsidRDefault="009E54F2" w:rsidP="009E54F2">
      <w:pPr>
        <w:spacing w:after="0" w:line="240" w:lineRule="auto"/>
        <w:jc w:val="center"/>
        <w:rPr>
          <w:rFonts w:ascii="Times New Roman" w:hAnsi="Times New Roman" w:cs="Times New Roman"/>
          <w:b/>
          <w:color w:val="000000" w:themeColor="text1"/>
          <w:sz w:val="28"/>
          <w:szCs w:val="28"/>
        </w:rPr>
      </w:pPr>
      <w:r w:rsidRPr="00A20E46">
        <w:rPr>
          <w:rFonts w:ascii="Times New Roman" w:hAnsi="Times New Roman" w:cs="Times New Roman"/>
          <w:b/>
          <w:color w:val="000000" w:themeColor="text1"/>
          <w:sz w:val="28"/>
          <w:szCs w:val="28"/>
        </w:rPr>
        <w:t>приравненных к ним по условиям выплат денежного довольствия, денежном содержании государственных гражданских служащих»</w:t>
      </w:r>
    </w:p>
    <w:p w:rsidR="009E54F2" w:rsidRPr="008143E7" w:rsidRDefault="009E54F2" w:rsidP="009E54F2">
      <w:pPr>
        <w:spacing w:after="0" w:line="240" w:lineRule="auto"/>
        <w:jc w:val="center"/>
        <w:rPr>
          <w:rFonts w:ascii="Times New Roman" w:hAnsi="Times New Roman" w:cs="Times New Roman"/>
          <w:b/>
          <w:color w:val="000000" w:themeColor="text1"/>
        </w:rPr>
      </w:pPr>
    </w:p>
    <w:tbl>
      <w:tblPr>
        <w:tblStyle w:val="a3"/>
        <w:tblW w:w="10911" w:type="dxa"/>
        <w:tblInd w:w="-426" w:type="dxa"/>
        <w:tblLook w:val="04A0" w:firstRow="1" w:lastRow="0" w:firstColumn="1" w:lastColumn="0" w:noHBand="0" w:noVBand="1"/>
      </w:tblPr>
      <w:tblGrid>
        <w:gridCol w:w="5383"/>
        <w:gridCol w:w="5528"/>
      </w:tblGrid>
      <w:tr w:rsidR="009E54F2" w:rsidRPr="00BF4ECB" w:rsidTr="008A5F8E">
        <w:trPr>
          <w:trHeight w:val="350"/>
        </w:trPr>
        <w:tc>
          <w:tcPr>
            <w:tcW w:w="5383" w:type="dxa"/>
          </w:tcPr>
          <w:p w:rsidR="009E54F2" w:rsidRPr="00BF4ECB" w:rsidRDefault="009E54F2" w:rsidP="008A5F8E">
            <w:pPr>
              <w:jc w:val="center"/>
              <w:rPr>
                <w:rFonts w:ascii="Times New Roman" w:hAnsi="Times New Roman" w:cs="Times New Roman"/>
                <w:b/>
                <w:color w:val="000000" w:themeColor="text1"/>
                <w:sz w:val="24"/>
              </w:rPr>
            </w:pPr>
            <w:r w:rsidRPr="00BF4ECB">
              <w:rPr>
                <w:rFonts w:ascii="Times New Roman" w:hAnsi="Times New Roman" w:cs="Times New Roman"/>
                <w:b/>
                <w:color w:val="000000" w:themeColor="text1"/>
                <w:sz w:val="24"/>
              </w:rPr>
              <w:t>Действующая редакция</w:t>
            </w:r>
          </w:p>
        </w:tc>
        <w:tc>
          <w:tcPr>
            <w:tcW w:w="5528" w:type="dxa"/>
          </w:tcPr>
          <w:p w:rsidR="009E54F2" w:rsidRPr="00BF4ECB" w:rsidRDefault="009E54F2" w:rsidP="008A5F8E">
            <w:pPr>
              <w:jc w:val="center"/>
              <w:rPr>
                <w:rFonts w:ascii="Times New Roman" w:hAnsi="Times New Roman" w:cs="Times New Roman"/>
                <w:b/>
                <w:color w:val="000000" w:themeColor="text1"/>
                <w:sz w:val="24"/>
              </w:rPr>
            </w:pPr>
            <w:r w:rsidRPr="00BF4ECB">
              <w:rPr>
                <w:rFonts w:ascii="Times New Roman" w:hAnsi="Times New Roman" w:cs="Times New Roman"/>
                <w:b/>
                <w:color w:val="000000" w:themeColor="text1"/>
                <w:sz w:val="24"/>
              </w:rPr>
              <w:t>Предлагаемая редакция</w:t>
            </w:r>
          </w:p>
        </w:tc>
      </w:tr>
      <w:tr w:rsidR="009E54F2" w:rsidRPr="00BF4ECB" w:rsidTr="008A5F8E">
        <w:trPr>
          <w:trHeight w:val="350"/>
        </w:trPr>
        <w:tc>
          <w:tcPr>
            <w:tcW w:w="5383" w:type="dxa"/>
          </w:tcPr>
          <w:p w:rsidR="009E54F2" w:rsidRPr="00BF4ECB" w:rsidRDefault="009E54F2" w:rsidP="008A5F8E">
            <w:pPr>
              <w:pStyle w:val="a4"/>
              <w:ind w:firstLine="708"/>
              <w:jc w:val="both"/>
              <w:rPr>
                <w:rFonts w:ascii="Times New Roman" w:eastAsiaTheme="minorHAnsi" w:hAnsi="Times New Roman" w:cs="Times New Roman"/>
                <w:b/>
                <w:color w:val="000000" w:themeColor="text1"/>
                <w:sz w:val="24"/>
                <w:szCs w:val="24"/>
                <w:lang w:eastAsia="en-US"/>
              </w:rPr>
            </w:pPr>
          </w:p>
          <w:p w:rsidR="009E54F2" w:rsidRPr="00467969" w:rsidRDefault="009E54F2" w:rsidP="008A5F8E">
            <w:pPr>
              <w:ind w:firstLine="167"/>
              <w:jc w:val="both"/>
              <w:rPr>
                <w:rFonts w:ascii="Times New Roman" w:hAnsi="Times New Roman" w:cs="Times New Roman"/>
                <w:b/>
                <w:sz w:val="24"/>
              </w:rPr>
            </w:pPr>
            <w:r w:rsidRPr="00467969">
              <w:rPr>
                <w:rFonts w:ascii="Times New Roman" w:hAnsi="Times New Roman" w:cs="Times New Roman"/>
                <w:b/>
                <w:sz w:val="24"/>
              </w:rPr>
              <w:t>Часть тринадцатая пункта 4 статьи 10</w:t>
            </w:r>
          </w:p>
          <w:p w:rsidR="009E54F2" w:rsidRDefault="009E54F2" w:rsidP="008A5F8E">
            <w:pPr>
              <w:ind w:firstLine="167"/>
              <w:jc w:val="both"/>
              <w:rPr>
                <w:rFonts w:ascii="Times New Roman" w:hAnsi="Times New Roman" w:cs="Times New Roman"/>
                <w:sz w:val="24"/>
              </w:rPr>
            </w:pPr>
          </w:p>
          <w:p w:rsidR="009E54F2" w:rsidRPr="009A3082" w:rsidRDefault="009E54F2" w:rsidP="008A5F8E">
            <w:pPr>
              <w:ind w:firstLine="167"/>
              <w:jc w:val="both"/>
              <w:rPr>
                <w:rFonts w:ascii="Times New Roman" w:hAnsi="Times New Roman" w:cs="Times New Roman"/>
                <w:b/>
                <w:sz w:val="24"/>
              </w:rPr>
            </w:pPr>
            <w:r w:rsidRPr="00A20E46">
              <w:rPr>
                <w:rFonts w:ascii="Times New Roman" w:hAnsi="Times New Roman" w:cs="Times New Roman"/>
                <w:sz w:val="24"/>
              </w:rPr>
              <w:t xml:space="preserve">При тарификации педагогическая нагрузка не должна превышать 1,5 ставки в течение учебного года, за исключением случаев, предусмотренных частями </w:t>
            </w:r>
            <w:r w:rsidRPr="009A3082">
              <w:rPr>
                <w:rFonts w:ascii="Times New Roman" w:hAnsi="Times New Roman" w:cs="Times New Roman"/>
                <w:b/>
                <w:sz w:val="24"/>
              </w:rPr>
              <w:t>четырнадцатой и пятнадцатой настоящего пункта.</w:t>
            </w:r>
          </w:p>
          <w:p w:rsidR="009E54F2" w:rsidRPr="00BF4ECB" w:rsidRDefault="009E54F2" w:rsidP="008A5F8E">
            <w:pPr>
              <w:ind w:firstLine="167"/>
              <w:jc w:val="both"/>
              <w:rPr>
                <w:rFonts w:ascii="Times New Roman" w:hAnsi="Times New Roman" w:cs="Times New Roman"/>
                <w:sz w:val="24"/>
              </w:rPr>
            </w:pPr>
          </w:p>
        </w:tc>
        <w:tc>
          <w:tcPr>
            <w:tcW w:w="5528" w:type="dxa"/>
          </w:tcPr>
          <w:p w:rsidR="009E54F2" w:rsidRPr="00BF4ECB" w:rsidRDefault="009E54F2" w:rsidP="008A5F8E">
            <w:pPr>
              <w:ind w:firstLine="709"/>
              <w:rPr>
                <w:rFonts w:ascii="Times New Roman" w:hAnsi="Times New Roman" w:cs="Times New Roman"/>
                <w:b/>
                <w:color w:val="000000" w:themeColor="text1"/>
                <w:sz w:val="24"/>
              </w:rPr>
            </w:pPr>
            <w:r w:rsidRPr="00BF4ECB">
              <w:rPr>
                <w:rFonts w:ascii="Times New Roman" w:hAnsi="Times New Roman" w:cs="Times New Roman"/>
                <w:b/>
                <w:color w:val="000000" w:themeColor="text1"/>
                <w:sz w:val="24"/>
              </w:rPr>
              <w:t xml:space="preserve"> </w:t>
            </w:r>
          </w:p>
          <w:p w:rsidR="009E54F2" w:rsidRDefault="009E54F2" w:rsidP="008A5F8E">
            <w:pPr>
              <w:ind w:firstLine="167"/>
              <w:jc w:val="both"/>
              <w:rPr>
                <w:rFonts w:ascii="Times New Roman" w:hAnsi="Times New Roman" w:cs="Times New Roman"/>
                <w:sz w:val="24"/>
              </w:rPr>
            </w:pPr>
            <w:r w:rsidRPr="00467969">
              <w:rPr>
                <w:rFonts w:ascii="Times New Roman" w:hAnsi="Times New Roman" w:cs="Times New Roman"/>
                <w:b/>
                <w:sz w:val="24"/>
              </w:rPr>
              <w:t>Часть тринадцатая пункта 4 статьи 10</w:t>
            </w:r>
          </w:p>
          <w:p w:rsidR="009E54F2" w:rsidRDefault="009E54F2" w:rsidP="008A5F8E">
            <w:pPr>
              <w:ind w:firstLine="720"/>
              <w:jc w:val="both"/>
              <w:rPr>
                <w:rFonts w:ascii="Times New Roman" w:hAnsi="Times New Roman" w:cs="Times New Roman"/>
                <w:sz w:val="24"/>
              </w:rPr>
            </w:pPr>
          </w:p>
          <w:p w:rsidR="009E54F2" w:rsidRPr="00BF4ECB" w:rsidRDefault="009E54F2" w:rsidP="009A3082">
            <w:pPr>
              <w:ind w:firstLine="720"/>
              <w:jc w:val="both"/>
              <w:rPr>
                <w:rFonts w:ascii="Times New Roman" w:hAnsi="Times New Roman" w:cs="Times New Roman"/>
                <w:sz w:val="24"/>
              </w:rPr>
            </w:pPr>
            <w:r w:rsidRPr="00E8455A">
              <w:rPr>
                <w:rFonts w:ascii="Times New Roman" w:hAnsi="Times New Roman" w:cs="Times New Roman"/>
                <w:sz w:val="24"/>
              </w:rPr>
              <w:t xml:space="preserve">При тарификации педагогическая нагрузка не должна превышать 1,5 ставки в течение учебного года, за исключением случаев, предусмотренных частями </w:t>
            </w:r>
            <w:r w:rsidRPr="009A3082">
              <w:rPr>
                <w:rFonts w:ascii="Times New Roman" w:hAnsi="Times New Roman" w:cs="Times New Roman"/>
                <w:b/>
                <w:sz w:val="24"/>
              </w:rPr>
              <w:t>четырнадцатой,</w:t>
            </w:r>
            <w:r w:rsidRPr="00E8455A">
              <w:rPr>
                <w:rFonts w:ascii="Times New Roman" w:hAnsi="Times New Roman" w:cs="Times New Roman"/>
                <w:sz w:val="24"/>
              </w:rPr>
              <w:t xml:space="preserve"> </w:t>
            </w:r>
            <w:r w:rsidRPr="009A3082">
              <w:rPr>
                <w:rFonts w:ascii="Times New Roman" w:hAnsi="Times New Roman" w:cs="Times New Roman"/>
                <w:b/>
                <w:sz w:val="24"/>
              </w:rPr>
              <w:t>пятнадцатой и шестнадцатой настоящего пункта.</w:t>
            </w:r>
          </w:p>
        </w:tc>
      </w:tr>
      <w:tr w:rsidR="009E54F2" w:rsidRPr="00BF4ECB" w:rsidTr="008A5F8E">
        <w:trPr>
          <w:trHeight w:val="350"/>
        </w:trPr>
        <w:tc>
          <w:tcPr>
            <w:tcW w:w="5383" w:type="dxa"/>
          </w:tcPr>
          <w:p w:rsidR="009E54F2" w:rsidRPr="00346D8E" w:rsidRDefault="009E54F2" w:rsidP="008A5F8E">
            <w:pPr>
              <w:ind w:firstLine="167"/>
              <w:jc w:val="both"/>
              <w:rPr>
                <w:rFonts w:ascii="Times New Roman" w:hAnsi="Times New Roman" w:cs="Times New Roman"/>
                <w:b/>
                <w:sz w:val="24"/>
              </w:rPr>
            </w:pPr>
            <w:r w:rsidRPr="00346D8E">
              <w:rPr>
                <w:rFonts w:ascii="Times New Roman" w:hAnsi="Times New Roman" w:cs="Times New Roman"/>
                <w:b/>
                <w:sz w:val="24"/>
              </w:rPr>
              <w:t>Часть четырнадцатая</w:t>
            </w:r>
            <w:r w:rsidR="00346D8E" w:rsidRPr="00346D8E">
              <w:rPr>
                <w:rFonts w:ascii="Times New Roman" w:hAnsi="Times New Roman" w:cs="Times New Roman"/>
                <w:b/>
                <w:sz w:val="24"/>
              </w:rPr>
              <w:t xml:space="preserve"> пункта 4 статьи 10</w:t>
            </w:r>
          </w:p>
          <w:p w:rsidR="009E54F2" w:rsidRDefault="009E54F2" w:rsidP="008A5F8E">
            <w:pPr>
              <w:ind w:firstLine="167"/>
              <w:jc w:val="both"/>
              <w:rPr>
                <w:rFonts w:ascii="Times New Roman" w:hAnsi="Times New Roman" w:cs="Times New Roman"/>
                <w:sz w:val="24"/>
              </w:rPr>
            </w:pPr>
          </w:p>
          <w:p w:rsidR="009E54F2" w:rsidRDefault="00346D8E" w:rsidP="008A5F8E">
            <w:pPr>
              <w:ind w:firstLine="167"/>
              <w:jc w:val="both"/>
              <w:rPr>
                <w:rFonts w:ascii="Times New Roman" w:hAnsi="Times New Roman" w:cs="Times New Roman"/>
                <w:sz w:val="24"/>
              </w:rPr>
            </w:pPr>
            <w:r>
              <w:rPr>
                <w:rFonts w:ascii="Times New Roman" w:hAnsi="Times New Roman" w:cs="Times New Roman"/>
                <w:sz w:val="24"/>
              </w:rPr>
              <w:t xml:space="preserve"> </w:t>
            </w:r>
            <w:r w:rsidR="009E54F2" w:rsidRPr="00A20E46">
              <w:rPr>
                <w:rFonts w:ascii="Times New Roman" w:hAnsi="Times New Roman" w:cs="Times New Roman"/>
                <w:sz w:val="24"/>
              </w:rPr>
              <w:t>Педагогическая нагрузка в размере до 2 (двух) ставок разрешается для кандидатов наук и докторов наук в организациях высшего профессионального образования.</w:t>
            </w:r>
          </w:p>
          <w:p w:rsidR="009E54F2" w:rsidRPr="00BF4ECB" w:rsidRDefault="009E54F2" w:rsidP="008A5F8E">
            <w:pPr>
              <w:pStyle w:val="a4"/>
              <w:ind w:firstLine="708"/>
              <w:jc w:val="both"/>
              <w:rPr>
                <w:rFonts w:ascii="Times New Roman" w:eastAsiaTheme="minorHAnsi" w:hAnsi="Times New Roman" w:cs="Times New Roman"/>
                <w:b/>
                <w:color w:val="000000" w:themeColor="text1"/>
                <w:sz w:val="24"/>
                <w:szCs w:val="24"/>
                <w:lang w:eastAsia="en-US"/>
              </w:rPr>
            </w:pPr>
          </w:p>
        </w:tc>
        <w:tc>
          <w:tcPr>
            <w:tcW w:w="5528" w:type="dxa"/>
          </w:tcPr>
          <w:p w:rsidR="009E54F2" w:rsidRPr="00346D8E" w:rsidRDefault="009E54F2" w:rsidP="008A5F8E">
            <w:pPr>
              <w:ind w:firstLine="167"/>
              <w:jc w:val="both"/>
              <w:rPr>
                <w:rFonts w:ascii="Times New Roman" w:hAnsi="Times New Roman" w:cs="Times New Roman"/>
                <w:b/>
                <w:sz w:val="24"/>
              </w:rPr>
            </w:pPr>
            <w:r w:rsidRPr="00346D8E">
              <w:rPr>
                <w:rFonts w:ascii="Times New Roman" w:hAnsi="Times New Roman" w:cs="Times New Roman"/>
                <w:b/>
                <w:sz w:val="24"/>
              </w:rPr>
              <w:t>Часть четырнадцатая</w:t>
            </w:r>
            <w:r w:rsidR="00346D8E" w:rsidRPr="00346D8E">
              <w:rPr>
                <w:rFonts w:ascii="Times New Roman" w:hAnsi="Times New Roman" w:cs="Times New Roman"/>
                <w:b/>
                <w:sz w:val="24"/>
              </w:rPr>
              <w:t xml:space="preserve"> пункта 4 статьи 10</w:t>
            </w:r>
          </w:p>
          <w:p w:rsidR="009E54F2" w:rsidRDefault="009E54F2" w:rsidP="008A5F8E">
            <w:pPr>
              <w:ind w:firstLine="709"/>
              <w:rPr>
                <w:rFonts w:ascii="Times New Roman" w:hAnsi="Times New Roman" w:cs="Times New Roman"/>
                <w:b/>
                <w:color w:val="000000" w:themeColor="text1"/>
                <w:sz w:val="24"/>
              </w:rPr>
            </w:pPr>
          </w:p>
          <w:p w:rsidR="009E54F2" w:rsidRDefault="009E54F2" w:rsidP="008A5F8E">
            <w:pPr>
              <w:ind w:firstLine="178"/>
              <w:jc w:val="both"/>
              <w:rPr>
                <w:rFonts w:ascii="Times New Roman" w:hAnsi="Times New Roman" w:cs="Times New Roman"/>
                <w:color w:val="000000" w:themeColor="text1"/>
                <w:sz w:val="24"/>
              </w:rPr>
            </w:pPr>
            <w:r w:rsidRPr="00E8455A">
              <w:rPr>
                <w:rFonts w:ascii="Times New Roman" w:hAnsi="Times New Roman" w:cs="Times New Roman"/>
                <w:color w:val="000000" w:themeColor="text1"/>
                <w:sz w:val="24"/>
              </w:rPr>
              <w:t>Лицам, имеющим ученую степень кандидата наук или доктора наук, разрешается вести педагогическую работу с нагрузкой в размере не более 2 (двух) ставок в организациях высшего профессионального образования.</w:t>
            </w:r>
          </w:p>
          <w:p w:rsidR="009E54F2" w:rsidRPr="00A20E46" w:rsidRDefault="009E54F2" w:rsidP="008A5F8E">
            <w:pPr>
              <w:ind w:firstLine="178"/>
              <w:jc w:val="both"/>
              <w:rPr>
                <w:rFonts w:ascii="Times New Roman" w:hAnsi="Times New Roman" w:cs="Times New Roman"/>
                <w:color w:val="000000" w:themeColor="text1"/>
                <w:sz w:val="24"/>
              </w:rPr>
            </w:pPr>
          </w:p>
        </w:tc>
      </w:tr>
      <w:tr w:rsidR="009E54F2" w:rsidRPr="00BF4ECB" w:rsidTr="008A5F8E">
        <w:trPr>
          <w:trHeight w:val="350"/>
        </w:trPr>
        <w:tc>
          <w:tcPr>
            <w:tcW w:w="5383" w:type="dxa"/>
          </w:tcPr>
          <w:p w:rsidR="009E54F2" w:rsidRPr="00346D8E" w:rsidRDefault="009E54F2" w:rsidP="008A5F8E">
            <w:pPr>
              <w:ind w:firstLine="167"/>
              <w:jc w:val="both"/>
              <w:rPr>
                <w:rFonts w:ascii="Times New Roman" w:hAnsi="Times New Roman" w:cs="Times New Roman"/>
                <w:b/>
                <w:sz w:val="24"/>
              </w:rPr>
            </w:pPr>
            <w:r w:rsidRPr="00346D8E">
              <w:rPr>
                <w:rFonts w:ascii="Times New Roman" w:hAnsi="Times New Roman" w:cs="Times New Roman"/>
                <w:b/>
                <w:sz w:val="24"/>
              </w:rPr>
              <w:t>Часть пятнадцатая пункта 4 статьи 10</w:t>
            </w:r>
          </w:p>
          <w:p w:rsidR="009E54F2" w:rsidRDefault="009E54F2" w:rsidP="008A5F8E">
            <w:pPr>
              <w:ind w:firstLine="167"/>
              <w:jc w:val="both"/>
              <w:rPr>
                <w:rFonts w:ascii="Times New Roman" w:hAnsi="Times New Roman" w:cs="Times New Roman"/>
                <w:sz w:val="24"/>
              </w:rPr>
            </w:pPr>
          </w:p>
          <w:p w:rsidR="009E54F2" w:rsidRPr="005C3A09" w:rsidRDefault="009E54F2" w:rsidP="008A5F8E">
            <w:pPr>
              <w:ind w:firstLine="167"/>
              <w:jc w:val="both"/>
              <w:rPr>
                <w:rFonts w:ascii="Times New Roman" w:hAnsi="Times New Roman" w:cs="Times New Roman"/>
                <w:b/>
                <w:sz w:val="24"/>
              </w:rPr>
            </w:pPr>
            <w:r w:rsidRPr="00A20E46">
              <w:rPr>
                <w:rFonts w:ascii="Times New Roman" w:hAnsi="Times New Roman" w:cs="Times New Roman"/>
                <w:sz w:val="24"/>
              </w:rPr>
              <w:t xml:space="preserve">В организациях образования и иных организациях, обладающих правом осуществления образовательной деятельности, в связи с отсутствием квалифицированных педагогических кадров и необходимостью обеспечения образовательного процесса, с разрешения учредителя (учредителей) указанных организаций, педагогическая нагрузка </w:t>
            </w:r>
            <w:r w:rsidRPr="005C3A09">
              <w:rPr>
                <w:rFonts w:ascii="Times New Roman" w:hAnsi="Times New Roman" w:cs="Times New Roman"/>
                <w:b/>
                <w:sz w:val="24"/>
              </w:rPr>
              <w:t>может устанавливаться свыше 1,5 ставки, но не более двух ставок.</w:t>
            </w:r>
          </w:p>
          <w:p w:rsidR="009E54F2" w:rsidRPr="00BF4ECB" w:rsidRDefault="009E54F2" w:rsidP="008A5F8E">
            <w:pPr>
              <w:pStyle w:val="a4"/>
              <w:ind w:firstLine="708"/>
              <w:jc w:val="both"/>
              <w:rPr>
                <w:rFonts w:ascii="Times New Roman" w:eastAsiaTheme="minorHAnsi" w:hAnsi="Times New Roman" w:cs="Times New Roman"/>
                <w:b/>
                <w:color w:val="000000" w:themeColor="text1"/>
                <w:sz w:val="24"/>
                <w:szCs w:val="24"/>
                <w:lang w:eastAsia="en-US"/>
              </w:rPr>
            </w:pPr>
          </w:p>
        </w:tc>
        <w:tc>
          <w:tcPr>
            <w:tcW w:w="5528" w:type="dxa"/>
          </w:tcPr>
          <w:p w:rsidR="009E54F2" w:rsidRPr="00346D8E" w:rsidRDefault="009E54F2" w:rsidP="008A5F8E">
            <w:pPr>
              <w:ind w:firstLine="167"/>
              <w:jc w:val="both"/>
              <w:rPr>
                <w:rFonts w:ascii="Times New Roman" w:hAnsi="Times New Roman" w:cs="Times New Roman"/>
                <w:b/>
                <w:sz w:val="24"/>
              </w:rPr>
            </w:pPr>
            <w:r w:rsidRPr="00346D8E">
              <w:rPr>
                <w:rFonts w:ascii="Times New Roman" w:hAnsi="Times New Roman" w:cs="Times New Roman"/>
                <w:b/>
                <w:sz w:val="24"/>
              </w:rPr>
              <w:t>Часть пятнадцатая пункта 4 статьи 10</w:t>
            </w:r>
          </w:p>
          <w:p w:rsidR="009E54F2" w:rsidRDefault="009E54F2" w:rsidP="008A5F8E">
            <w:pPr>
              <w:ind w:firstLine="167"/>
              <w:jc w:val="both"/>
              <w:rPr>
                <w:rFonts w:ascii="Times New Roman" w:hAnsi="Times New Roman" w:cs="Times New Roman"/>
                <w:sz w:val="24"/>
              </w:rPr>
            </w:pPr>
          </w:p>
          <w:p w:rsidR="009E54F2" w:rsidRDefault="005C3A09" w:rsidP="00346D8E">
            <w:pPr>
              <w:ind w:firstLine="320"/>
              <w:jc w:val="both"/>
              <w:rPr>
                <w:rFonts w:ascii="Times New Roman" w:hAnsi="Times New Roman" w:cs="Times New Roman"/>
                <w:b/>
                <w:color w:val="000000" w:themeColor="text1"/>
                <w:sz w:val="24"/>
              </w:rPr>
            </w:pPr>
            <w:r w:rsidRPr="00FC2C78">
              <w:rPr>
                <w:rFonts w:ascii="Times New Roman" w:hAnsi="Times New Roman" w:cs="Times New Roman"/>
                <w:b/>
                <w:bCs/>
                <w:color w:val="000000" w:themeColor="text1"/>
                <w:sz w:val="24"/>
              </w:rPr>
              <w:t>Педагогическим работникам</w:t>
            </w:r>
            <w:r>
              <w:rPr>
                <w:rFonts w:ascii="Times New Roman" w:hAnsi="Times New Roman" w:cs="Times New Roman"/>
                <w:color w:val="000000" w:themeColor="text1"/>
                <w:sz w:val="24"/>
              </w:rPr>
              <w:t xml:space="preserve"> </w:t>
            </w:r>
            <w:r w:rsidR="00467969">
              <w:rPr>
                <w:rFonts w:ascii="Times New Roman" w:hAnsi="Times New Roman" w:cs="Times New Roman"/>
                <w:color w:val="000000" w:themeColor="text1"/>
                <w:sz w:val="24"/>
              </w:rPr>
              <w:t>в</w:t>
            </w:r>
            <w:r w:rsidR="009E54F2" w:rsidRPr="00E8455A">
              <w:rPr>
                <w:rFonts w:ascii="Times New Roman" w:hAnsi="Times New Roman" w:cs="Times New Roman"/>
                <w:color w:val="000000" w:themeColor="text1"/>
                <w:sz w:val="24"/>
              </w:rPr>
              <w:t xml:space="preserve"> организациях образования и иных организациях, обладающих правом осуществления образовательной деятельности</w:t>
            </w:r>
            <w:r w:rsidR="00467969">
              <w:rPr>
                <w:rFonts w:ascii="Times New Roman" w:hAnsi="Times New Roman" w:cs="Times New Roman"/>
                <w:color w:val="000000" w:themeColor="text1"/>
                <w:sz w:val="24"/>
              </w:rPr>
              <w:t>,</w:t>
            </w:r>
            <w:r w:rsidR="009E54F2" w:rsidRPr="00E8455A">
              <w:rPr>
                <w:rFonts w:ascii="Times New Roman" w:hAnsi="Times New Roman" w:cs="Times New Roman"/>
                <w:color w:val="000000" w:themeColor="text1"/>
                <w:sz w:val="24"/>
              </w:rPr>
              <w:t xml:space="preserve"> в связи с отсутствием квалифицированных педагогических кадров и необходимостью обеспечения образовательного процесса с разрешения учредителя (учредителей) указанных организаций педагогическая нагрузка при тарификации </w:t>
            </w:r>
            <w:r w:rsidR="009E54F2" w:rsidRPr="005C3A09">
              <w:rPr>
                <w:rFonts w:ascii="Times New Roman" w:hAnsi="Times New Roman" w:cs="Times New Roman"/>
                <w:b/>
                <w:color w:val="000000" w:themeColor="text1"/>
                <w:sz w:val="24"/>
              </w:rPr>
              <w:t xml:space="preserve">может устанавливаться в размере не более 2 (двух) ставок в течение учебного года. </w:t>
            </w:r>
          </w:p>
          <w:p w:rsidR="00346D8E" w:rsidRPr="00A20E46" w:rsidRDefault="00346D8E" w:rsidP="00346D8E">
            <w:pPr>
              <w:ind w:firstLine="320"/>
              <w:jc w:val="both"/>
              <w:rPr>
                <w:rFonts w:ascii="Times New Roman" w:hAnsi="Times New Roman" w:cs="Times New Roman"/>
                <w:color w:val="000000" w:themeColor="text1"/>
                <w:sz w:val="24"/>
              </w:rPr>
            </w:pPr>
          </w:p>
        </w:tc>
      </w:tr>
      <w:tr w:rsidR="009E54F2" w:rsidRPr="00BF4ECB" w:rsidTr="008A5F8E">
        <w:trPr>
          <w:trHeight w:val="350"/>
        </w:trPr>
        <w:tc>
          <w:tcPr>
            <w:tcW w:w="5383" w:type="dxa"/>
          </w:tcPr>
          <w:p w:rsidR="009E54F2" w:rsidRPr="00346D8E" w:rsidRDefault="009E54F2" w:rsidP="008A5F8E">
            <w:pPr>
              <w:ind w:firstLine="167"/>
              <w:jc w:val="both"/>
              <w:rPr>
                <w:rFonts w:ascii="Times New Roman" w:hAnsi="Times New Roman" w:cs="Times New Roman"/>
                <w:b/>
                <w:sz w:val="24"/>
              </w:rPr>
            </w:pPr>
            <w:r w:rsidRPr="00346D8E">
              <w:rPr>
                <w:rFonts w:ascii="Times New Roman" w:hAnsi="Times New Roman" w:cs="Times New Roman"/>
                <w:b/>
                <w:sz w:val="24"/>
              </w:rPr>
              <w:t>Часть шестнадцатая пункта 4 статьи 10</w:t>
            </w:r>
          </w:p>
          <w:p w:rsidR="009E54F2" w:rsidRDefault="009E54F2" w:rsidP="008A5F8E">
            <w:pPr>
              <w:ind w:firstLine="167"/>
              <w:jc w:val="both"/>
              <w:rPr>
                <w:rFonts w:ascii="Times New Roman" w:hAnsi="Times New Roman" w:cs="Times New Roman"/>
                <w:sz w:val="24"/>
              </w:rPr>
            </w:pPr>
          </w:p>
          <w:p w:rsidR="009E54F2" w:rsidRPr="00E36EE5" w:rsidRDefault="009E4E01" w:rsidP="008A5F8E">
            <w:pPr>
              <w:ind w:firstLine="167"/>
              <w:jc w:val="both"/>
              <w:rPr>
                <w:rFonts w:ascii="Times New Roman" w:hAnsi="Times New Roman" w:cs="Times New Roman"/>
                <w:b/>
                <w:sz w:val="24"/>
              </w:rPr>
            </w:pPr>
            <w:r>
              <w:rPr>
                <w:rFonts w:ascii="Times New Roman" w:hAnsi="Times New Roman" w:cs="Times New Roman"/>
                <w:sz w:val="24"/>
              </w:rPr>
              <w:t xml:space="preserve"> </w:t>
            </w:r>
            <w:r w:rsidR="009E54F2" w:rsidRPr="00A20E46">
              <w:rPr>
                <w:rFonts w:ascii="Times New Roman" w:hAnsi="Times New Roman" w:cs="Times New Roman"/>
                <w:sz w:val="24"/>
              </w:rPr>
              <w:t xml:space="preserve">Руководящим работникам организаций образования всех типов и видов разрешается вести педагогическую работу или занятия в кружках с нагрузкой </w:t>
            </w:r>
            <w:r w:rsidR="009E54F2" w:rsidRPr="00E36EE5">
              <w:rPr>
                <w:rFonts w:ascii="Times New Roman" w:hAnsi="Times New Roman" w:cs="Times New Roman"/>
                <w:b/>
                <w:sz w:val="24"/>
              </w:rPr>
              <w:t>не более чем 0,5 педагогической ставки».</w:t>
            </w:r>
          </w:p>
          <w:p w:rsidR="009E54F2" w:rsidRPr="00BF4ECB" w:rsidRDefault="009E54F2" w:rsidP="008A5F8E">
            <w:pPr>
              <w:pStyle w:val="a4"/>
              <w:ind w:firstLine="708"/>
              <w:jc w:val="both"/>
              <w:rPr>
                <w:rFonts w:ascii="Times New Roman" w:eastAsiaTheme="minorHAnsi" w:hAnsi="Times New Roman" w:cs="Times New Roman"/>
                <w:b/>
                <w:color w:val="000000" w:themeColor="text1"/>
                <w:sz w:val="24"/>
                <w:szCs w:val="24"/>
                <w:lang w:eastAsia="en-US"/>
              </w:rPr>
            </w:pPr>
          </w:p>
        </w:tc>
        <w:tc>
          <w:tcPr>
            <w:tcW w:w="5528" w:type="dxa"/>
          </w:tcPr>
          <w:p w:rsidR="009E54F2" w:rsidRPr="00346D8E" w:rsidRDefault="009E54F2" w:rsidP="008A5F8E">
            <w:pPr>
              <w:ind w:firstLine="167"/>
              <w:jc w:val="both"/>
              <w:rPr>
                <w:rFonts w:ascii="Times New Roman" w:hAnsi="Times New Roman" w:cs="Times New Roman"/>
                <w:b/>
                <w:sz w:val="24"/>
              </w:rPr>
            </w:pPr>
            <w:r w:rsidRPr="00346D8E">
              <w:rPr>
                <w:rFonts w:ascii="Times New Roman" w:hAnsi="Times New Roman" w:cs="Times New Roman"/>
                <w:b/>
                <w:sz w:val="24"/>
              </w:rPr>
              <w:t>Часть шестнадцатая пункта 4 статьи 10</w:t>
            </w:r>
          </w:p>
          <w:p w:rsidR="009E54F2" w:rsidRDefault="009E54F2" w:rsidP="008A5F8E">
            <w:pPr>
              <w:ind w:firstLine="709"/>
              <w:rPr>
                <w:rFonts w:ascii="Times New Roman" w:hAnsi="Times New Roman" w:cs="Times New Roman"/>
                <w:b/>
                <w:color w:val="000000" w:themeColor="text1"/>
                <w:sz w:val="24"/>
              </w:rPr>
            </w:pPr>
          </w:p>
          <w:p w:rsidR="009E54F2" w:rsidRDefault="009E54F2" w:rsidP="008A5F8E">
            <w:pPr>
              <w:ind w:firstLine="320"/>
              <w:jc w:val="both"/>
              <w:rPr>
                <w:rFonts w:ascii="Times New Roman" w:hAnsi="Times New Roman" w:cs="Times New Roman"/>
                <w:color w:val="000000" w:themeColor="text1"/>
                <w:sz w:val="24"/>
              </w:rPr>
            </w:pPr>
            <w:r w:rsidRPr="00E8455A">
              <w:rPr>
                <w:rFonts w:ascii="Times New Roman" w:hAnsi="Times New Roman" w:cs="Times New Roman"/>
                <w:color w:val="000000" w:themeColor="text1"/>
                <w:sz w:val="24"/>
              </w:rPr>
              <w:t xml:space="preserve">Руководящим работникам организаций образования </w:t>
            </w:r>
            <w:r w:rsidRPr="00E36EE5">
              <w:rPr>
                <w:rFonts w:ascii="Times New Roman" w:hAnsi="Times New Roman" w:cs="Times New Roman"/>
                <w:b/>
                <w:color w:val="000000" w:themeColor="text1"/>
                <w:sz w:val="24"/>
              </w:rPr>
              <w:t xml:space="preserve">и иных организаций, обладающих правом осуществления образовательной деятельности, </w:t>
            </w:r>
            <w:bookmarkStart w:id="0" w:name="_GoBack"/>
            <w:bookmarkEnd w:id="0"/>
            <w:r w:rsidRPr="00E36EE5">
              <w:rPr>
                <w:rFonts w:ascii="Times New Roman" w:hAnsi="Times New Roman" w:cs="Times New Roman"/>
                <w:b/>
                <w:color w:val="000000" w:themeColor="text1"/>
                <w:sz w:val="24"/>
              </w:rPr>
              <w:t>с разрешения учредителя (учредителей) указанных организаций помимо основной работы</w:t>
            </w:r>
            <w:r w:rsidRPr="00E8455A">
              <w:rPr>
                <w:rFonts w:ascii="Times New Roman" w:hAnsi="Times New Roman" w:cs="Times New Roman"/>
                <w:color w:val="000000" w:themeColor="text1"/>
                <w:sz w:val="24"/>
              </w:rPr>
              <w:t xml:space="preserve"> разрешается вести педагогическую работу или занятия в кружках на </w:t>
            </w:r>
            <w:r w:rsidRPr="00E8455A">
              <w:rPr>
                <w:rFonts w:ascii="Times New Roman" w:hAnsi="Times New Roman" w:cs="Times New Roman"/>
                <w:color w:val="000000" w:themeColor="text1"/>
                <w:sz w:val="24"/>
              </w:rPr>
              <w:lastRenderedPageBreak/>
              <w:t xml:space="preserve">условиях совмещения, </w:t>
            </w:r>
            <w:proofErr w:type="gramStart"/>
            <w:r w:rsidRPr="00E8455A">
              <w:rPr>
                <w:rFonts w:ascii="Times New Roman" w:hAnsi="Times New Roman" w:cs="Times New Roman"/>
                <w:color w:val="000000" w:themeColor="text1"/>
                <w:sz w:val="24"/>
              </w:rPr>
              <w:t>с нагрузкой</w:t>
            </w:r>
            <w:proofErr w:type="gramEnd"/>
            <w:r w:rsidRPr="00E8455A">
              <w:rPr>
                <w:rFonts w:ascii="Times New Roman" w:hAnsi="Times New Roman" w:cs="Times New Roman"/>
                <w:color w:val="000000" w:themeColor="text1"/>
                <w:sz w:val="24"/>
              </w:rPr>
              <w:t xml:space="preserve"> </w:t>
            </w:r>
            <w:r w:rsidRPr="00E36EE5">
              <w:rPr>
                <w:rFonts w:ascii="Times New Roman" w:hAnsi="Times New Roman" w:cs="Times New Roman"/>
                <w:b/>
                <w:color w:val="000000" w:themeColor="text1"/>
                <w:sz w:val="24"/>
              </w:rPr>
              <w:t xml:space="preserve">не превышающей 1 </w:t>
            </w:r>
            <w:r w:rsidR="00705F0E">
              <w:rPr>
                <w:rFonts w:ascii="Times New Roman" w:hAnsi="Times New Roman" w:cs="Times New Roman"/>
                <w:b/>
                <w:color w:val="000000" w:themeColor="text1"/>
                <w:sz w:val="24"/>
              </w:rPr>
              <w:t xml:space="preserve">(одной) </w:t>
            </w:r>
            <w:r w:rsidRPr="00E36EE5">
              <w:rPr>
                <w:rFonts w:ascii="Times New Roman" w:hAnsi="Times New Roman" w:cs="Times New Roman"/>
                <w:b/>
                <w:color w:val="000000" w:themeColor="text1"/>
                <w:sz w:val="24"/>
              </w:rPr>
              <w:t>ставки в течение учебного года</w:t>
            </w:r>
            <w:r w:rsidRPr="00E8455A">
              <w:rPr>
                <w:rFonts w:ascii="Times New Roman" w:hAnsi="Times New Roman" w:cs="Times New Roman"/>
                <w:color w:val="000000" w:themeColor="text1"/>
                <w:sz w:val="24"/>
              </w:rPr>
              <w:t>.</w:t>
            </w:r>
          </w:p>
          <w:p w:rsidR="009E54F2" w:rsidRPr="00A20E46" w:rsidRDefault="009E54F2" w:rsidP="008A5F8E">
            <w:pPr>
              <w:ind w:firstLine="320"/>
              <w:jc w:val="both"/>
              <w:rPr>
                <w:rFonts w:ascii="Times New Roman" w:hAnsi="Times New Roman" w:cs="Times New Roman"/>
                <w:color w:val="000000" w:themeColor="text1"/>
                <w:sz w:val="24"/>
              </w:rPr>
            </w:pPr>
          </w:p>
        </w:tc>
      </w:tr>
      <w:tr w:rsidR="009E54F2" w:rsidRPr="00BF4ECB" w:rsidTr="008A5F8E">
        <w:trPr>
          <w:trHeight w:val="350"/>
        </w:trPr>
        <w:tc>
          <w:tcPr>
            <w:tcW w:w="5383" w:type="dxa"/>
          </w:tcPr>
          <w:p w:rsidR="009E54F2" w:rsidRPr="0088061F" w:rsidRDefault="009E54F2" w:rsidP="008A5F8E">
            <w:pPr>
              <w:ind w:firstLine="167"/>
              <w:jc w:val="both"/>
              <w:rPr>
                <w:rFonts w:ascii="Times New Roman" w:hAnsi="Times New Roman" w:cs="Times New Roman"/>
                <w:b/>
                <w:sz w:val="24"/>
              </w:rPr>
            </w:pPr>
            <w:r w:rsidRPr="0088061F">
              <w:rPr>
                <w:rFonts w:ascii="Times New Roman" w:hAnsi="Times New Roman" w:cs="Times New Roman"/>
                <w:b/>
                <w:sz w:val="24"/>
              </w:rPr>
              <w:lastRenderedPageBreak/>
              <w:t>Часть семнадцатая пункта 4 статьи 10</w:t>
            </w:r>
          </w:p>
          <w:p w:rsidR="009E54F2" w:rsidRDefault="009E54F2" w:rsidP="008A5F8E">
            <w:pPr>
              <w:ind w:firstLine="167"/>
              <w:jc w:val="both"/>
              <w:rPr>
                <w:rFonts w:ascii="Times New Roman" w:hAnsi="Times New Roman" w:cs="Times New Roman"/>
                <w:sz w:val="24"/>
              </w:rPr>
            </w:pPr>
          </w:p>
          <w:p w:rsidR="009E54F2" w:rsidRDefault="009E4E01" w:rsidP="008A5F8E">
            <w:pPr>
              <w:ind w:firstLine="167"/>
              <w:jc w:val="both"/>
              <w:rPr>
                <w:rFonts w:ascii="Times New Roman" w:hAnsi="Times New Roman" w:cs="Times New Roman"/>
                <w:sz w:val="24"/>
              </w:rPr>
            </w:pPr>
            <w:r>
              <w:rPr>
                <w:rFonts w:ascii="Times New Roman" w:hAnsi="Times New Roman" w:cs="Times New Roman"/>
                <w:sz w:val="24"/>
              </w:rPr>
              <w:t xml:space="preserve">   </w:t>
            </w:r>
            <w:r w:rsidR="009E54F2" w:rsidRPr="00196FEB">
              <w:rPr>
                <w:rFonts w:ascii="Times New Roman" w:hAnsi="Times New Roman" w:cs="Times New Roman"/>
                <w:sz w:val="24"/>
              </w:rPr>
              <w:t>В сельской местности при отсутствии учителей и преподавателей указанные работники с разрешения соответствующего управления могут вести преподавательскую работу в объеме 12 часов в неделю.</w:t>
            </w:r>
          </w:p>
          <w:p w:rsidR="009E54F2" w:rsidRPr="00BF4ECB" w:rsidRDefault="009E54F2" w:rsidP="008A5F8E">
            <w:pPr>
              <w:pStyle w:val="a4"/>
              <w:ind w:firstLine="708"/>
              <w:jc w:val="both"/>
              <w:rPr>
                <w:rFonts w:ascii="Times New Roman" w:eastAsiaTheme="minorHAnsi" w:hAnsi="Times New Roman" w:cs="Times New Roman"/>
                <w:b/>
                <w:color w:val="000000" w:themeColor="text1"/>
                <w:sz w:val="24"/>
                <w:szCs w:val="24"/>
                <w:lang w:eastAsia="en-US"/>
              </w:rPr>
            </w:pPr>
          </w:p>
        </w:tc>
        <w:tc>
          <w:tcPr>
            <w:tcW w:w="5528" w:type="dxa"/>
          </w:tcPr>
          <w:p w:rsidR="009E54F2" w:rsidRPr="0088061F" w:rsidRDefault="009E54F2" w:rsidP="008A5F8E">
            <w:pPr>
              <w:ind w:firstLine="167"/>
              <w:jc w:val="both"/>
              <w:rPr>
                <w:rFonts w:ascii="Times New Roman" w:hAnsi="Times New Roman" w:cs="Times New Roman"/>
                <w:b/>
                <w:sz w:val="24"/>
              </w:rPr>
            </w:pPr>
            <w:r w:rsidRPr="0088061F">
              <w:rPr>
                <w:rFonts w:ascii="Times New Roman" w:hAnsi="Times New Roman" w:cs="Times New Roman"/>
                <w:b/>
                <w:sz w:val="24"/>
              </w:rPr>
              <w:t>Часть семнадцатая пункта 4 статьи 10</w:t>
            </w:r>
          </w:p>
          <w:p w:rsidR="009E54F2" w:rsidRDefault="009E54F2" w:rsidP="008A5F8E">
            <w:pPr>
              <w:ind w:firstLine="709"/>
              <w:rPr>
                <w:rFonts w:ascii="Times New Roman" w:hAnsi="Times New Roman" w:cs="Times New Roman"/>
                <w:b/>
                <w:color w:val="000000" w:themeColor="text1"/>
                <w:sz w:val="24"/>
              </w:rPr>
            </w:pPr>
          </w:p>
          <w:p w:rsidR="009E54F2" w:rsidRPr="00E36EE5" w:rsidRDefault="009E54F2" w:rsidP="008A5F8E">
            <w:pPr>
              <w:ind w:firstLine="320"/>
              <w:rPr>
                <w:rFonts w:ascii="Times New Roman" w:hAnsi="Times New Roman" w:cs="Times New Roman"/>
                <w:b/>
                <w:color w:val="000000" w:themeColor="text1"/>
                <w:sz w:val="24"/>
              </w:rPr>
            </w:pPr>
            <w:r w:rsidRPr="00E36EE5">
              <w:rPr>
                <w:rFonts w:ascii="Times New Roman" w:hAnsi="Times New Roman" w:cs="Times New Roman"/>
                <w:b/>
                <w:color w:val="000000" w:themeColor="text1"/>
                <w:sz w:val="24"/>
              </w:rPr>
              <w:t>Исключена.</w:t>
            </w:r>
          </w:p>
        </w:tc>
      </w:tr>
    </w:tbl>
    <w:p w:rsidR="009E54F2" w:rsidRPr="008143E7" w:rsidRDefault="009E54F2" w:rsidP="009E54F2"/>
    <w:p w:rsidR="00E04AE0" w:rsidRDefault="005F72D7"/>
    <w:sectPr w:rsidR="00E04AE0" w:rsidSect="00980B2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F2"/>
    <w:rsid w:val="002002FC"/>
    <w:rsid w:val="00234607"/>
    <w:rsid w:val="00346D8E"/>
    <w:rsid w:val="00467969"/>
    <w:rsid w:val="005C3A09"/>
    <w:rsid w:val="005F72D7"/>
    <w:rsid w:val="00705F0E"/>
    <w:rsid w:val="0088061F"/>
    <w:rsid w:val="009A3082"/>
    <w:rsid w:val="009E4E01"/>
    <w:rsid w:val="009E54F2"/>
    <w:rsid w:val="00A37EBE"/>
    <w:rsid w:val="00A54FB1"/>
    <w:rsid w:val="00BA7A53"/>
    <w:rsid w:val="00E3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0D39"/>
  <w15:chartTrackingRefBased/>
  <w15:docId w15:val="{ADEF0EBC-5ABA-495B-9F94-73ABCE22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4F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4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 , З,Зна"/>
    <w:basedOn w:val="a"/>
    <w:link w:val="1"/>
    <w:rsid w:val="009E54F2"/>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9E54F2"/>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9E54F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467</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Севостьянова Татьяна Васильевна</dc:creator>
  <cp:keywords/>
  <dc:description/>
  <cp:lastModifiedBy>Севостьянова Татьяна Васильевна</cp:lastModifiedBy>
  <cp:revision>13</cp:revision>
  <dcterms:created xsi:type="dcterms:W3CDTF">2025-04-07T10:49:00Z</dcterms:created>
  <dcterms:modified xsi:type="dcterms:W3CDTF">2025-04-07T11:40:00Z</dcterms:modified>
</cp:coreProperties>
</file>