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CEF" w:rsidRPr="00344F5D" w:rsidRDefault="00731CEF" w:rsidP="00731CEF">
      <w:pPr>
        <w:spacing w:after="0" w:line="240" w:lineRule="auto"/>
        <w:jc w:val="center"/>
        <w:rPr>
          <w:rFonts w:ascii="Times New Roman" w:hAnsi="Times New Roman"/>
          <w:b/>
          <w:sz w:val="28"/>
          <w:szCs w:val="28"/>
        </w:rPr>
      </w:pPr>
      <w:r w:rsidRPr="00344F5D">
        <w:rPr>
          <w:rFonts w:ascii="Times New Roman" w:hAnsi="Times New Roman"/>
          <w:sz w:val="28"/>
          <w:szCs w:val="28"/>
        </w:rPr>
        <w:t>Сравнительная таблица</w:t>
      </w:r>
    </w:p>
    <w:p w:rsidR="00731CEF" w:rsidRPr="00344F5D" w:rsidRDefault="00731CEF" w:rsidP="00731CEF">
      <w:pPr>
        <w:pStyle w:val="41"/>
        <w:shd w:val="clear" w:color="auto" w:fill="auto"/>
        <w:spacing w:before="0" w:after="0" w:line="240" w:lineRule="auto"/>
        <w:ind w:left="220"/>
        <w:jc w:val="center"/>
        <w:rPr>
          <w:rFonts w:ascii="Times New Roman" w:hAnsi="Times New Roman"/>
          <w:sz w:val="28"/>
          <w:szCs w:val="28"/>
        </w:rPr>
      </w:pPr>
      <w:r w:rsidRPr="00344F5D">
        <w:rPr>
          <w:rFonts w:ascii="Times New Roman" w:hAnsi="Times New Roman"/>
          <w:sz w:val="28"/>
          <w:szCs w:val="28"/>
        </w:rPr>
        <w:t>к проекту закона Приднестровской Молдавской Республики</w:t>
      </w:r>
    </w:p>
    <w:p w:rsidR="00731CEF" w:rsidRPr="00344F5D" w:rsidRDefault="00731CEF" w:rsidP="00731CEF">
      <w:pPr>
        <w:pStyle w:val="41"/>
        <w:shd w:val="clear" w:color="auto" w:fill="auto"/>
        <w:spacing w:before="0" w:after="0" w:line="240" w:lineRule="auto"/>
        <w:jc w:val="center"/>
        <w:rPr>
          <w:rFonts w:ascii="Times New Roman" w:hAnsi="Times New Roman"/>
          <w:sz w:val="28"/>
          <w:szCs w:val="28"/>
        </w:rPr>
      </w:pPr>
      <w:r w:rsidRPr="00344F5D">
        <w:rPr>
          <w:rFonts w:ascii="Times New Roman" w:hAnsi="Times New Roman"/>
          <w:sz w:val="28"/>
          <w:szCs w:val="28"/>
        </w:rPr>
        <w:t xml:space="preserve">«О внесении </w:t>
      </w:r>
      <w:r>
        <w:rPr>
          <w:rFonts w:ascii="Times New Roman" w:hAnsi="Times New Roman"/>
          <w:sz w:val="28"/>
          <w:szCs w:val="28"/>
        </w:rPr>
        <w:t>изменения</w:t>
      </w:r>
      <w:r w:rsidRPr="00344F5D">
        <w:rPr>
          <w:rFonts w:ascii="Times New Roman" w:hAnsi="Times New Roman"/>
          <w:sz w:val="28"/>
          <w:szCs w:val="28"/>
        </w:rPr>
        <w:t xml:space="preserve"> в Закон Приднестровской Молдавской Республики</w:t>
      </w:r>
    </w:p>
    <w:p w:rsidR="00731CEF" w:rsidRPr="00344F5D" w:rsidRDefault="00731CEF" w:rsidP="00731CEF">
      <w:pPr>
        <w:pStyle w:val="a3"/>
        <w:ind w:firstLine="567"/>
        <w:jc w:val="center"/>
        <w:rPr>
          <w:rFonts w:ascii="Times New Roman" w:hAnsi="Times New Roman"/>
          <w:sz w:val="28"/>
          <w:szCs w:val="28"/>
        </w:rPr>
      </w:pPr>
      <w:r w:rsidRPr="00344F5D">
        <w:rPr>
          <w:rFonts w:ascii="Times New Roman" w:hAnsi="Times New Roman"/>
          <w:sz w:val="28"/>
          <w:szCs w:val="28"/>
        </w:rPr>
        <w:t xml:space="preserve">«О </w:t>
      </w:r>
      <w:r>
        <w:rPr>
          <w:rFonts w:ascii="Times New Roman" w:hAnsi="Times New Roman"/>
          <w:color w:val="000000"/>
          <w:sz w:val="28"/>
          <w:szCs w:val="28"/>
        </w:rPr>
        <w:t>налоге на доходы организаций</w:t>
      </w:r>
      <w:r w:rsidRPr="00344F5D">
        <w:rPr>
          <w:rFonts w:ascii="Times New Roman" w:hAnsi="Times New Roman"/>
          <w:sz w:val="28"/>
          <w:szCs w:val="28"/>
        </w:rPr>
        <w:t>»</w:t>
      </w:r>
    </w:p>
    <w:p w:rsidR="00731CEF" w:rsidRPr="00344F5D" w:rsidRDefault="00731CEF" w:rsidP="00731CEF">
      <w:pPr>
        <w:pStyle w:val="a3"/>
        <w:ind w:firstLine="567"/>
        <w:jc w:val="both"/>
        <w:rPr>
          <w:rFonts w:ascii="Times New Roman" w:hAnsi="Times New Roman"/>
          <w:sz w:val="28"/>
          <w:szCs w:val="28"/>
        </w:rPr>
      </w:pPr>
    </w:p>
    <w:tbl>
      <w:tblPr>
        <w:tblStyle w:val="a5"/>
        <w:tblW w:w="9747" w:type="dxa"/>
        <w:tblLook w:val="04A0" w:firstRow="1" w:lastRow="0" w:firstColumn="1" w:lastColumn="0" w:noHBand="0" w:noVBand="1"/>
      </w:tblPr>
      <w:tblGrid>
        <w:gridCol w:w="4644"/>
        <w:gridCol w:w="5103"/>
      </w:tblGrid>
      <w:tr w:rsidR="00731CEF" w:rsidRPr="00344F5D" w:rsidTr="00F3692A">
        <w:tc>
          <w:tcPr>
            <w:tcW w:w="4644" w:type="dxa"/>
          </w:tcPr>
          <w:p w:rsidR="00731CEF" w:rsidRPr="00344F5D" w:rsidRDefault="00731CEF" w:rsidP="0057406D">
            <w:pPr>
              <w:pStyle w:val="a3"/>
              <w:jc w:val="center"/>
              <w:rPr>
                <w:rFonts w:ascii="Times New Roman" w:hAnsi="Times New Roman"/>
                <w:sz w:val="28"/>
                <w:szCs w:val="28"/>
                <w:shd w:val="clear" w:color="auto" w:fill="FFFFFF"/>
              </w:rPr>
            </w:pPr>
            <w:r w:rsidRPr="00344F5D">
              <w:rPr>
                <w:rFonts w:ascii="Times New Roman" w:hAnsi="Times New Roman"/>
                <w:sz w:val="28"/>
                <w:szCs w:val="28"/>
              </w:rPr>
              <w:t>Действующая редакция</w:t>
            </w:r>
          </w:p>
        </w:tc>
        <w:tc>
          <w:tcPr>
            <w:tcW w:w="5103" w:type="dxa"/>
          </w:tcPr>
          <w:p w:rsidR="00731CEF" w:rsidRPr="00344F5D" w:rsidRDefault="00731CEF" w:rsidP="0057406D">
            <w:pPr>
              <w:pStyle w:val="a3"/>
              <w:jc w:val="center"/>
              <w:rPr>
                <w:rFonts w:ascii="Times New Roman" w:hAnsi="Times New Roman"/>
                <w:sz w:val="28"/>
                <w:szCs w:val="28"/>
                <w:shd w:val="clear" w:color="auto" w:fill="FFFFFF"/>
              </w:rPr>
            </w:pPr>
            <w:r w:rsidRPr="00344F5D">
              <w:rPr>
                <w:rFonts w:ascii="Times New Roman" w:hAnsi="Times New Roman"/>
                <w:sz w:val="28"/>
                <w:szCs w:val="28"/>
              </w:rPr>
              <w:t>Предлагаемая редакция</w:t>
            </w:r>
          </w:p>
        </w:tc>
      </w:tr>
      <w:tr w:rsidR="00731CEF" w:rsidRPr="00344F5D" w:rsidTr="00F3692A">
        <w:tc>
          <w:tcPr>
            <w:tcW w:w="4644" w:type="dxa"/>
          </w:tcPr>
          <w:p w:rsidR="00731CEF" w:rsidRPr="00724361" w:rsidRDefault="00731CEF" w:rsidP="0057406D">
            <w:pPr>
              <w:pStyle w:val="a3"/>
              <w:ind w:firstLine="720"/>
              <w:jc w:val="both"/>
              <w:outlineLvl w:val="0"/>
              <w:rPr>
                <w:rFonts w:ascii="Times New Roman" w:hAnsi="Times New Roman"/>
                <w:sz w:val="28"/>
                <w:szCs w:val="28"/>
              </w:rPr>
            </w:pPr>
            <w:r w:rsidRPr="00724361">
              <w:rPr>
                <w:rFonts w:ascii="Times New Roman" w:hAnsi="Times New Roman"/>
                <w:b/>
                <w:sz w:val="28"/>
                <w:szCs w:val="28"/>
              </w:rPr>
              <w:t>Статья 6.</w:t>
            </w:r>
            <w:r w:rsidRPr="00724361">
              <w:rPr>
                <w:rFonts w:ascii="Times New Roman" w:hAnsi="Times New Roman"/>
                <w:sz w:val="28"/>
                <w:szCs w:val="28"/>
              </w:rPr>
              <w:t xml:space="preserve"> Освобождение от налога</w:t>
            </w:r>
          </w:p>
          <w:p w:rsidR="00731CEF" w:rsidRDefault="00731CEF" w:rsidP="0057406D">
            <w:pPr>
              <w:spacing w:after="0" w:line="240" w:lineRule="auto"/>
              <w:ind w:firstLine="709"/>
              <w:jc w:val="both"/>
              <w:rPr>
                <w:rFonts w:ascii="Times New Roman" w:hAnsi="Times New Roman"/>
                <w:sz w:val="28"/>
                <w:szCs w:val="28"/>
                <w:shd w:val="clear" w:color="auto" w:fill="FFFFFF"/>
              </w:rPr>
            </w:pPr>
            <w:r w:rsidRPr="0057406D">
              <w:rPr>
                <w:rFonts w:ascii="Times New Roman" w:hAnsi="Times New Roman"/>
                <w:sz w:val="28"/>
                <w:szCs w:val="28"/>
                <w:shd w:val="clear" w:color="auto" w:fill="FFFFFF"/>
              </w:rPr>
              <w:t>….</w:t>
            </w:r>
          </w:p>
          <w:p w:rsidR="00731CEF" w:rsidRPr="00B27722" w:rsidRDefault="00731CEF" w:rsidP="0057406D">
            <w:pPr>
              <w:spacing w:after="0" w:line="240" w:lineRule="auto"/>
              <w:ind w:firstLine="709"/>
              <w:jc w:val="both"/>
              <w:rPr>
                <w:rFonts w:ascii="Times New Roman" w:hAnsi="Times New Roman"/>
                <w:sz w:val="28"/>
                <w:szCs w:val="28"/>
                <w:shd w:val="clear" w:color="auto" w:fill="FFFFFF"/>
              </w:rPr>
            </w:pPr>
            <w:r w:rsidRPr="00B27722">
              <w:rPr>
                <w:rFonts w:ascii="Times New Roman" w:hAnsi="Times New Roman"/>
                <w:sz w:val="28"/>
                <w:szCs w:val="28"/>
                <w:shd w:val="clear" w:color="auto" w:fill="FFFFFF"/>
              </w:rPr>
              <w:t>5-1. Для вновь созданных юридических лиц Приднестровской Молдавской Республики, реализующих инвестиционные приоритетные проекты в порядке, определенном Законом Приднестровской Молдавской Республики «О государственной поддержке инвестиционной деятельности», предусматривается освобождение от уплаты налога на доходы организаций с первого числа месяца,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 по созданию нового производства, в части данной выручки:</w:t>
            </w:r>
          </w:p>
          <w:p w:rsidR="00731CEF" w:rsidRPr="00B27722" w:rsidRDefault="00731CEF" w:rsidP="0057406D">
            <w:pPr>
              <w:spacing w:after="0" w:line="240" w:lineRule="auto"/>
              <w:ind w:firstLine="709"/>
              <w:jc w:val="both"/>
              <w:rPr>
                <w:rFonts w:ascii="Times New Roman" w:hAnsi="Times New Roman"/>
                <w:sz w:val="28"/>
                <w:szCs w:val="28"/>
                <w:shd w:val="clear" w:color="auto" w:fill="FFFFFF"/>
              </w:rPr>
            </w:pPr>
            <w:r w:rsidRPr="00B27722">
              <w:rPr>
                <w:rFonts w:ascii="Times New Roman" w:hAnsi="Times New Roman"/>
                <w:sz w:val="28"/>
                <w:szCs w:val="28"/>
                <w:shd w:val="clear" w:color="auto" w:fill="FFFFFF"/>
              </w:rPr>
              <w:t>а) при объеме инвестиций в основные средства от 200 000 (двухсот тысяч) евро до 500 000 (пятисот тысяч) евро по официальному курсу, установленному центральным банком Приднестровской Молдавской Республики на дату вложения инвестиций, – на срок 5 (пять) лет;</w:t>
            </w:r>
          </w:p>
          <w:p w:rsidR="00731CEF" w:rsidRPr="00B27722" w:rsidRDefault="00731CEF" w:rsidP="0057406D">
            <w:pPr>
              <w:spacing w:after="0" w:line="240" w:lineRule="auto"/>
              <w:ind w:firstLine="709"/>
              <w:jc w:val="both"/>
              <w:rPr>
                <w:rFonts w:ascii="Times New Roman" w:hAnsi="Times New Roman"/>
                <w:sz w:val="28"/>
                <w:szCs w:val="28"/>
                <w:shd w:val="clear" w:color="auto" w:fill="FFFFFF"/>
              </w:rPr>
            </w:pPr>
            <w:r w:rsidRPr="00B27722">
              <w:rPr>
                <w:rFonts w:ascii="Times New Roman" w:hAnsi="Times New Roman"/>
                <w:sz w:val="28"/>
                <w:szCs w:val="28"/>
                <w:shd w:val="clear" w:color="auto" w:fill="FFFFFF"/>
              </w:rPr>
              <w:t xml:space="preserve">б) при объеме инвестиций в основные средства от 500 000 (пятисот тысяч) евро до 1 000 000 (одного миллиона) евро по официальному курсу, </w:t>
            </w:r>
            <w:r w:rsidRPr="00B27722">
              <w:rPr>
                <w:rFonts w:ascii="Times New Roman" w:hAnsi="Times New Roman"/>
                <w:sz w:val="28"/>
                <w:szCs w:val="28"/>
                <w:shd w:val="clear" w:color="auto" w:fill="FFFFFF"/>
              </w:rPr>
              <w:lastRenderedPageBreak/>
              <w:t>установленному центральным банком Приднестровской Молдавской Республики на дату вложения инвестиций, – на срок 7 (семь) лет;</w:t>
            </w:r>
          </w:p>
          <w:p w:rsidR="00731CEF" w:rsidRPr="00F62890" w:rsidRDefault="00731CEF" w:rsidP="0057406D">
            <w:pPr>
              <w:spacing w:after="0" w:line="240" w:lineRule="auto"/>
              <w:ind w:firstLine="709"/>
              <w:jc w:val="both"/>
              <w:rPr>
                <w:rFonts w:ascii="Times New Roman" w:hAnsi="Times New Roman"/>
                <w:sz w:val="28"/>
                <w:szCs w:val="28"/>
                <w:shd w:val="clear" w:color="auto" w:fill="FFFFFF"/>
              </w:rPr>
            </w:pPr>
            <w:r w:rsidRPr="00B27722">
              <w:rPr>
                <w:rFonts w:ascii="Times New Roman" w:hAnsi="Times New Roman"/>
                <w:sz w:val="28"/>
                <w:szCs w:val="28"/>
                <w:shd w:val="clear" w:color="auto" w:fill="FFFFFF"/>
              </w:rPr>
              <w:t>в) при объеме инвестиций в основные средства более 1 000 000 (одного миллиона) евро по официальному курсу, установленному центральным банком Приднестровской Молдавской Республики на дату вложения инвестиций, – на срок 10 (десять) лет.</w:t>
            </w:r>
          </w:p>
        </w:tc>
        <w:tc>
          <w:tcPr>
            <w:tcW w:w="5103" w:type="dxa"/>
          </w:tcPr>
          <w:p w:rsidR="00731CEF" w:rsidRPr="00724361" w:rsidRDefault="00731CEF" w:rsidP="0057406D">
            <w:pPr>
              <w:pStyle w:val="a3"/>
              <w:ind w:firstLine="720"/>
              <w:jc w:val="both"/>
              <w:outlineLvl w:val="0"/>
              <w:rPr>
                <w:rFonts w:ascii="Times New Roman" w:hAnsi="Times New Roman"/>
                <w:sz w:val="28"/>
                <w:szCs w:val="28"/>
              </w:rPr>
            </w:pPr>
            <w:r w:rsidRPr="00724361">
              <w:rPr>
                <w:rFonts w:ascii="Times New Roman" w:hAnsi="Times New Roman"/>
                <w:b/>
                <w:sz w:val="28"/>
                <w:szCs w:val="28"/>
              </w:rPr>
              <w:lastRenderedPageBreak/>
              <w:t>Статья 6.</w:t>
            </w:r>
            <w:r w:rsidRPr="00724361">
              <w:rPr>
                <w:rFonts w:ascii="Times New Roman" w:hAnsi="Times New Roman"/>
                <w:sz w:val="28"/>
                <w:szCs w:val="28"/>
              </w:rPr>
              <w:t xml:space="preserve"> Освобождение от налога</w:t>
            </w:r>
          </w:p>
          <w:p w:rsidR="00731CEF" w:rsidRDefault="00731CEF" w:rsidP="0057406D">
            <w:pPr>
              <w:pStyle w:val="a6"/>
              <w:ind w:left="28" w:firstLine="539"/>
              <w:jc w:val="both"/>
              <w:rPr>
                <w:sz w:val="28"/>
                <w:szCs w:val="28"/>
                <w:shd w:val="clear" w:color="auto" w:fill="FFFFFF"/>
              </w:rPr>
            </w:pPr>
            <w:r w:rsidRPr="0057406D">
              <w:rPr>
                <w:sz w:val="28"/>
                <w:szCs w:val="28"/>
                <w:shd w:val="clear" w:color="auto" w:fill="FFFFFF"/>
              </w:rPr>
              <w:t>….</w:t>
            </w:r>
          </w:p>
          <w:p w:rsidR="00731CEF" w:rsidRPr="00912EF8" w:rsidRDefault="00731CEF" w:rsidP="0057406D">
            <w:pPr>
              <w:pStyle w:val="a6"/>
              <w:ind w:left="28" w:firstLine="539"/>
              <w:jc w:val="both"/>
              <w:rPr>
                <w:sz w:val="28"/>
                <w:szCs w:val="28"/>
              </w:rPr>
            </w:pPr>
            <w:r w:rsidRPr="00912EF8">
              <w:rPr>
                <w:sz w:val="28"/>
                <w:szCs w:val="28"/>
                <w:shd w:val="clear" w:color="auto" w:fill="FFFFFF"/>
              </w:rPr>
              <w:t xml:space="preserve">5-1. </w:t>
            </w:r>
            <w:r w:rsidRPr="00912EF8">
              <w:rPr>
                <w:sz w:val="28"/>
                <w:szCs w:val="28"/>
              </w:rPr>
              <w:t>Для вновь созданных юридических лиц Приднестровской Молдавской Р</w:t>
            </w:r>
            <w:bookmarkStart w:id="0" w:name="_GoBack"/>
            <w:bookmarkEnd w:id="0"/>
            <w:r w:rsidRPr="00912EF8">
              <w:rPr>
                <w:sz w:val="28"/>
                <w:szCs w:val="28"/>
              </w:rPr>
              <w:t>еспублики, реализующих инвестиционные приоритетные проекты в порядке, определенном Законом Приднестровской Молдавской Республики «О государственной поддержке инвестиционной деятельности», предусматривается:</w:t>
            </w:r>
          </w:p>
          <w:p w:rsidR="00731CEF" w:rsidRDefault="00731CEF" w:rsidP="0057406D">
            <w:pPr>
              <w:pStyle w:val="a6"/>
              <w:ind w:left="28" w:firstLine="539"/>
              <w:jc w:val="both"/>
              <w:rPr>
                <w:b/>
                <w:bCs/>
                <w:sz w:val="28"/>
                <w:szCs w:val="28"/>
              </w:rPr>
            </w:pPr>
            <w:r w:rsidRPr="008579C6">
              <w:rPr>
                <w:b/>
                <w:bCs/>
                <w:sz w:val="28"/>
                <w:szCs w:val="28"/>
              </w:rPr>
              <w:t>а) освобождение от уплаты налога на доходы организаций для юридических лиц, осуществляющих приоритетные виды деятельности, определенные в пункте 3 статьи 14 Закона Приднестровской Молдавской Республики «О государственной поддержке инвестиционной деятельности», с первого числа месяца, в котором впервые была получена выручка от продаж продукции (выполнения работ, оказания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в части данной выручки:</w:t>
            </w:r>
          </w:p>
          <w:p w:rsidR="00731CEF" w:rsidRPr="00912EF8" w:rsidRDefault="00731CEF" w:rsidP="0057406D">
            <w:pPr>
              <w:pStyle w:val="a6"/>
              <w:ind w:left="28" w:firstLine="539"/>
              <w:jc w:val="both"/>
              <w:rPr>
                <w:sz w:val="28"/>
                <w:szCs w:val="28"/>
              </w:rPr>
            </w:pPr>
            <w:r w:rsidRPr="00912EF8">
              <w:rPr>
                <w:sz w:val="28"/>
                <w:szCs w:val="28"/>
              </w:rPr>
              <w:t>1) при объеме инвестиций в основные средства от 200 000 (двухсот тысяч) евро до 500 000 (пятисот тысяч) евро по официальному курсу, установленному центральным банком Приднестровской Молдавской Республики на дату вложения инвестиций, – на срок 5 (пять) лет;</w:t>
            </w:r>
          </w:p>
          <w:p w:rsidR="00731CEF" w:rsidRPr="00912EF8" w:rsidRDefault="00731CEF" w:rsidP="0057406D">
            <w:pPr>
              <w:pStyle w:val="a6"/>
              <w:ind w:left="28" w:firstLine="539"/>
              <w:jc w:val="both"/>
              <w:rPr>
                <w:sz w:val="28"/>
                <w:szCs w:val="28"/>
              </w:rPr>
            </w:pPr>
            <w:r w:rsidRPr="00912EF8">
              <w:rPr>
                <w:sz w:val="28"/>
                <w:szCs w:val="28"/>
              </w:rPr>
              <w:lastRenderedPageBreak/>
              <w:t>2) при объеме инвестиций в основные средства от 500 000 (пятисот тысяч) евро до 1 000 000 (одного миллиона) евро по официальному курсу, установленному центральным банком Приднестровской Молдавской Республики на дату вложения инвестиций, – на срок 7 (семь) лет;</w:t>
            </w:r>
          </w:p>
          <w:p w:rsidR="00731CEF" w:rsidRPr="00912EF8" w:rsidRDefault="00731CEF" w:rsidP="0057406D">
            <w:pPr>
              <w:pStyle w:val="a6"/>
              <w:ind w:left="28" w:firstLine="539"/>
              <w:jc w:val="both"/>
              <w:rPr>
                <w:sz w:val="28"/>
                <w:szCs w:val="28"/>
              </w:rPr>
            </w:pPr>
            <w:r w:rsidRPr="00912EF8">
              <w:rPr>
                <w:sz w:val="28"/>
                <w:szCs w:val="28"/>
              </w:rPr>
              <w:t>3) при объеме инвестиций в основные средства более 1 000 000 (одного миллиона) евро по официальному курсу, установленному центральным банком Приднестровской Молдавской Республики на дату вложения инвестиций, – на срок 10 (десять) лет;</w:t>
            </w:r>
          </w:p>
          <w:p w:rsidR="00731CEF" w:rsidRPr="008579C6" w:rsidRDefault="00731CEF" w:rsidP="0057406D">
            <w:pPr>
              <w:pStyle w:val="a6"/>
              <w:ind w:left="28" w:firstLine="539"/>
              <w:jc w:val="both"/>
              <w:rPr>
                <w:b/>
                <w:bCs/>
                <w:sz w:val="28"/>
                <w:szCs w:val="28"/>
              </w:rPr>
            </w:pPr>
            <w:r w:rsidRPr="008579C6">
              <w:rPr>
                <w:b/>
                <w:bCs/>
                <w:sz w:val="28"/>
                <w:szCs w:val="28"/>
              </w:rPr>
              <w:t>б) освобождение от уплаты налога на доходы организаций в отношении выручки от экспорта продукции (работ,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для юридических лиц, осуществляющих приоритетные виды деятельности, определенные в пункте 2 статьи 14 Закона Приднестровской Молдавской Республики «О государственной поддержке инвестиционной деятельности».</w:t>
            </w:r>
          </w:p>
          <w:p w:rsidR="00731CEF" w:rsidRDefault="00731CEF" w:rsidP="0057406D">
            <w:pPr>
              <w:pStyle w:val="a6"/>
              <w:ind w:left="28" w:firstLine="539"/>
              <w:jc w:val="both"/>
              <w:rPr>
                <w:b/>
                <w:bCs/>
                <w:sz w:val="28"/>
                <w:szCs w:val="28"/>
              </w:rPr>
            </w:pPr>
            <w:r w:rsidRPr="008579C6">
              <w:rPr>
                <w:b/>
                <w:bCs/>
                <w:sz w:val="28"/>
                <w:szCs w:val="28"/>
              </w:rPr>
              <w:t>Льгота, установленная частью первой настоящего подпункта, применяется с первого числа месяца, в котором впервые была получена выручка от продаж продукции (выполнения работ, оказания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w:t>
            </w:r>
          </w:p>
          <w:p w:rsidR="00731CEF" w:rsidRPr="00912EF8" w:rsidRDefault="00731CEF" w:rsidP="0057406D">
            <w:pPr>
              <w:pStyle w:val="a6"/>
              <w:ind w:left="28" w:firstLine="539"/>
              <w:jc w:val="both"/>
              <w:rPr>
                <w:sz w:val="28"/>
                <w:szCs w:val="28"/>
              </w:rPr>
            </w:pPr>
            <w:r w:rsidRPr="00912EF8">
              <w:rPr>
                <w:sz w:val="28"/>
                <w:szCs w:val="28"/>
              </w:rPr>
              <w:t xml:space="preserve">1) при объеме инвестиций в основные средства от 200 000 (двухсот </w:t>
            </w:r>
            <w:r w:rsidRPr="00912EF8">
              <w:rPr>
                <w:sz w:val="28"/>
                <w:szCs w:val="28"/>
              </w:rPr>
              <w:lastRenderedPageBreak/>
              <w:t>тысяч) евро до 500 000 (пятисот тысяч) евро по официальному курсу, установленному центральным банком Приднестровской Молдавской Республики на дату вложения инвестиций, – на срок 5 (пять) лет;</w:t>
            </w:r>
          </w:p>
          <w:p w:rsidR="00731CEF" w:rsidRPr="00912EF8" w:rsidRDefault="00731CEF" w:rsidP="0057406D">
            <w:pPr>
              <w:pStyle w:val="a6"/>
              <w:ind w:left="28" w:firstLine="539"/>
              <w:jc w:val="both"/>
              <w:rPr>
                <w:sz w:val="28"/>
                <w:szCs w:val="28"/>
              </w:rPr>
            </w:pPr>
            <w:r w:rsidRPr="00912EF8">
              <w:rPr>
                <w:sz w:val="28"/>
                <w:szCs w:val="28"/>
              </w:rPr>
              <w:t>2) при объеме инвестиций в основные средства от 500 000 (пятисот тысяч) евро до 1 000 000 (одного миллиона) евро по официальному курсу, установленному центральным банком Приднестровской Молдавской Республики на дату вложения инвестиций, – на срок 7 (семь) лет;</w:t>
            </w:r>
          </w:p>
          <w:p w:rsidR="00731CEF" w:rsidRPr="00D742E8" w:rsidRDefault="00731CEF" w:rsidP="0057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shd w:val="clear" w:color="auto" w:fill="FFFFFF"/>
              </w:rPr>
            </w:pPr>
            <w:r w:rsidRPr="00912EF8">
              <w:rPr>
                <w:rFonts w:ascii="Times New Roman" w:hAnsi="Times New Roman" w:cs="Times New Roman"/>
                <w:sz w:val="28"/>
                <w:szCs w:val="28"/>
              </w:rPr>
              <w:t>3) при объеме инвестиций в основные средства более 1 000 000 (одного миллиона) евро по официальному курсу, установленному центральным банком Приднестровской Молдавской Республики на дату вложения инвестиций, – на срок 10 (десять) лет.</w:t>
            </w:r>
          </w:p>
        </w:tc>
      </w:tr>
    </w:tbl>
    <w:p w:rsidR="00731CEF" w:rsidRDefault="00731CEF" w:rsidP="00731CEF">
      <w:pPr>
        <w:spacing w:after="0" w:line="240" w:lineRule="auto"/>
        <w:jc w:val="center"/>
        <w:rPr>
          <w:sz w:val="28"/>
          <w:szCs w:val="28"/>
        </w:rPr>
      </w:pPr>
    </w:p>
    <w:p w:rsidR="00731CEF" w:rsidRPr="007B323D" w:rsidRDefault="00731CEF" w:rsidP="00731CEF">
      <w:pPr>
        <w:rPr>
          <w:sz w:val="28"/>
          <w:szCs w:val="28"/>
        </w:rPr>
      </w:pPr>
    </w:p>
    <w:p w:rsidR="009A542C" w:rsidRDefault="009A542C"/>
    <w:sectPr w:rsidR="009A542C" w:rsidSect="00DD66E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EF"/>
    <w:rsid w:val="0057406D"/>
    <w:rsid w:val="00731CEF"/>
    <w:rsid w:val="009A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A48CA-E684-48A3-A8E1-AAADE90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C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rsid w:val="00731CEF"/>
    <w:rPr>
      <w:rFonts w:ascii="Calibri" w:eastAsia="Calibri" w:hAnsi="Calibri" w:cs="Times New Roman"/>
      <w:sz w:val="26"/>
      <w:szCs w:val="26"/>
      <w:shd w:val="clear" w:color="auto" w:fill="FFFFFF"/>
    </w:rPr>
  </w:style>
  <w:style w:type="paragraph" w:customStyle="1" w:styleId="41">
    <w:name w:val="Основной текст (4)1"/>
    <w:basedOn w:val="a"/>
    <w:link w:val="4"/>
    <w:rsid w:val="00731CEF"/>
    <w:pPr>
      <w:shd w:val="clear" w:color="auto" w:fill="FFFFFF"/>
      <w:spacing w:before="720" w:after="360" w:line="240" w:lineRule="atLeast"/>
    </w:pPr>
    <w:rPr>
      <w:rFonts w:ascii="Calibri" w:eastAsia="Calibri" w:hAnsi="Calibri" w:cs="Times New Roman"/>
      <w:sz w:val="26"/>
      <w:szCs w:val="26"/>
      <w:lang w:eastAsia="en-US"/>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4"/>
    <w:rsid w:val="00731CEF"/>
    <w:pPr>
      <w:spacing w:after="0" w:line="240" w:lineRule="auto"/>
    </w:pPr>
    <w:rPr>
      <w:rFonts w:ascii="Courier New" w:eastAsia="Times New Roman" w:hAnsi="Courier New" w:cs="Times New Roman"/>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731CEF"/>
    <w:rPr>
      <w:rFonts w:ascii="Courier New" w:eastAsia="Times New Roman" w:hAnsi="Courier New" w:cs="Times New Roman"/>
      <w:sz w:val="20"/>
      <w:szCs w:val="20"/>
      <w:lang w:eastAsia="ru-RU"/>
    </w:rPr>
  </w:style>
  <w:style w:type="table" w:styleId="a5">
    <w:name w:val="Table Grid"/>
    <w:basedOn w:val="a1"/>
    <w:uiPriority w:val="59"/>
    <w:rsid w:val="00731C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31CE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2025-06-02T13:44:00Z</dcterms:created>
  <dcterms:modified xsi:type="dcterms:W3CDTF">2025-06-02T14:03:00Z</dcterms:modified>
</cp:coreProperties>
</file>