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СРАВНИТЕЛЬНАЯ ТАБЛИЦА</w:t>
      </w:r>
    </w:p>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 xml:space="preserve">к проекту закона Приднестровской Молдавской Республики </w:t>
      </w:r>
    </w:p>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 xml:space="preserve">«О внесении дополнений в Закон Приднестровской Молдавской Республики </w:t>
      </w:r>
    </w:p>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 xml:space="preserve">«О государственных мерах, направленных на минимизацию </w:t>
      </w:r>
    </w:p>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 xml:space="preserve">негативного воздействия на экономику, связанного с сокращением (прекращением) поставок природного газа </w:t>
      </w:r>
    </w:p>
    <w:p w:rsidR="00E3797D" w:rsidRPr="00160937" w:rsidRDefault="00E3797D" w:rsidP="00E3797D">
      <w:pPr>
        <w:pStyle w:val="a4"/>
        <w:jc w:val="both"/>
        <w:rPr>
          <w:rFonts w:ascii="Times New Roman" w:hAnsi="Times New Roman" w:cs="Times New Roman"/>
          <w:sz w:val="24"/>
          <w:szCs w:val="24"/>
        </w:rPr>
      </w:pPr>
      <w:r w:rsidRPr="00160937">
        <w:rPr>
          <w:rFonts w:ascii="Times New Roman" w:hAnsi="Times New Roman" w:cs="Times New Roman"/>
          <w:sz w:val="24"/>
          <w:szCs w:val="24"/>
        </w:rPr>
        <w:t>в Приднестровскую Молдавскую Республику в 2025 году»</w:t>
      </w:r>
    </w:p>
    <w:p w:rsidR="00E3797D" w:rsidRPr="00160937" w:rsidRDefault="00E3797D" w:rsidP="00E3797D">
      <w:pPr>
        <w:pStyle w:val="a4"/>
        <w:jc w:val="both"/>
        <w:rPr>
          <w:rFonts w:ascii="Times New Roman" w:hAnsi="Times New Roman" w:cs="Times New Roman"/>
          <w:sz w:val="24"/>
          <w:szCs w:val="24"/>
        </w:rPr>
      </w:pPr>
    </w:p>
    <w:p w:rsidR="00E3797D" w:rsidRPr="00160937" w:rsidRDefault="00E3797D" w:rsidP="00E3797D">
      <w:pPr>
        <w:pStyle w:val="a4"/>
        <w:jc w:val="both"/>
        <w:rPr>
          <w:rFonts w:ascii="Times New Roman" w:hAnsi="Times New Roman" w:cs="Times New Roman"/>
          <w:sz w:val="24"/>
          <w:szCs w:val="24"/>
        </w:rPr>
      </w:pPr>
    </w:p>
    <w:tbl>
      <w:tblPr>
        <w:tblStyle w:val="a3"/>
        <w:tblW w:w="10348" w:type="dxa"/>
        <w:tblInd w:w="-572" w:type="dxa"/>
        <w:tblLook w:val="04A0" w:firstRow="1" w:lastRow="0" w:firstColumn="1" w:lastColumn="0" w:noHBand="0" w:noVBand="1"/>
      </w:tblPr>
      <w:tblGrid>
        <w:gridCol w:w="426"/>
        <w:gridCol w:w="4819"/>
        <w:gridCol w:w="5103"/>
      </w:tblGrid>
      <w:tr w:rsidR="00E3797D" w:rsidRPr="00160937" w:rsidTr="00FC1189">
        <w:tc>
          <w:tcPr>
            <w:tcW w:w="426" w:type="dxa"/>
          </w:tcPr>
          <w:p w:rsidR="00E3797D" w:rsidRPr="00160937" w:rsidRDefault="00E3797D" w:rsidP="00FC1189">
            <w:pPr>
              <w:pStyle w:val="a4"/>
              <w:jc w:val="both"/>
              <w:rPr>
                <w:sz w:val="24"/>
                <w:szCs w:val="24"/>
              </w:rPr>
            </w:pPr>
          </w:p>
        </w:tc>
        <w:tc>
          <w:tcPr>
            <w:tcW w:w="4819" w:type="dxa"/>
          </w:tcPr>
          <w:p w:rsidR="00E3797D" w:rsidRPr="00160937" w:rsidRDefault="00E3797D" w:rsidP="00FC1189">
            <w:pPr>
              <w:pStyle w:val="a4"/>
              <w:jc w:val="both"/>
              <w:rPr>
                <w:sz w:val="24"/>
                <w:szCs w:val="24"/>
              </w:rPr>
            </w:pPr>
            <w:r w:rsidRPr="00160937">
              <w:rPr>
                <w:sz w:val="24"/>
                <w:szCs w:val="24"/>
              </w:rPr>
              <w:t>Действующая редакция</w:t>
            </w:r>
          </w:p>
          <w:p w:rsidR="00E3797D" w:rsidRPr="00160937" w:rsidRDefault="00E3797D" w:rsidP="00FC1189">
            <w:pPr>
              <w:pStyle w:val="a4"/>
              <w:jc w:val="both"/>
              <w:rPr>
                <w:sz w:val="24"/>
                <w:szCs w:val="24"/>
              </w:rPr>
            </w:pPr>
          </w:p>
        </w:tc>
        <w:tc>
          <w:tcPr>
            <w:tcW w:w="5103" w:type="dxa"/>
          </w:tcPr>
          <w:p w:rsidR="00E3797D" w:rsidRPr="00160937" w:rsidRDefault="00E3797D" w:rsidP="00FC1189">
            <w:pPr>
              <w:pStyle w:val="a4"/>
              <w:jc w:val="both"/>
              <w:rPr>
                <w:sz w:val="24"/>
                <w:szCs w:val="24"/>
              </w:rPr>
            </w:pPr>
            <w:r w:rsidRPr="00160937">
              <w:rPr>
                <w:sz w:val="24"/>
                <w:szCs w:val="24"/>
              </w:rPr>
              <w:t>Предлагаемая редакция</w:t>
            </w:r>
          </w:p>
        </w:tc>
      </w:tr>
      <w:tr w:rsidR="00E3797D" w:rsidRPr="00160937" w:rsidTr="00FC1189">
        <w:tc>
          <w:tcPr>
            <w:tcW w:w="426" w:type="dxa"/>
          </w:tcPr>
          <w:p w:rsidR="00E3797D" w:rsidRPr="00160937" w:rsidRDefault="00E3797D" w:rsidP="00FC1189">
            <w:pPr>
              <w:pStyle w:val="a4"/>
              <w:jc w:val="both"/>
              <w:rPr>
                <w:sz w:val="24"/>
                <w:szCs w:val="24"/>
              </w:rPr>
            </w:pPr>
            <w:r w:rsidRPr="00160937">
              <w:rPr>
                <w:sz w:val="24"/>
                <w:szCs w:val="24"/>
              </w:rPr>
              <w:t>1.</w:t>
            </w:r>
          </w:p>
        </w:tc>
        <w:tc>
          <w:tcPr>
            <w:tcW w:w="4819" w:type="dxa"/>
          </w:tcPr>
          <w:p w:rsidR="00E3797D" w:rsidRPr="00160937" w:rsidRDefault="00E3797D" w:rsidP="00FC1189">
            <w:pPr>
              <w:pStyle w:val="a4"/>
              <w:jc w:val="both"/>
              <w:rPr>
                <w:sz w:val="24"/>
                <w:szCs w:val="24"/>
              </w:rPr>
            </w:pPr>
            <w:r w:rsidRPr="00160937">
              <w:rPr>
                <w:sz w:val="24"/>
                <w:szCs w:val="24"/>
              </w:rPr>
              <w:t>Статья 8.</w:t>
            </w:r>
          </w:p>
          <w:p w:rsidR="00E3797D" w:rsidRPr="00160937" w:rsidRDefault="00E3797D" w:rsidP="00FC1189">
            <w:pPr>
              <w:pStyle w:val="a4"/>
              <w:jc w:val="both"/>
              <w:rPr>
                <w:sz w:val="24"/>
                <w:szCs w:val="24"/>
              </w:rPr>
            </w:pPr>
            <w:r w:rsidRPr="00160937">
              <w:rPr>
                <w:sz w:val="24"/>
                <w:szCs w:val="24"/>
              </w:rPr>
              <w:t>Отсутствует.</w:t>
            </w:r>
          </w:p>
        </w:tc>
        <w:tc>
          <w:tcPr>
            <w:tcW w:w="5103" w:type="dxa"/>
          </w:tcPr>
          <w:p w:rsidR="00E3797D" w:rsidRPr="00160937" w:rsidRDefault="00E3797D" w:rsidP="00FC1189">
            <w:pPr>
              <w:pStyle w:val="a4"/>
              <w:jc w:val="both"/>
              <w:rPr>
                <w:sz w:val="24"/>
                <w:szCs w:val="24"/>
              </w:rPr>
            </w:pPr>
            <w:r w:rsidRPr="00160937">
              <w:rPr>
                <w:sz w:val="24"/>
                <w:szCs w:val="24"/>
              </w:rPr>
              <w:t>Статья 8.</w:t>
            </w:r>
          </w:p>
          <w:p w:rsidR="00E3797D" w:rsidRPr="00160937" w:rsidRDefault="00E3797D" w:rsidP="00FC1189">
            <w:pPr>
              <w:pStyle w:val="a4"/>
              <w:jc w:val="both"/>
              <w:rPr>
                <w:sz w:val="24"/>
                <w:szCs w:val="24"/>
              </w:rPr>
            </w:pPr>
            <w:r w:rsidRPr="00160937">
              <w:rPr>
                <w:sz w:val="24"/>
                <w:szCs w:val="24"/>
              </w:rPr>
              <w:t>…</w:t>
            </w:r>
          </w:p>
          <w:p w:rsidR="00E3797D" w:rsidRPr="00160937" w:rsidRDefault="00E3797D" w:rsidP="00FC1189">
            <w:pPr>
              <w:pStyle w:val="a4"/>
              <w:jc w:val="both"/>
              <w:rPr>
                <w:sz w:val="24"/>
                <w:szCs w:val="24"/>
              </w:rPr>
            </w:pPr>
            <w:r w:rsidRPr="00160937">
              <w:rPr>
                <w:sz w:val="24"/>
                <w:szCs w:val="24"/>
              </w:rPr>
              <w:t xml:space="preserve">Лицам, вознаграждение за труд (службу) которым осуществляется за счет средств государственного бюджета или внебюджетных фондов, с 1 июля 2025 года по 31 декабря </w:t>
            </w:r>
            <w:r w:rsidRPr="00160937">
              <w:rPr>
                <w:sz w:val="24"/>
                <w:szCs w:val="24"/>
              </w:rPr>
              <w:br/>
              <w:t>2025 года выплата заработной платы (денежного содержания, денежного довольствия), иных причитающихся сумм, окончательный расчет при увольнении производятся равными частями 2 (два) раза в месяц:</w:t>
            </w:r>
          </w:p>
          <w:p w:rsidR="00E3797D" w:rsidRPr="00160937" w:rsidRDefault="00E3797D" w:rsidP="00FC1189">
            <w:pPr>
              <w:pStyle w:val="a4"/>
              <w:jc w:val="both"/>
              <w:rPr>
                <w:sz w:val="24"/>
                <w:szCs w:val="24"/>
              </w:rPr>
            </w:pPr>
            <w:r w:rsidRPr="00160937">
              <w:rPr>
                <w:sz w:val="24"/>
                <w:szCs w:val="24"/>
              </w:rPr>
              <w:t>а) первая часть – до 20 числа каждого месяца включительно;</w:t>
            </w:r>
          </w:p>
          <w:p w:rsidR="00E3797D" w:rsidRPr="00160937" w:rsidRDefault="00E3797D" w:rsidP="00FC1189">
            <w:pPr>
              <w:pStyle w:val="a4"/>
              <w:jc w:val="both"/>
              <w:rPr>
                <w:sz w:val="24"/>
                <w:szCs w:val="24"/>
              </w:rPr>
            </w:pPr>
            <w:r w:rsidRPr="00160937">
              <w:rPr>
                <w:sz w:val="24"/>
                <w:szCs w:val="24"/>
              </w:rPr>
              <w:t>б) вторая часть – с 21 до 30 (31) числа каждого месяца включительно.</w:t>
            </w:r>
          </w:p>
        </w:tc>
      </w:tr>
      <w:tr w:rsidR="00E3797D" w:rsidRPr="00160937" w:rsidTr="00FC1189">
        <w:tc>
          <w:tcPr>
            <w:tcW w:w="426" w:type="dxa"/>
          </w:tcPr>
          <w:p w:rsidR="00E3797D" w:rsidRPr="00160937" w:rsidRDefault="00E3797D" w:rsidP="00FC1189">
            <w:pPr>
              <w:pStyle w:val="a4"/>
              <w:jc w:val="both"/>
              <w:rPr>
                <w:sz w:val="24"/>
                <w:szCs w:val="24"/>
              </w:rPr>
            </w:pPr>
            <w:r w:rsidRPr="00160937">
              <w:rPr>
                <w:sz w:val="24"/>
                <w:szCs w:val="24"/>
              </w:rPr>
              <w:t>2.</w:t>
            </w:r>
          </w:p>
        </w:tc>
        <w:tc>
          <w:tcPr>
            <w:tcW w:w="4819" w:type="dxa"/>
          </w:tcPr>
          <w:p w:rsidR="00E3797D" w:rsidRPr="00160937" w:rsidRDefault="00E3797D" w:rsidP="00FC1189">
            <w:pPr>
              <w:pStyle w:val="a4"/>
              <w:jc w:val="both"/>
              <w:rPr>
                <w:sz w:val="24"/>
                <w:szCs w:val="24"/>
              </w:rPr>
            </w:pPr>
            <w:r w:rsidRPr="00160937">
              <w:rPr>
                <w:sz w:val="24"/>
                <w:szCs w:val="24"/>
              </w:rPr>
              <w:t>Статья 11-1.</w:t>
            </w:r>
          </w:p>
          <w:p w:rsidR="00E3797D" w:rsidRPr="00160937" w:rsidRDefault="00E3797D" w:rsidP="00FC1189">
            <w:pPr>
              <w:pStyle w:val="a4"/>
              <w:jc w:val="both"/>
              <w:rPr>
                <w:sz w:val="24"/>
                <w:szCs w:val="24"/>
              </w:rPr>
            </w:pPr>
            <w:r w:rsidRPr="00160937">
              <w:rPr>
                <w:sz w:val="24"/>
                <w:szCs w:val="24"/>
              </w:rPr>
              <w:t>Отсутствует.</w:t>
            </w:r>
          </w:p>
          <w:p w:rsidR="00E3797D" w:rsidRPr="00160937" w:rsidRDefault="00E3797D" w:rsidP="00FC1189">
            <w:pPr>
              <w:pStyle w:val="a4"/>
              <w:jc w:val="both"/>
              <w:rPr>
                <w:sz w:val="24"/>
                <w:szCs w:val="24"/>
              </w:rPr>
            </w:pPr>
          </w:p>
        </w:tc>
        <w:tc>
          <w:tcPr>
            <w:tcW w:w="5103" w:type="dxa"/>
          </w:tcPr>
          <w:p w:rsidR="00E3797D" w:rsidRPr="00160937" w:rsidRDefault="00E3797D" w:rsidP="00FC1189">
            <w:pPr>
              <w:pStyle w:val="a4"/>
              <w:jc w:val="both"/>
              <w:rPr>
                <w:sz w:val="24"/>
                <w:szCs w:val="24"/>
              </w:rPr>
            </w:pPr>
            <w:r w:rsidRPr="00160937">
              <w:rPr>
                <w:sz w:val="24"/>
                <w:szCs w:val="24"/>
              </w:rPr>
              <w:t>Статья 11-1.</w:t>
            </w:r>
          </w:p>
          <w:p w:rsidR="00E3797D" w:rsidRPr="00160937" w:rsidRDefault="00E3797D" w:rsidP="00FC1189">
            <w:pPr>
              <w:pStyle w:val="a4"/>
              <w:jc w:val="both"/>
              <w:rPr>
                <w:sz w:val="24"/>
                <w:szCs w:val="24"/>
              </w:rPr>
            </w:pPr>
            <w:r w:rsidRPr="00160937">
              <w:rPr>
                <w:sz w:val="24"/>
                <w:szCs w:val="24"/>
              </w:rPr>
              <w:t>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Тирасполь, направить часть остатка средств, не имеющего целевого назначения, на счетах местного бюджета города Тирасполь по состоянию на 20 июня 2025 года в сумме 75 000 000 рублей Приднестровской Молдавской Республики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«О республиканском бюджете на 2025 год».</w:t>
            </w:r>
          </w:p>
          <w:p w:rsidR="00E3797D" w:rsidRPr="00160937" w:rsidRDefault="00E3797D" w:rsidP="00FC1189">
            <w:pPr>
              <w:pStyle w:val="a4"/>
              <w:jc w:val="both"/>
              <w:rPr>
                <w:sz w:val="24"/>
                <w:szCs w:val="24"/>
              </w:rPr>
            </w:pPr>
            <w:r w:rsidRPr="00160937">
              <w:rPr>
                <w:sz w:val="24"/>
                <w:szCs w:val="24"/>
              </w:rPr>
              <w:t xml:space="preserve">В целях обеспечения сбалансированности местного бюджета города Тирасполь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w:t>
            </w:r>
            <w:r w:rsidRPr="00160937">
              <w:rPr>
                <w:sz w:val="24"/>
                <w:szCs w:val="24"/>
              </w:rPr>
              <w:lastRenderedPageBreak/>
              <w:t xml:space="preserve">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«О республиканском бюджете на 2025 год».  </w:t>
            </w:r>
          </w:p>
          <w:p w:rsidR="00E3797D" w:rsidRPr="00160937" w:rsidRDefault="00E3797D" w:rsidP="00FC1189">
            <w:pPr>
              <w:pStyle w:val="a4"/>
              <w:jc w:val="both"/>
              <w:rPr>
                <w:sz w:val="24"/>
                <w:szCs w:val="24"/>
              </w:rPr>
            </w:pPr>
            <w:r w:rsidRPr="00160937">
              <w:rPr>
                <w:sz w:val="24"/>
                <w:szCs w:val="24"/>
              </w:rPr>
              <w:t>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использованные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имеющихся на счетах местных бюджетов по состоянию на 20 июня 2025 года,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«О республиканском бюджете на 2025 год».</w:t>
            </w:r>
          </w:p>
          <w:p w:rsidR="00E3797D" w:rsidRPr="00160937" w:rsidRDefault="00E3797D" w:rsidP="00FC1189">
            <w:pPr>
              <w:pStyle w:val="a4"/>
              <w:jc w:val="both"/>
              <w:rPr>
                <w:sz w:val="24"/>
                <w:szCs w:val="24"/>
              </w:rPr>
            </w:pPr>
            <w:r w:rsidRPr="00160937">
              <w:rPr>
                <w:sz w:val="24"/>
                <w:szCs w:val="24"/>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w:t>
            </w:r>
            <w:r w:rsidRPr="00160937">
              <w:rPr>
                <w:sz w:val="24"/>
                <w:szCs w:val="24"/>
              </w:rPr>
              <w:lastRenderedPageBreak/>
              <w:t>использованные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с последующим внесением изменений в Закон Приднестровской Молдавской Республики «О республиканском бюджете на 2025 год».</w:t>
            </w:r>
          </w:p>
          <w:p w:rsidR="00E3797D" w:rsidRPr="00160937" w:rsidRDefault="00E3797D" w:rsidP="00FC1189">
            <w:pPr>
              <w:pStyle w:val="a4"/>
              <w:jc w:val="both"/>
              <w:rPr>
                <w:sz w:val="24"/>
                <w:szCs w:val="24"/>
              </w:rPr>
            </w:pPr>
            <w:r w:rsidRPr="00160937">
              <w:rPr>
                <w:sz w:val="24"/>
                <w:szCs w:val="24"/>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 а также порядок обращения исполнительных органов государственной власти, ответственных за исполнение местных бюджетов городов (районов), на выделение средств из республиканского бюджета местным бюджетам городов (районов) устанавливается правовым актом Правительства Приднестровской Молдавской Республики.</w:t>
            </w:r>
          </w:p>
          <w:p w:rsidR="00E3797D" w:rsidRPr="00160937" w:rsidRDefault="00E3797D" w:rsidP="00FC1189">
            <w:pPr>
              <w:pStyle w:val="a4"/>
              <w:jc w:val="both"/>
              <w:rPr>
                <w:sz w:val="24"/>
                <w:szCs w:val="24"/>
              </w:rPr>
            </w:pPr>
            <w:r w:rsidRPr="00160937">
              <w:rPr>
                <w:sz w:val="24"/>
                <w:szCs w:val="24"/>
              </w:rPr>
              <w:t xml:space="preserve">В целях обеспечения сбалансированности местного бюджета города </w:t>
            </w:r>
            <w:proofErr w:type="spellStart"/>
            <w:r w:rsidRPr="00160937">
              <w:rPr>
                <w:sz w:val="24"/>
                <w:szCs w:val="24"/>
              </w:rPr>
              <w:t>Днестровск</w:t>
            </w:r>
            <w:proofErr w:type="spellEnd"/>
            <w:r w:rsidRPr="00160937">
              <w:rPr>
                <w:sz w:val="24"/>
                <w:szCs w:val="24"/>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160937">
              <w:rPr>
                <w:sz w:val="24"/>
                <w:szCs w:val="24"/>
              </w:rPr>
              <w:t>Днестровск</w:t>
            </w:r>
            <w:proofErr w:type="spellEnd"/>
            <w:r w:rsidRPr="00160937">
              <w:rPr>
                <w:sz w:val="24"/>
                <w:szCs w:val="24"/>
              </w:rPr>
              <w:t xml:space="preserve"> с последующим внесением изменений в Закон Приднестровской Молдавской Республики «О республиканском бюджете на 2025 год».</w:t>
            </w:r>
          </w:p>
        </w:tc>
      </w:tr>
    </w:tbl>
    <w:p w:rsidR="00E3797D" w:rsidRPr="00160937" w:rsidRDefault="00E3797D" w:rsidP="00E3797D">
      <w:pPr>
        <w:pStyle w:val="a4"/>
        <w:jc w:val="both"/>
        <w:rPr>
          <w:rFonts w:ascii="Times New Roman" w:hAnsi="Times New Roman" w:cs="Times New Roman"/>
          <w:sz w:val="24"/>
          <w:szCs w:val="24"/>
        </w:rPr>
      </w:pPr>
    </w:p>
    <w:p w:rsidR="00E3797D" w:rsidRPr="00160937" w:rsidRDefault="00E3797D" w:rsidP="00E3797D">
      <w:pPr>
        <w:pStyle w:val="a4"/>
        <w:jc w:val="both"/>
        <w:rPr>
          <w:rFonts w:ascii="Times New Roman" w:hAnsi="Times New Roman" w:cs="Times New Roman"/>
          <w:sz w:val="24"/>
          <w:szCs w:val="24"/>
        </w:rPr>
      </w:pPr>
    </w:p>
    <w:p w:rsidR="00BE7118" w:rsidRDefault="00BE7118">
      <w:bookmarkStart w:id="0" w:name="_GoBack"/>
      <w:bookmarkEnd w:id="0"/>
    </w:p>
    <w:sectPr w:rsidR="00BE7118" w:rsidSect="00E3797D">
      <w:headerReference w:type="default" r:id="rId4"/>
      <w:pgSz w:w="11906" w:h="16838" w:code="9"/>
      <w:pgMar w:top="1134" w:right="850" w:bottom="1134" w:left="1701" w:header="709"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599245"/>
      <w:docPartObj>
        <w:docPartGallery w:val="Page Numbers (Top of Page)"/>
        <w:docPartUnique/>
      </w:docPartObj>
    </w:sdtPr>
    <w:sdtEndPr/>
    <w:sdtContent>
      <w:p w:rsidR="006256E2" w:rsidRDefault="00E3797D">
        <w:pPr>
          <w:pStyle w:val="a5"/>
          <w:jc w:val="center"/>
        </w:pPr>
        <w:r>
          <w:fldChar w:fldCharType="begin"/>
        </w:r>
        <w:r>
          <w:instrText>PAGE   \* MERGEFORMAT</w:instrText>
        </w:r>
        <w:r>
          <w:fldChar w:fldCharType="separate"/>
        </w:r>
        <w:r>
          <w:rPr>
            <w:noProof/>
          </w:rPr>
          <w:t>- 2 -</w:t>
        </w:r>
        <w:r>
          <w:fldChar w:fldCharType="end"/>
        </w:r>
      </w:p>
    </w:sdtContent>
  </w:sdt>
  <w:p w:rsidR="009D4FB5" w:rsidRDefault="00E379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E6"/>
    <w:rsid w:val="008E35E6"/>
    <w:rsid w:val="00BE7118"/>
    <w:rsid w:val="00E3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438F8-07C5-49DF-9B07-FE851D9C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9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3797D"/>
    <w:pPr>
      <w:spacing w:after="0" w:line="240" w:lineRule="auto"/>
    </w:pPr>
  </w:style>
  <w:style w:type="paragraph" w:styleId="a5">
    <w:name w:val="header"/>
    <w:basedOn w:val="a"/>
    <w:link w:val="a6"/>
    <w:uiPriority w:val="99"/>
    <w:unhideWhenUsed/>
    <w:rsid w:val="00E3797D"/>
    <w:pPr>
      <w:tabs>
        <w:tab w:val="center" w:pos="4677"/>
        <w:tab w:val="right" w:pos="9355"/>
      </w:tabs>
    </w:pPr>
  </w:style>
  <w:style w:type="character" w:customStyle="1" w:styleId="a6">
    <w:name w:val="Верхний колонтитул Знак"/>
    <w:basedOn w:val="a0"/>
    <w:link w:val="a5"/>
    <w:uiPriority w:val="99"/>
    <w:rsid w:val="00E379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2025-06-20T11:08:00Z</dcterms:created>
  <dcterms:modified xsi:type="dcterms:W3CDTF">2025-06-20T11:08:00Z</dcterms:modified>
</cp:coreProperties>
</file>