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D4" w:rsidRPr="00941169" w:rsidRDefault="007E05D4" w:rsidP="007E05D4">
      <w:bookmarkStart w:id="0" w:name="_GoBack"/>
    </w:p>
    <w:p w:rsidR="007E05D4" w:rsidRPr="00941169" w:rsidRDefault="007E05D4" w:rsidP="007E05D4">
      <w:pPr>
        <w:shd w:val="clear" w:color="auto" w:fill="FFFFFF"/>
        <w:ind w:left="4678"/>
      </w:pPr>
      <w:r w:rsidRPr="00941169">
        <w:t xml:space="preserve">Приложение </w:t>
      </w:r>
    </w:p>
    <w:p w:rsidR="007E05D4" w:rsidRPr="00941169" w:rsidRDefault="007E05D4" w:rsidP="007E05D4">
      <w:pPr>
        <w:shd w:val="clear" w:color="auto" w:fill="FFFFFF"/>
        <w:ind w:left="4678"/>
      </w:pPr>
      <w:r w:rsidRPr="00941169">
        <w:t>к Постановлению Верховного Совета</w:t>
      </w:r>
    </w:p>
    <w:p w:rsidR="007E05D4" w:rsidRPr="00941169" w:rsidRDefault="007E05D4" w:rsidP="007E05D4">
      <w:pPr>
        <w:shd w:val="clear" w:color="auto" w:fill="FFFFFF"/>
        <w:ind w:left="4678"/>
      </w:pPr>
      <w:r w:rsidRPr="00941169">
        <w:t>Приднестровской Молдавской Республики</w:t>
      </w:r>
    </w:p>
    <w:p w:rsidR="007E05D4" w:rsidRPr="00941169" w:rsidRDefault="007E05D4" w:rsidP="007E05D4">
      <w:pPr>
        <w:shd w:val="clear" w:color="auto" w:fill="FFFFFF"/>
        <w:ind w:left="4678"/>
      </w:pPr>
      <w:r w:rsidRPr="00941169">
        <w:t>от __________ 2025 года №____</w:t>
      </w:r>
    </w:p>
    <w:p w:rsidR="007E05D4" w:rsidRPr="00941169" w:rsidRDefault="007E05D4" w:rsidP="007E05D4">
      <w:pPr>
        <w:jc w:val="center"/>
      </w:pPr>
    </w:p>
    <w:p w:rsidR="007E05D4" w:rsidRPr="00941169" w:rsidRDefault="007E05D4" w:rsidP="007E05D4">
      <w:pPr>
        <w:pStyle w:val="41"/>
        <w:shd w:val="clear" w:color="auto" w:fill="auto"/>
        <w:spacing w:before="0" w:after="0" w:line="240" w:lineRule="auto"/>
        <w:ind w:right="-57"/>
        <w:jc w:val="right"/>
        <w:rPr>
          <w:sz w:val="24"/>
          <w:szCs w:val="24"/>
        </w:rPr>
      </w:pPr>
    </w:p>
    <w:p w:rsidR="007E05D4" w:rsidRPr="00941169" w:rsidRDefault="007E05D4" w:rsidP="007E05D4">
      <w:pPr>
        <w:pStyle w:val="41"/>
        <w:shd w:val="clear" w:color="auto" w:fill="auto"/>
        <w:spacing w:before="0" w:after="0" w:line="240" w:lineRule="auto"/>
        <w:ind w:right="-57"/>
        <w:jc w:val="right"/>
        <w:rPr>
          <w:sz w:val="24"/>
          <w:szCs w:val="24"/>
        </w:rPr>
      </w:pPr>
    </w:p>
    <w:p w:rsidR="007E05D4" w:rsidRPr="00941169" w:rsidRDefault="007E05D4" w:rsidP="007E05D4">
      <w:pPr>
        <w:jc w:val="center"/>
      </w:pPr>
      <w:r w:rsidRPr="00941169">
        <w:t>Прогноз</w:t>
      </w:r>
    </w:p>
    <w:p w:rsidR="007E05D4" w:rsidRPr="00941169" w:rsidRDefault="007E05D4" w:rsidP="007E05D4">
      <w:pPr>
        <w:pStyle w:val="41"/>
        <w:shd w:val="clear" w:color="auto" w:fill="auto"/>
        <w:spacing w:before="0" w:after="0" w:line="240" w:lineRule="auto"/>
        <w:ind w:right="-57"/>
        <w:jc w:val="center"/>
        <w:rPr>
          <w:sz w:val="24"/>
          <w:szCs w:val="24"/>
        </w:rPr>
      </w:pPr>
      <w:r w:rsidRPr="00941169">
        <w:rPr>
          <w:sz w:val="24"/>
          <w:szCs w:val="24"/>
        </w:rPr>
        <w:t xml:space="preserve">социально-экономического развития </w:t>
      </w:r>
      <w:r w:rsidRPr="00941169">
        <w:rPr>
          <w:sz w:val="24"/>
          <w:szCs w:val="24"/>
        </w:rPr>
        <w:br/>
        <w:t>Приднестровской Молдавской Республики на 2026 год</w:t>
      </w:r>
    </w:p>
    <w:p w:rsidR="007E05D4" w:rsidRPr="00941169" w:rsidRDefault="007E05D4" w:rsidP="007E05D4">
      <w:pPr>
        <w:pStyle w:val="41"/>
        <w:shd w:val="clear" w:color="auto" w:fill="auto"/>
        <w:spacing w:before="0" w:after="0" w:line="240" w:lineRule="auto"/>
        <w:ind w:right="-57" w:firstLine="567"/>
        <w:jc w:val="both"/>
        <w:rPr>
          <w:b/>
          <w:bCs/>
          <w:sz w:val="24"/>
          <w:szCs w:val="24"/>
        </w:rPr>
      </w:pPr>
    </w:p>
    <w:p w:rsidR="007E05D4" w:rsidRPr="00941169" w:rsidRDefault="007E05D4" w:rsidP="007E05D4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941169">
        <w:rPr>
          <w:rFonts w:ascii="Times New Roman" w:hAnsi="Times New Roman"/>
          <w:color w:val="auto"/>
          <w:sz w:val="24"/>
          <w:szCs w:val="24"/>
          <w:lang w:eastAsia="en-US"/>
        </w:rPr>
        <w:t>1. Введение</w:t>
      </w:r>
    </w:p>
    <w:p w:rsidR="007E05D4" w:rsidRPr="00941169" w:rsidRDefault="007E05D4" w:rsidP="007E05D4">
      <w:pPr>
        <w:pStyle w:val="1"/>
        <w:spacing w:before="0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7E05D4" w:rsidRPr="00941169" w:rsidRDefault="007E05D4" w:rsidP="007E05D4">
      <w:pPr>
        <w:ind w:firstLine="709"/>
        <w:jc w:val="both"/>
      </w:pPr>
      <w:r w:rsidRPr="00941169">
        <w:t xml:space="preserve">Прогноз социально-экономического развития на 2026 год (далее – Прогноз) разработан в соответствии с законодательством Приднестровской Молдавской Республики, исходя из задач и приоритетов социально-экономического развития, </w:t>
      </w:r>
      <w:r w:rsidRPr="00941169">
        <w:rPr>
          <w:lang w:eastAsia="en-US"/>
        </w:rPr>
        <w:t xml:space="preserve">обозначенных в </w:t>
      </w:r>
      <w:r w:rsidRPr="00941169">
        <w:rPr>
          <w:bCs/>
        </w:rPr>
        <w:t xml:space="preserve">Стратегии развития </w:t>
      </w:r>
      <w:r w:rsidRPr="00941169">
        <w:t>Приднестровской Молдавской Республики на 2019-2026 годы, утвержденной Указом Президента Приднестровской Молдавской Республики от 12 декабря 2018 года № 460 (САЗ 18-50)</w:t>
      </w:r>
      <w:r w:rsidRPr="00941169">
        <w:rPr>
          <w:lang w:eastAsia="en-US"/>
        </w:rPr>
        <w:t>.</w:t>
      </w:r>
    </w:p>
    <w:p w:rsidR="007E05D4" w:rsidRPr="00941169" w:rsidRDefault="007E05D4" w:rsidP="007E05D4">
      <w:pPr>
        <w:ind w:firstLine="709"/>
        <w:jc w:val="both"/>
        <w:rPr>
          <w:lang w:eastAsia="en-US"/>
        </w:rPr>
      </w:pPr>
      <w:r w:rsidRPr="00941169">
        <w:rPr>
          <w:lang w:eastAsia="en-US"/>
        </w:rPr>
        <w:t xml:space="preserve">Разработка Прогноза основывалась на официальных данных Государственной службы статистики Министерства экономического развития Приднестровской Молдавской Республики, Государственного таможенного комитета Приднестровской Молдавской Республики, Министерства сельского хозяйства и природных ресурсов Приднестровской Молдавской Республики,  Министерства по социальной защите и труду Приднестровской Молдавской Республики, Приднестровского республиканского банка, аналитической </w:t>
      </w:r>
      <w:r w:rsidRPr="00941169">
        <w:rPr>
          <w:lang w:eastAsia="en-US"/>
        </w:rPr>
        <w:br/>
        <w:t xml:space="preserve">и прогнозной информации ключевых промышленных, торговых, строительных, транспортных организаций республики, экспертных оценках международных финансовых и аналитических институтов. </w:t>
      </w:r>
    </w:p>
    <w:p w:rsidR="007E05D4" w:rsidRPr="00941169" w:rsidRDefault="007E05D4" w:rsidP="007E05D4">
      <w:pPr>
        <w:pStyle w:val="41"/>
        <w:shd w:val="clear" w:color="auto" w:fill="auto"/>
        <w:spacing w:before="0" w:after="0" w:line="240" w:lineRule="auto"/>
        <w:ind w:firstLine="567"/>
        <w:jc w:val="center"/>
        <w:rPr>
          <w:bCs/>
          <w:sz w:val="24"/>
          <w:szCs w:val="24"/>
        </w:rPr>
      </w:pPr>
    </w:p>
    <w:p w:rsidR="007E05D4" w:rsidRPr="00941169" w:rsidRDefault="007E05D4" w:rsidP="007E05D4">
      <w:pPr>
        <w:jc w:val="center"/>
        <w:rPr>
          <w:bCs/>
        </w:rPr>
      </w:pPr>
      <w:r w:rsidRPr="00941169">
        <w:rPr>
          <w:bCs/>
        </w:rPr>
        <w:t xml:space="preserve">2. Основные тенденции социально-экономического развития </w:t>
      </w:r>
    </w:p>
    <w:p w:rsidR="007E05D4" w:rsidRPr="00941169" w:rsidRDefault="007E05D4" w:rsidP="007E05D4">
      <w:pPr>
        <w:jc w:val="center"/>
        <w:rPr>
          <w:bCs/>
        </w:rPr>
      </w:pPr>
      <w:r w:rsidRPr="00941169">
        <w:rPr>
          <w:bCs/>
        </w:rPr>
        <w:t>Приднестровской Молдавской Республики в 2024 году</w:t>
      </w:r>
    </w:p>
    <w:p w:rsidR="007E05D4" w:rsidRPr="00941169" w:rsidRDefault="007E05D4" w:rsidP="007E05D4">
      <w:pPr>
        <w:ind w:firstLine="567"/>
        <w:jc w:val="center"/>
        <w:rPr>
          <w:bCs/>
        </w:rPr>
      </w:pPr>
    </w:p>
    <w:p w:rsidR="007E05D4" w:rsidRPr="00941169" w:rsidRDefault="007E05D4" w:rsidP="007E05D4">
      <w:pPr>
        <w:ind w:firstLine="709"/>
        <w:jc w:val="both"/>
      </w:pPr>
      <w:bookmarkStart w:id="1" w:name="_Hlk145073945"/>
      <w:r w:rsidRPr="00941169">
        <w:t>В 2024 году приднестровская экономика продолжила свое функционирование в условиях высокого уровня напряженности внешнеполитической ситуации по периметру республики, а также усиления санкционного давления со стороны Республики Молдова.</w:t>
      </w:r>
    </w:p>
    <w:p w:rsidR="007E05D4" w:rsidRPr="00941169" w:rsidRDefault="007E05D4" w:rsidP="007E05D4">
      <w:pPr>
        <w:widowControl w:val="0"/>
        <w:ind w:firstLine="709"/>
        <w:jc w:val="both"/>
        <w:rPr>
          <w:rFonts w:eastAsia="Calibri"/>
          <w:bCs/>
        </w:rPr>
      </w:pPr>
      <w:r w:rsidRPr="00941169">
        <w:rPr>
          <w:rFonts w:eastAsia="Calibri"/>
          <w:bCs/>
        </w:rPr>
        <w:t xml:space="preserve">К факторам негативного воздействия следует отнести принятие </w:t>
      </w:r>
      <w:r w:rsidRPr="00941169">
        <w:rPr>
          <w:rFonts w:eastAsia="Calibri"/>
          <w:bCs/>
        </w:rPr>
        <w:br/>
        <w:t xml:space="preserve">со стороны соседнего государства новых мер по блокировке деятельности отечественных экономических агентов: </w:t>
      </w:r>
      <w:r w:rsidRPr="00941169">
        <w:rPr>
          <w:bCs/>
        </w:rPr>
        <w:t>введение обязательности уплаты импортных пошлин в молдавский бюджет,</w:t>
      </w:r>
      <w:r w:rsidRPr="00941169">
        <w:rPr>
          <w:rFonts w:eastAsia="Calibri"/>
          <w:bCs/>
        </w:rPr>
        <w:t xml:space="preserve"> фактический запрет экспорта продукции ряда крупнейших промышленных предприятий, введение дополнительной платы за таможенное оформление импорта и экспорта, установление платных процедур регистрации и лицензирования и другое.</w:t>
      </w:r>
    </w:p>
    <w:p w:rsidR="007E05D4" w:rsidRPr="00941169" w:rsidRDefault="007E05D4" w:rsidP="007E05D4">
      <w:pPr>
        <w:ind w:firstLine="709"/>
        <w:jc w:val="both"/>
        <w:rPr>
          <w:rFonts w:eastAsia="Calibri"/>
          <w:bCs/>
        </w:rPr>
      </w:pPr>
      <w:r w:rsidRPr="00941169">
        <w:t>В результате влияния совокупности внешних и внутренних факторов динамика промышленного производства характеризовалась преимущественно тенденциями спада. Объем выпуска по крупным и средним предприятиям в разрезе подотраслей</w:t>
      </w:r>
      <w:r w:rsidRPr="00941169">
        <w:rPr>
          <w:rStyle w:val="a7"/>
          <w:rFonts w:eastAsia="Calibri"/>
          <w:bCs/>
        </w:rPr>
        <w:footnoteReference w:id="1"/>
      </w:r>
      <w:r w:rsidRPr="00941169">
        <w:t xml:space="preserve"> сложился на уровне </w:t>
      </w:r>
      <w:bookmarkEnd w:id="1"/>
      <w:r w:rsidRPr="00941169">
        <w:rPr>
          <w:rFonts w:eastAsia="Calibri"/>
          <w:bCs/>
        </w:rPr>
        <w:t xml:space="preserve">15 887,5 миллиона рублей Приднестровской Молдавской Республики (далее – рубли), что на 0,8 процента ниже отметки 2023 года в номинальном выражении. 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rFonts w:eastAsia="Calibri"/>
          <w:bCs/>
        </w:rPr>
      </w:pPr>
      <w:r w:rsidRPr="00941169">
        <w:rPr>
          <w:rFonts w:eastAsia="Calibri"/>
          <w:bCs/>
        </w:rPr>
        <w:t xml:space="preserve">В сельском хозяйстве, несмотря на зимние и весенние благоприятные погодные условия, аномальные температурные рекорды в летний период, отсутствие осадков и, как </w:t>
      </w:r>
      <w:r w:rsidRPr="00941169">
        <w:rPr>
          <w:rFonts w:eastAsia="Calibri"/>
          <w:bCs/>
        </w:rPr>
        <w:lastRenderedPageBreak/>
        <w:t>следствие, засуха обусловили сокращение валовой продукции на 1,8 процента до 4 336,3 миллиона рублей.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color w:val="000000"/>
        </w:rPr>
      </w:pPr>
      <w:r w:rsidRPr="00941169">
        <w:rPr>
          <w:snapToGrid w:val="0"/>
        </w:rPr>
        <w:t xml:space="preserve">На фоне понижательной динамики цен на мировых рынках энергоресурсов, с учетом деструктивных мер Республики Молдова, внешнеторговый оборот республики сократился на 21,2 процента до </w:t>
      </w:r>
      <w:r w:rsidRPr="00941169">
        <w:t>2 418,4</w:t>
      </w:r>
      <w:r w:rsidRPr="00941169">
        <w:rPr>
          <w:snapToGrid w:val="0"/>
        </w:rPr>
        <w:t> </w:t>
      </w:r>
      <w:r w:rsidRPr="00941169">
        <w:rPr>
          <w:bCs/>
          <w:snapToGrid w:val="0"/>
        </w:rPr>
        <w:t xml:space="preserve">миллиона долларов Соединенных Штатов Америки (далее – доллары). </w:t>
      </w:r>
      <w:r w:rsidRPr="00941169">
        <w:rPr>
          <w:color w:val="000000"/>
        </w:rPr>
        <w:t>Снижение стоимостных показателей зафиксировано как по импортным поставкам на 27,4 процента до 1 695,6 миллиона долларов, так и по экспортным операциям – на 1,3 процента до 722,8 миллиона долларов.</w:t>
      </w:r>
    </w:p>
    <w:p w:rsidR="007E05D4" w:rsidRPr="00941169" w:rsidRDefault="007E05D4" w:rsidP="007E05D4">
      <w:pPr>
        <w:widowControl w:val="0"/>
        <w:ind w:firstLine="709"/>
        <w:jc w:val="both"/>
      </w:pPr>
      <w:r w:rsidRPr="00941169">
        <w:t xml:space="preserve">В результате превышения номинальных темпов роста уровня заработных плат в республике над темпом роста потребительских цен </w:t>
      </w:r>
      <w:r w:rsidRPr="00941169">
        <w:rPr>
          <w:snapToGrid w:val="0"/>
        </w:rPr>
        <w:t>среднемесячная номинальная начисленная заработная плата в целом по экономике с учетом субъектов малого предпринимательства и некоммерческих организаций (без учета силовых структур и таможенных органов) выросла на 8,7 процента в реальном выражении, составив 6 942 рубля.</w:t>
      </w:r>
      <w:r w:rsidRPr="00941169">
        <w:t xml:space="preserve"> Номинальный рост среднего уровня оплаты труда по экономике зафиксирован на уровне 13,0 процентов к базисной отметке.</w:t>
      </w:r>
    </w:p>
    <w:p w:rsidR="007E05D4" w:rsidRPr="00941169" w:rsidRDefault="007E05D4" w:rsidP="007E05D4">
      <w:pPr>
        <w:widowControl w:val="0"/>
        <w:ind w:firstLine="709"/>
        <w:jc w:val="both"/>
        <w:rPr>
          <w:snapToGrid w:val="0"/>
        </w:rPr>
      </w:pPr>
      <w:r w:rsidRPr="00941169">
        <w:rPr>
          <w:snapToGrid w:val="0"/>
        </w:rPr>
        <w:t>Среднесписочная численность работников по итогам 2024 года сократилась до 101,0 тысячи человек против 103,4 тысячи человек в 2023 году.</w:t>
      </w:r>
    </w:p>
    <w:p w:rsidR="007E05D4" w:rsidRPr="00941169" w:rsidRDefault="007E05D4" w:rsidP="007E05D4">
      <w:pPr>
        <w:ind w:firstLine="709"/>
        <w:jc w:val="both"/>
        <w:rPr>
          <w:snapToGrid w:val="0"/>
        </w:rPr>
      </w:pPr>
      <w:r w:rsidRPr="00941169">
        <w:rPr>
          <w:rFonts w:eastAsia="MS Mincho"/>
        </w:rPr>
        <w:t xml:space="preserve">Ситуация на потребительском рынке республики </w:t>
      </w:r>
      <w:r w:rsidRPr="00941169">
        <w:rPr>
          <w:bCs/>
        </w:rPr>
        <w:t xml:space="preserve">характеризовалась повышательным трендом: </w:t>
      </w:r>
      <w:r w:rsidRPr="00941169">
        <w:rPr>
          <w:rFonts w:eastAsia="MS Mincho"/>
        </w:rPr>
        <w:t>совокупный объем приобретенных товаров и услуг увеличился на 5,6 процента в реальном выражении до 14 766,1 миллиона рублей.</w:t>
      </w:r>
      <w:r w:rsidRPr="00941169">
        <w:rPr>
          <w:snapToGrid w:val="0"/>
        </w:rPr>
        <w:t xml:space="preserve"> В то же время отмечалось ускорение инфляции до 5,4 процента (+1,2 процентных пункта).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В результате совокупного действия тенденций, зафиксированных во всех секторах экономики, при номинальном росте валового внутреннего продукта </w:t>
      </w:r>
      <w:r w:rsidRPr="00941169">
        <w:br/>
        <w:t>на 2,8 процента до 20 066,5 миллиона рублей, в реальном выражении показатель снизился на 5,4 процента.</w:t>
      </w:r>
    </w:p>
    <w:p w:rsidR="007E05D4" w:rsidRPr="00941169" w:rsidRDefault="007E05D4" w:rsidP="007E05D4">
      <w:pPr>
        <w:jc w:val="center"/>
        <w:rPr>
          <w:bCs/>
        </w:rPr>
      </w:pPr>
    </w:p>
    <w:p w:rsidR="007E05D4" w:rsidRPr="00941169" w:rsidRDefault="007E05D4" w:rsidP="007E05D4">
      <w:pPr>
        <w:jc w:val="center"/>
        <w:rPr>
          <w:bCs/>
        </w:rPr>
      </w:pPr>
    </w:p>
    <w:p w:rsidR="007E05D4" w:rsidRPr="00941169" w:rsidRDefault="007E05D4" w:rsidP="007E05D4">
      <w:pPr>
        <w:jc w:val="center"/>
        <w:rPr>
          <w:bCs/>
        </w:rPr>
      </w:pPr>
    </w:p>
    <w:p w:rsidR="007E05D4" w:rsidRPr="00941169" w:rsidRDefault="007E05D4" w:rsidP="007E05D4">
      <w:pPr>
        <w:jc w:val="center"/>
        <w:rPr>
          <w:bCs/>
        </w:rPr>
      </w:pPr>
      <w:r w:rsidRPr="00941169">
        <w:rPr>
          <w:bCs/>
        </w:rPr>
        <w:t xml:space="preserve">3. Основные тенденции развития экономики </w:t>
      </w:r>
    </w:p>
    <w:p w:rsidR="007E05D4" w:rsidRPr="00941169" w:rsidRDefault="007E05D4" w:rsidP="007E05D4">
      <w:pPr>
        <w:jc w:val="center"/>
        <w:rPr>
          <w:bCs/>
        </w:rPr>
      </w:pPr>
      <w:r w:rsidRPr="00941169">
        <w:rPr>
          <w:bCs/>
        </w:rPr>
        <w:t>Приднестровской Молдавской Республики в первом квартале 2025 года</w:t>
      </w:r>
    </w:p>
    <w:p w:rsidR="007E05D4" w:rsidRPr="00941169" w:rsidRDefault="007E05D4" w:rsidP="007E05D4">
      <w:pPr>
        <w:jc w:val="center"/>
        <w:rPr>
          <w:bCs/>
        </w:rPr>
      </w:pPr>
    </w:p>
    <w:p w:rsidR="007E05D4" w:rsidRPr="00941169" w:rsidRDefault="007E05D4" w:rsidP="007E05D4">
      <w:pPr>
        <w:widowControl w:val="0"/>
        <w:ind w:firstLine="709"/>
        <w:jc w:val="both"/>
        <w:rPr>
          <w:bCs/>
        </w:rPr>
      </w:pPr>
      <w:r w:rsidRPr="00941169">
        <w:rPr>
          <w:bCs/>
        </w:rPr>
        <w:t>Кризисная ситуация в энергетическом комплексе в условиях отсутствия поставок природного газа в январе</w:t>
      </w:r>
      <w:r w:rsidRPr="00941169">
        <w:t xml:space="preserve"> </w:t>
      </w:r>
      <w:r w:rsidRPr="00941169">
        <w:rPr>
          <w:bCs/>
        </w:rPr>
        <w:t xml:space="preserve">крайне негативно повлияла на все сферы деятельности. </w:t>
      </w:r>
      <w:r w:rsidRPr="00941169">
        <w:rPr>
          <w:shd w:val="clear" w:color="auto" w:fill="FFFFFF"/>
        </w:rPr>
        <w:t xml:space="preserve">При этом, несмотря на то что в феврале природный газ начал поступать на территорию республики, его объемы направлялись, в основном, на </w:t>
      </w:r>
      <w:r w:rsidRPr="00941169">
        <w:rPr>
          <w:bCs/>
          <w:shd w:val="clear" w:color="auto" w:fill="FFFFFF"/>
        </w:rPr>
        <w:t xml:space="preserve">бытовые нужды населения и генерацию теплоэнергии, что также не позволило запустить крупные энергоемкие производства. Таким образом, </w:t>
      </w:r>
      <w:r w:rsidRPr="00941169">
        <w:rPr>
          <w:bCs/>
        </w:rPr>
        <w:t>ситуация в ключевых секторах экономики по итогам января-марта 2025 года характеризовалась преимущественно тенденциями спада.</w:t>
      </w:r>
    </w:p>
    <w:p w:rsidR="007E05D4" w:rsidRPr="00941169" w:rsidRDefault="007E05D4" w:rsidP="007E05D4">
      <w:pPr>
        <w:widowControl w:val="0"/>
        <w:ind w:firstLine="567"/>
        <w:jc w:val="both"/>
        <w:rPr>
          <w:highlight w:val="yellow"/>
        </w:rPr>
      </w:pPr>
    </w:p>
    <w:p w:rsidR="007E05D4" w:rsidRPr="00941169" w:rsidRDefault="007E05D4" w:rsidP="007E05D4">
      <w:pPr>
        <w:widowControl w:val="0"/>
        <w:ind w:firstLine="709"/>
        <w:jc w:val="both"/>
      </w:pPr>
      <w:r w:rsidRPr="00941169">
        <w:t>Промышленность</w:t>
      </w:r>
    </w:p>
    <w:p w:rsidR="007E05D4" w:rsidRPr="00941169" w:rsidRDefault="007E05D4" w:rsidP="007E05D4">
      <w:pPr>
        <w:ind w:firstLine="709"/>
        <w:jc w:val="both"/>
      </w:pPr>
      <w:r w:rsidRPr="00941169">
        <w:t>В первом квартале 2025 года в индустриальном секторе экономики отмечалось резкое снижение интенсивности производственных процессов: сокращение объема промышленного производства в разрезе подотраслей</w:t>
      </w:r>
      <w:r w:rsidRPr="00941169">
        <w:rPr>
          <w:vertAlign w:val="superscript"/>
        </w:rPr>
        <w:t>1</w:t>
      </w:r>
      <w:r w:rsidRPr="00941169">
        <w:t xml:space="preserve"> достигло 48,9 процента в номинальном выражении до 1 805,3 миллиона рублей (-52,6 процента без учета ценового фактора). В зоне спада находились все подотрасли промышленности.</w:t>
      </w:r>
    </w:p>
    <w:p w:rsidR="007E05D4" w:rsidRPr="00941169" w:rsidRDefault="007E05D4" w:rsidP="007E05D4">
      <w:pPr>
        <w:widowControl w:val="0"/>
        <w:ind w:firstLine="709"/>
        <w:jc w:val="both"/>
        <w:rPr>
          <w:bCs/>
        </w:rPr>
      </w:pPr>
      <w:r w:rsidRPr="00941169">
        <w:rPr>
          <w:bCs/>
        </w:rPr>
        <w:t>Суммарный с начала года валовой выпуск продукции энергетического комплекса сократился на 50,4 процента до 724,5 миллиона рублей (-58,8 процента в реальном выражении). В черной металлургии отмечено снижение объема производства на 78,7 процента до 157,5 миллиона рублей при сокращении на 77,4 процента физических объемов.</w:t>
      </w:r>
    </w:p>
    <w:p w:rsidR="007E05D4" w:rsidRPr="00941169" w:rsidRDefault="007E05D4" w:rsidP="007E05D4">
      <w:pPr>
        <w:ind w:firstLine="709"/>
        <w:jc w:val="both"/>
        <w:rPr>
          <w:rFonts w:eastAsia="Calibri"/>
        </w:rPr>
      </w:pPr>
      <w:r w:rsidRPr="00941169">
        <w:rPr>
          <w:rFonts w:eastAsia="Calibri"/>
        </w:rPr>
        <w:t xml:space="preserve">В целях обеспечения продовольственной безопасности республики относительно стабильно функционировала пищевая промышленность, однако и в данной подотрасли </w:t>
      </w:r>
      <w:r w:rsidRPr="00941169">
        <w:rPr>
          <w:rFonts w:eastAsia="Calibri"/>
        </w:rPr>
        <w:lastRenderedPageBreak/>
        <w:t xml:space="preserve">отмечалось снижение выпуска в пределах 4,6 процента до 535,6 млн руб. (-9,7 процента без учета ценового фактора). </w:t>
      </w:r>
    </w:p>
    <w:p w:rsidR="007E05D4" w:rsidRPr="00941169" w:rsidRDefault="007E05D4" w:rsidP="007E05D4">
      <w:pPr>
        <w:ind w:firstLine="709"/>
        <w:jc w:val="both"/>
        <w:rPr>
          <w:bCs/>
        </w:rPr>
      </w:pPr>
      <w:r w:rsidRPr="00941169">
        <w:rPr>
          <w:bCs/>
        </w:rPr>
        <w:t>Сокращение производственной активности фиксировалось в легкой промышленности: валовой выпуск подотрасли снизился на 50,4 процента по отношению к базисному показателю, составив 180,4 миллиона рублей. Отставание выпуска в реальном выражении сформировалось на уровне 44 процента.</w:t>
      </w:r>
    </w:p>
    <w:p w:rsidR="007E05D4" w:rsidRPr="00941169" w:rsidRDefault="007E05D4" w:rsidP="007E05D4">
      <w:pPr>
        <w:ind w:firstLine="709"/>
        <w:jc w:val="both"/>
        <w:rPr>
          <w:bCs/>
        </w:rPr>
      </w:pPr>
      <w:r w:rsidRPr="00941169">
        <w:t xml:space="preserve">В условиях простоя крупнейшего представителя подотрасли результаты деятельности промышленности строительных материалов зафиксированы на отметке 72,2 миллиона рублей, что на 49,2 процента меньше сопоставимого показателя 2024 года (-48,7 процента в реальном выражении). </w:t>
      </w:r>
    </w:p>
    <w:p w:rsidR="007E05D4" w:rsidRPr="00941169" w:rsidRDefault="007E05D4" w:rsidP="007E05D4">
      <w:pPr>
        <w:ind w:firstLine="709"/>
        <w:jc w:val="both"/>
        <w:rPr>
          <w:bCs/>
        </w:rPr>
      </w:pPr>
      <w:r w:rsidRPr="00941169">
        <w:rPr>
          <w:bCs/>
        </w:rPr>
        <w:t>В электротехнической промышленности за три месяца выработка в стоимостном выражении сложилась на уровне 46,7 миллиона рублей, что на 48,7 процента ниже отметки базисного периода (-51,8 процента без учета ценового фактора).</w:t>
      </w:r>
    </w:p>
    <w:p w:rsidR="007E05D4" w:rsidRPr="00941169" w:rsidRDefault="007E05D4" w:rsidP="007E05D4">
      <w:pPr>
        <w:ind w:firstLine="709"/>
        <w:jc w:val="both"/>
        <w:rPr>
          <w:bCs/>
        </w:rPr>
      </w:pPr>
      <w:r w:rsidRPr="00941169">
        <w:rPr>
          <w:bCs/>
        </w:rPr>
        <w:t xml:space="preserve">По итогам трех месяцев объем производства организаций мукомольно-крупяной и комбикормовой промышленности уменьшился в текущих ценах на 9,5 процента до 41,8 миллиона рублей. При этом физические объемы производства подотрасли снизились на 14,0 процента. </w:t>
      </w:r>
    </w:p>
    <w:p w:rsidR="007E05D4" w:rsidRPr="00941169" w:rsidRDefault="007E05D4" w:rsidP="007E05D4">
      <w:pPr>
        <w:ind w:firstLine="709"/>
        <w:jc w:val="both"/>
        <w:rPr>
          <w:rFonts w:eastAsia="Calibri"/>
        </w:rPr>
      </w:pPr>
      <w:r w:rsidRPr="00941169">
        <w:rPr>
          <w:rFonts w:eastAsia="Calibri"/>
          <w:bCs/>
        </w:rPr>
        <w:t xml:space="preserve">Отрицательные тенденции фиксировались в подотрасли машиностроения и металлообработки: по итогам первого квартала 2025 года объем производства </w:t>
      </w:r>
      <w:r w:rsidRPr="00941169">
        <w:rPr>
          <w:rFonts w:eastAsia="Calibri"/>
        </w:rPr>
        <w:t>составил 26,6 миллиона рублей, что ниже базисного показателя на 52,2 процента в текущих ценах и на 69,2 процента в реальном выражении.</w:t>
      </w:r>
    </w:p>
    <w:p w:rsidR="007E05D4" w:rsidRPr="00941169" w:rsidRDefault="007E05D4" w:rsidP="007E05D4">
      <w:pPr>
        <w:ind w:firstLine="709"/>
        <w:jc w:val="both"/>
      </w:pPr>
      <w:r w:rsidRPr="00941169">
        <w:rPr>
          <w:rFonts w:eastAsia="Calibri"/>
          <w:bCs/>
        </w:rPr>
        <w:t xml:space="preserve">Предприятия химической промышленности произвели продукции на сумму 13,8 миллиона рублей, что на 78,0 процента ниже базисного уровня в реальном выражении. </w:t>
      </w:r>
      <w:r w:rsidRPr="00941169">
        <w:t>С учетом ценового фактора отставание в текущих ценах от прошлогоднего параметра составило 77,6 процента.</w:t>
      </w:r>
    </w:p>
    <w:p w:rsidR="007E05D4" w:rsidRPr="00941169" w:rsidRDefault="007E05D4" w:rsidP="007E05D4">
      <w:pPr>
        <w:ind w:firstLine="709"/>
        <w:jc w:val="both"/>
        <w:rPr>
          <w:bCs/>
        </w:rPr>
      </w:pPr>
      <w:r w:rsidRPr="00941169">
        <w:rPr>
          <w:bCs/>
        </w:rPr>
        <w:t xml:space="preserve">Товарный выпуск полиграфической промышленности по итогам января – марта 2025 года снизился на 33,4 процента до 4,4 миллиона рублей (в реальном выражении сокращение составило 18,7 процента). </w:t>
      </w:r>
    </w:p>
    <w:p w:rsidR="007E05D4" w:rsidRPr="00941169" w:rsidRDefault="007E05D4" w:rsidP="007E05D4">
      <w:pPr>
        <w:widowControl w:val="0"/>
        <w:ind w:firstLine="709"/>
        <w:jc w:val="both"/>
        <w:rPr>
          <w:bCs/>
        </w:rPr>
      </w:pPr>
    </w:p>
    <w:p w:rsidR="007E05D4" w:rsidRPr="00941169" w:rsidRDefault="007E05D4" w:rsidP="007E05D4">
      <w:pPr>
        <w:shd w:val="clear" w:color="auto" w:fill="FFFFFF"/>
        <w:ind w:firstLine="709"/>
        <w:jc w:val="both"/>
        <w:rPr>
          <w:bCs/>
        </w:rPr>
      </w:pPr>
      <w:r w:rsidRPr="00941169">
        <w:rPr>
          <w:bCs/>
        </w:rPr>
        <w:t>Внешнеэкономическая деятельность</w:t>
      </w:r>
    </w:p>
    <w:p w:rsidR="007E05D4" w:rsidRPr="00941169" w:rsidRDefault="007E05D4" w:rsidP="007E05D4">
      <w:pPr>
        <w:ind w:firstLine="709"/>
        <w:jc w:val="both"/>
        <w:rPr>
          <w:highlight w:val="yellow"/>
        </w:rPr>
      </w:pPr>
      <w:r w:rsidRPr="00941169">
        <w:rPr>
          <w:rFonts w:eastAsia="Calibri"/>
          <w:color w:val="000000"/>
        </w:rPr>
        <w:t>Согласно данным Государственного таможенного комитета Приднестровской Молдавской Республики очищенный внешнеторговый оборот республики (без учета энергоносителей)</w:t>
      </w:r>
      <w:r w:rsidRPr="00941169">
        <w:rPr>
          <w:rFonts w:eastAsia="Calibri"/>
          <w:b/>
          <w:bCs/>
          <w:color w:val="000000"/>
        </w:rPr>
        <w:t xml:space="preserve"> </w:t>
      </w:r>
      <w:r w:rsidRPr="00941169">
        <w:t xml:space="preserve">по итогам января-марта 2025 года сложился на уровне 197,5 миллиона долларов, что на 35,4 процента ниже базисной отметки. 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Отрицательные тенденции зафиксированы как по экспортным продажам</w:t>
      </w:r>
      <w:r w:rsidRPr="00941169">
        <w:rPr>
          <w:rStyle w:val="a7"/>
        </w:rPr>
        <w:footnoteReference w:id="2"/>
      </w:r>
      <w:r w:rsidRPr="00941169">
        <w:t>, стоимостные объемы которых сократились на 51,8 процента до 56,1 миллиона долларов, так и по импортным поставкам</w:t>
      </w:r>
      <w:r w:rsidRPr="00941169">
        <w:rPr>
          <w:rStyle w:val="a7"/>
        </w:rPr>
        <w:footnoteReference w:id="3"/>
      </w:r>
      <w:r w:rsidRPr="00941169">
        <w:t>– -25,3 процента до 141,3 миллиона долларов.</w:t>
      </w:r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</w:pPr>
      <w:r w:rsidRPr="00941169">
        <w:t>Сокращение стоимостных объемов продаж за рубеж пшеницы и семян подсолнечника (-31,2 процента и -15,5 процента соответственно) оказало основное влияние на уменьшение совокупных экспортных поставок продовольствия и сырья до 31,5 миллионов долларов (-21,6 процента к сопоставимому значению 2024 года), или 56,2 процента в общей структуре очищенного экспорта.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 xml:space="preserve">Экспорт металлургической продукции сократился в 4,7 раза к показателю января-марта 2024 года до 9,8 миллиона долларов, </w:t>
      </w:r>
      <w:r w:rsidRPr="00941169">
        <w:rPr>
          <w:rFonts w:eastAsia="Calibri"/>
          <w:lang w:eastAsia="en-US"/>
        </w:rPr>
        <w:t>что эквивалентно 17,5 процента совокупного экспорта.</w:t>
      </w:r>
      <w:r w:rsidRPr="00941169">
        <w:t xml:space="preserve"> </w:t>
      </w:r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lang w:eastAsia="en-US"/>
        </w:rPr>
      </w:pPr>
      <w:r w:rsidRPr="00941169">
        <w:rPr>
          <w:rFonts w:eastAsia="Calibri"/>
          <w:color w:val="000000"/>
          <w:lang w:eastAsia="en-US"/>
        </w:rPr>
        <w:t>Стоимостной объем реализованных за рубеж товаров легкой промышленности снизился в 2,2 раза до 6,2 миллиона долларов, сформировав 11,0 процентов всего экспорта.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lastRenderedPageBreak/>
        <w:t>Объем продаж минеральных продуктов по итогам января-марта составил 5,7 миллиона долларов или 10,2 процента итогового показателя, сократившись на 16,9 процента к базисной отметке.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Отрицательная динамика экспорта машиностроительной продукции, наблюдавшаяся в течение отчетного периода, обусловила отставание совокупных поставок товарной группы в 2,1 раза от базисного объема до 1,6 миллиона долларов. </w:t>
      </w:r>
    </w:p>
    <w:p w:rsidR="007E05D4" w:rsidRPr="00941169" w:rsidRDefault="007E05D4" w:rsidP="007E05D4">
      <w:pPr>
        <w:ind w:firstLine="709"/>
        <w:jc w:val="both"/>
      </w:pPr>
      <w:r w:rsidRPr="00941169">
        <w:t>Нарастающим итогом с начала года величина импорта (без учета импортируемого природного газа) составила 141,3 миллиона долларов, сократившись на 25,3 процента к сопоставимому параметру прошлого года.</w:t>
      </w:r>
    </w:p>
    <w:p w:rsidR="007E05D4" w:rsidRPr="00941169" w:rsidRDefault="007E05D4" w:rsidP="007E05D4">
      <w:pPr>
        <w:ind w:firstLine="709"/>
        <w:jc w:val="both"/>
      </w:pPr>
      <w:r w:rsidRPr="00941169">
        <w:t>Значительный удельный вес в структуре очищенного импорта сформировали поставки из-за рубежа продовольственных товаров и сырья – 28,7 процента, или 40,5 миллиона долларов (+9,2 процента к отметке января-марта 2024 года).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41169">
        <w:rPr>
          <w:rFonts w:eastAsia="Calibri"/>
          <w:lang w:eastAsia="en-US"/>
        </w:rPr>
        <w:t>Импорт машиностроительной продукции составил 31,1 миллиона долларов (-7,6 процента относительно уровня первого квартала 2024 года), или 22,0 процента совокупного показателя.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41169">
        <w:rPr>
          <w:rFonts w:eastAsia="Calibri"/>
          <w:lang w:eastAsia="en-US"/>
        </w:rPr>
        <w:t xml:space="preserve">Объем импортных поставок продукции химической и связанных с ней отраслей промышленности сформировался на уровне 17,2 миллиона долларов </w:t>
      </w:r>
      <w:r w:rsidRPr="00941169">
        <w:rPr>
          <w:rFonts w:eastAsia="Calibri"/>
          <w:lang w:eastAsia="en-US"/>
        </w:rPr>
        <w:br/>
        <w:t>(-18,9 процента к январю-марту 2024 года), или 12,2 процента в общей структуре очищенного импорта.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highlight w:val="yellow"/>
        </w:rPr>
      </w:pPr>
    </w:p>
    <w:p w:rsidR="007E05D4" w:rsidRPr="00941169" w:rsidRDefault="007E05D4" w:rsidP="007E05D4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" w:name="_Toc117164326"/>
      <w:r w:rsidRPr="00941169">
        <w:rPr>
          <w:rFonts w:ascii="Times New Roman" w:hAnsi="Times New Roman"/>
          <w:color w:val="auto"/>
          <w:sz w:val="24"/>
          <w:szCs w:val="24"/>
        </w:rPr>
        <w:t>Инвестиционная деятельность</w:t>
      </w:r>
      <w:bookmarkEnd w:id="2"/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  <w:rPr>
          <w:rFonts w:eastAsia="Calibri"/>
          <w:bCs/>
        </w:rPr>
      </w:pPr>
      <w:r w:rsidRPr="00941169">
        <w:rPr>
          <w:rFonts w:eastAsia="Calibri"/>
          <w:bCs/>
        </w:rPr>
        <w:t>По итогам первого квартала 2025 года объем вложений предприятий крупного и среднего бизнеса в обновление основных фондов составил 472,2 миллиона рублей, что в 1,5 раза превысило базисный параметр в текущих ценах. Следует отметить, что статистический показатель фиксирует инвестиции по факту ввода объектов в эксплуатацию. Таким образом, наблюдаемый рост является следствием завершения ранее начатых проектов, а не вложением в развитие новых средств.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На строительство, реконструкцию и техническое перевооружение объектов производственного назначения было направлено 444,9 </w:t>
      </w:r>
      <w:r w:rsidRPr="00941169">
        <w:rPr>
          <w:rFonts w:eastAsia="Calibri"/>
          <w:bCs/>
        </w:rPr>
        <w:t>миллиона рублей</w:t>
      </w:r>
      <w:r w:rsidRPr="00941169">
        <w:t>, или 94,2 процента совокупного показателя (рост в 1,7 раза относительно значения аналогичного периода 2024 года).</w:t>
      </w:r>
    </w:p>
    <w:p w:rsidR="007E05D4" w:rsidRPr="00941169" w:rsidRDefault="007E05D4" w:rsidP="007E05D4">
      <w:pPr>
        <w:ind w:firstLine="709"/>
        <w:jc w:val="both"/>
      </w:pPr>
      <w:r w:rsidRPr="00941169">
        <w:t>В объекты непроизводственного назначения было инвестировано 27,3 </w:t>
      </w:r>
      <w:r w:rsidRPr="00941169">
        <w:rPr>
          <w:rFonts w:eastAsia="Calibri"/>
          <w:bCs/>
        </w:rPr>
        <w:t>миллиона рублей</w:t>
      </w:r>
      <w:r w:rsidRPr="00941169">
        <w:t>, что на 46,7 процента ниже базисного параметра.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В разрезе отраслей экономики отмечалась тенденция роста осуществленных инвестиций в части промышленных и сельскохозяйственных организаций. Объемы капитальных вложений в основные средства в индустриальном секторе увеличились на 20,2 процента до 223,1 миллиона рублей, в аграрном секторе – в 4,8 раза до 181,0 миллиона рублей. </w:t>
      </w:r>
    </w:p>
    <w:p w:rsidR="007E05D4" w:rsidRPr="00941169" w:rsidRDefault="007E05D4" w:rsidP="007E05D4">
      <w:pPr>
        <w:ind w:firstLine="709"/>
        <w:jc w:val="both"/>
      </w:pPr>
      <w:r w:rsidRPr="00941169">
        <w:t>В сфере торговли и общественного питания было направлено в основные средства в совокупности 21,8 миллиона рублей (+3,6 процента к сопоставимому уровню 2024 года).</w:t>
      </w:r>
    </w:p>
    <w:p w:rsidR="007E05D4" w:rsidRPr="00941169" w:rsidRDefault="007E05D4" w:rsidP="007E05D4">
      <w:pPr>
        <w:ind w:firstLine="709"/>
        <w:jc w:val="both"/>
      </w:pPr>
      <w:r w:rsidRPr="00941169">
        <w:t>По остальным отраслям экономики наблюдалась разновекторная динамика инвестиционной активности субъектов с преобладанием понижательных тенденций.</w:t>
      </w:r>
    </w:p>
    <w:p w:rsidR="007E05D4" w:rsidRPr="00941169" w:rsidRDefault="007E05D4" w:rsidP="007E05D4">
      <w:pPr>
        <w:ind w:firstLine="709"/>
        <w:jc w:val="both"/>
      </w:pPr>
    </w:p>
    <w:p w:rsidR="007E05D4" w:rsidRPr="00941169" w:rsidRDefault="007E05D4" w:rsidP="007E05D4">
      <w:pPr>
        <w:ind w:firstLine="709"/>
        <w:jc w:val="both"/>
      </w:pPr>
    </w:p>
    <w:p w:rsidR="007E05D4" w:rsidRPr="00941169" w:rsidRDefault="007E05D4" w:rsidP="007E05D4">
      <w:pPr>
        <w:ind w:firstLine="709"/>
      </w:pPr>
      <w:r w:rsidRPr="00941169">
        <w:t>Потребительский рынок</w:t>
      </w:r>
    </w:p>
    <w:p w:rsidR="007E05D4" w:rsidRPr="00941169" w:rsidRDefault="007E05D4" w:rsidP="007E05D4">
      <w:pPr>
        <w:ind w:firstLine="709"/>
        <w:jc w:val="both"/>
        <w:rPr>
          <w:bCs/>
        </w:rPr>
      </w:pPr>
      <w:bookmarkStart w:id="3" w:name="_Hlk89432742"/>
      <w:r w:rsidRPr="00941169">
        <w:rPr>
          <w:bCs/>
        </w:rPr>
        <w:t xml:space="preserve">Относительно стабильной оставалась ситуация на потребительском рынке. По итогам первого квартала 2025 года </w:t>
      </w:r>
      <w:r w:rsidRPr="00941169">
        <w:t>с</w:t>
      </w:r>
      <w:r w:rsidRPr="00941169">
        <w:rPr>
          <w:bCs/>
        </w:rPr>
        <w:t>овокупный объем приобретенных населением товаров и услуг увеличился на 7,4 процента в номинальном выражении до 3 576,8 миллиона рублей. Без учета ценового фактора рост составил 2,9 процента.</w:t>
      </w:r>
    </w:p>
    <w:bookmarkEnd w:id="3"/>
    <w:p w:rsidR="007E05D4" w:rsidRPr="00941169" w:rsidRDefault="007E05D4" w:rsidP="007E05D4">
      <w:pPr>
        <w:widowControl w:val="0"/>
        <w:shd w:val="clear" w:color="auto" w:fill="FFFFFF"/>
        <w:ind w:firstLine="709"/>
        <w:jc w:val="both"/>
        <w:rPr>
          <w:highlight w:val="yellow"/>
        </w:rPr>
      </w:pPr>
      <w:r w:rsidRPr="00941169">
        <w:t>Сложившаяся динамика была обусловлена расширением продаж в сфере розничной торговли (+5,4 процента в сопоставимых ценах) до 2 728,7 миллиона рублей. Приоритет в расходах населения был отдан непродовольственным товарам (55,0 процентов в структуре продаж, или 1 501,4 миллиона рублей, +9,8 процента в сопоставимых ценах к уровню января-</w:t>
      </w:r>
      <w:r w:rsidRPr="00941169">
        <w:lastRenderedPageBreak/>
        <w:t xml:space="preserve">марта 2024 года). При этом объем продаж в сфере продовольственных товаров практически соответствовал базисному уровню (+0,2 процента в реальном выражении до 1 227,4 миллиона рублей). </w:t>
      </w:r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</w:pPr>
      <w:r w:rsidRPr="00941169">
        <w:t xml:space="preserve">В январе-марте 2025 года </w:t>
      </w:r>
      <w:r w:rsidRPr="00941169">
        <w:rPr>
          <w:rFonts w:eastAsia="MS Mincho"/>
        </w:rPr>
        <w:t>организациями общественного питания реализовано продукции на сумму 130,6 </w:t>
      </w:r>
      <w:r w:rsidRPr="00941169">
        <w:t>миллиона рублей</w:t>
      </w:r>
      <w:r w:rsidRPr="00941169">
        <w:rPr>
          <w:rFonts w:eastAsia="MS Mincho"/>
        </w:rPr>
        <w:t>, что ниже базисного уровня на 6,9 процента в сопоставимых ценах.</w:t>
      </w:r>
      <w:r w:rsidRPr="00941169">
        <w:t xml:space="preserve"> </w:t>
      </w:r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  <w:rPr>
          <w:highlight w:val="yellow"/>
        </w:rPr>
      </w:pPr>
      <w:r w:rsidRPr="00941169">
        <w:t>Объем оказанных платных услуг населению сократился на 3,8 процента в реальном выражении до 717,5 миллиона рублей.</w:t>
      </w:r>
    </w:p>
    <w:p w:rsidR="007E05D4" w:rsidRPr="00941169" w:rsidRDefault="007E05D4" w:rsidP="007E05D4">
      <w:pPr>
        <w:ind w:firstLine="709"/>
        <w:jc w:val="both"/>
      </w:pPr>
    </w:p>
    <w:p w:rsidR="007E05D4" w:rsidRPr="00941169" w:rsidRDefault="007E05D4" w:rsidP="007E05D4">
      <w:pPr>
        <w:ind w:firstLine="709"/>
        <w:jc w:val="both"/>
        <w:rPr>
          <w:rFonts w:eastAsia="Calibri"/>
        </w:rPr>
      </w:pPr>
      <w:r w:rsidRPr="00941169">
        <w:rPr>
          <w:rFonts w:eastAsia="Calibri"/>
        </w:rPr>
        <w:t>Инфляционные процессы на потребительском рынке</w:t>
      </w:r>
    </w:p>
    <w:p w:rsidR="007E05D4" w:rsidRPr="00941169" w:rsidRDefault="007E05D4" w:rsidP="007E05D4">
      <w:pPr>
        <w:ind w:firstLine="709"/>
        <w:jc w:val="both"/>
        <w:rPr>
          <w:rFonts w:eastAsia="Calibri"/>
          <w:bCs/>
          <w:highlight w:val="yellow"/>
        </w:rPr>
      </w:pPr>
      <w:r w:rsidRPr="00941169">
        <w:t>На фоне общего снижения экономической активности в республике в условиях энергокризиса инфляционные процессы в январе-марте 2025 года также демонстрировали тенденцию к замедлению</w:t>
      </w:r>
      <w:r w:rsidRPr="00941169">
        <w:rPr>
          <w:rFonts w:eastAsia="Calibri"/>
        </w:rPr>
        <w:t xml:space="preserve">: официальная инфляция была зафиксирована на уровне 1,5 </w:t>
      </w:r>
      <w:r w:rsidRPr="00941169">
        <w:t>процента</w:t>
      </w:r>
      <w:r w:rsidRPr="00941169">
        <w:rPr>
          <w:rFonts w:eastAsia="Calibri"/>
        </w:rPr>
        <w:t xml:space="preserve">, что ниже прошлогоднего параметра (2,1 </w:t>
      </w:r>
      <w:r w:rsidRPr="00941169">
        <w:t>процента</w:t>
      </w:r>
      <w:r w:rsidRPr="00941169">
        <w:rPr>
          <w:rFonts w:eastAsia="Calibri"/>
        </w:rPr>
        <w:t>). Основное инфляционное давление формировалось в сфере услуг и сегменте продуктов питания.</w:t>
      </w:r>
    </w:p>
    <w:p w:rsidR="007E05D4" w:rsidRPr="00941169" w:rsidRDefault="007E05D4" w:rsidP="007E05D4">
      <w:pPr>
        <w:ind w:left="4" w:firstLine="709"/>
        <w:jc w:val="both"/>
      </w:pPr>
      <w:r w:rsidRPr="00941169">
        <w:t>Несмотря на то, что основное проинфляционное влияние в отчетном периоде определялось повышением цен в сегменте платных услуг – +2,9 процента, по сравнению с базисным периодом показатель снизился на 2,5 процентных пункта.</w:t>
      </w:r>
    </w:p>
    <w:p w:rsidR="007E05D4" w:rsidRPr="00941169" w:rsidRDefault="007E05D4" w:rsidP="007E05D4">
      <w:pPr>
        <w:ind w:left="4" w:firstLine="709"/>
        <w:jc w:val="both"/>
      </w:pPr>
      <w:r w:rsidRPr="00941169">
        <w:t>Складывающаяся динамика в основном была обусловлена значительным удорожанием жилищных услуг (+14,6 процента) и санаторно-оздоровительных услуг (+12,1 процента). Также в первом квартале фиксировалось удорожание услуг пассажирского транспорта (+8,0 процентов), в частности существенно повысилась цена на проезд в такси (+29,1 процента) на фоне отсутствия в продаже газового топлива в начале года в условиях прекращения поставок природного газа.</w:t>
      </w:r>
    </w:p>
    <w:p w:rsidR="007E05D4" w:rsidRPr="00941169" w:rsidRDefault="007E05D4" w:rsidP="007E05D4">
      <w:pPr>
        <w:ind w:firstLine="709"/>
        <w:jc w:val="both"/>
      </w:pPr>
      <w:r w:rsidRPr="00941169">
        <w:t>В первом квартале продовольственные товары подорожали в среднем на 1,4 процента, при этом наибольшее ценовое давление отмечалось в сфере продаж овощной продукции (+17,2 процента), а также масел и жиров (+5,2 процента).</w:t>
      </w:r>
    </w:p>
    <w:p w:rsidR="007E05D4" w:rsidRPr="00941169" w:rsidRDefault="007E05D4" w:rsidP="007E05D4">
      <w:pPr>
        <w:ind w:firstLine="709"/>
        <w:jc w:val="both"/>
      </w:pPr>
      <w:r w:rsidRPr="00941169">
        <w:t>В отчетном периоде сформировался нисходящий ценовой тренд по куриным яйцам (-30,4 процента за первый квартал), который напрямую коррелировал со снижением стоимости импортируемого из Республики Молдова продукта.</w:t>
      </w:r>
    </w:p>
    <w:p w:rsidR="007E05D4" w:rsidRPr="00941169" w:rsidRDefault="007E05D4" w:rsidP="007E05D4">
      <w:pPr>
        <w:ind w:firstLine="709"/>
        <w:jc w:val="both"/>
      </w:pPr>
      <w:r w:rsidRPr="00941169">
        <w:rPr>
          <w:rFonts w:eastAsia="Calibri"/>
        </w:rPr>
        <w:t xml:space="preserve">В непродовольственном сегменте групповой индекс инфляции за квартал сложился в пределах 0,8 </w:t>
      </w:r>
      <w:r w:rsidRPr="00941169">
        <w:t>процентов</w:t>
      </w:r>
      <w:r w:rsidRPr="00941169">
        <w:rPr>
          <w:rFonts w:eastAsia="Calibri"/>
        </w:rPr>
        <w:t xml:space="preserve">. Рост цен на горюче-смазочные материалы сформировал «топливную инфляцию» на уровне 3,7 процента. Кроме того, в отчетном периоде повышательные ценовые корректировки характеризовали стоимость табачных изделий (+2,7 </w:t>
      </w:r>
      <w:r w:rsidRPr="00941169">
        <w:t>процента</w:t>
      </w:r>
      <w:r w:rsidRPr="00941169">
        <w:rPr>
          <w:rFonts w:eastAsia="Calibri"/>
        </w:rPr>
        <w:t xml:space="preserve"> за три месяца), ювелирных изделий (+4,0 </w:t>
      </w:r>
      <w:r w:rsidRPr="00941169">
        <w:t>процента</w:t>
      </w:r>
      <w:r w:rsidRPr="00941169">
        <w:rPr>
          <w:rFonts w:eastAsia="Calibri"/>
        </w:rPr>
        <w:t xml:space="preserve">), печатных изданий (+2,6 процента), строительных материалов (+1,6 </w:t>
      </w:r>
      <w:r w:rsidRPr="00941169">
        <w:t>процента</w:t>
      </w:r>
      <w:r w:rsidRPr="00941169">
        <w:rPr>
          <w:rFonts w:eastAsia="Calibri"/>
        </w:rPr>
        <w:t xml:space="preserve">). </w:t>
      </w:r>
      <w:r w:rsidRPr="00941169">
        <w:t xml:space="preserve">Персональные компьютеры и </w:t>
      </w:r>
      <w:r w:rsidRPr="00941169">
        <w:rPr>
          <w:rFonts w:eastAsia="Calibri"/>
          <w:iCs/>
        </w:rPr>
        <w:t>средства связи, напротив, несколько подешевели (-2,2 процента и -1,9 процента соответственно).</w:t>
      </w:r>
    </w:p>
    <w:p w:rsidR="007E05D4" w:rsidRPr="00941169" w:rsidRDefault="007E05D4" w:rsidP="007E05D4">
      <w:pPr>
        <w:widowControl w:val="0"/>
        <w:ind w:firstLine="709"/>
        <w:jc w:val="both"/>
        <w:rPr>
          <w:bCs/>
          <w:shd w:val="clear" w:color="auto" w:fill="FFFFFF"/>
        </w:rPr>
      </w:pPr>
    </w:p>
    <w:p w:rsidR="007E05D4" w:rsidRPr="00941169" w:rsidRDefault="007E05D4" w:rsidP="007E05D4">
      <w:pPr>
        <w:widowControl w:val="0"/>
        <w:ind w:firstLine="709"/>
        <w:jc w:val="both"/>
        <w:rPr>
          <w:bCs/>
          <w:shd w:val="clear" w:color="auto" w:fill="FFFFFF"/>
        </w:rPr>
      </w:pPr>
      <w:r w:rsidRPr="00941169">
        <w:rPr>
          <w:bCs/>
          <w:shd w:val="clear" w:color="auto" w:fill="FFFFFF"/>
        </w:rPr>
        <w:t>Уровень жизни населения</w:t>
      </w:r>
    </w:p>
    <w:p w:rsidR="007E05D4" w:rsidRPr="00941169" w:rsidRDefault="007E05D4" w:rsidP="007E05D4">
      <w:pPr>
        <w:widowControl w:val="0"/>
        <w:ind w:firstLine="709"/>
        <w:jc w:val="both"/>
      </w:pPr>
      <w:r w:rsidRPr="00941169">
        <w:rPr>
          <w:shd w:val="clear" w:color="auto" w:fill="FFFFFF"/>
        </w:rPr>
        <w:t>Среднемесячная номинальная начисленная заработная плата в целом по экономике с учетом субъектов малого предпринимательства и некоммерческих организаций (без учета силовых структур и таможенных органов) по итогам первого квартала 2025 года оценена на уровне 6 690 рублей, что на 4,8 процента выше базисного показателя (+0,2 процента без учета влияния ценового фактора).</w:t>
      </w:r>
    </w:p>
    <w:p w:rsidR="007E05D4" w:rsidRPr="00941169" w:rsidRDefault="007E05D4" w:rsidP="007E05D4">
      <w:pPr>
        <w:widowControl w:val="0"/>
        <w:ind w:firstLine="709"/>
        <w:jc w:val="both"/>
        <w:rPr>
          <w:shd w:val="clear" w:color="auto" w:fill="FFFFFF"/>
        </w:rPr>
      </w:pPr>
      <w:r w:rsidRPr="00941169">
        <w:rPr>
          <w:shd w:val="clear" w:color="auto" w:fill="FFFFFF"/>
        </w:rPr>
        <w:t>Несмотря на номинальный рост уровня заработных плат, удорожание стоимости минимального набора товаров и услуг, необходимых для поддержания жизнедеятельности трудоспособного населения (+6,3 процента до 2 201 руб.), обусловило снижение покупательной способности усредненной зарплаты до 3,04 такого набора против 3,08 – в январе-марте 2024 года.</w:t>
      </w:r>
    </w:p>
    <w:p w:rsidR="007E05D4" w:rsidRPr="00941169" w:rsidRDefault="007E05D4" w:rsidP="007E05D4">
      <w:pPr>
        <w:widowControl w:val="0"/>
        <w:ind w:firstLine="709"/>
        <w:jc w:val="both"/>
      </w:pPr>
      <w:r w:rsidRPr="00941169">
        <w:rPr>
          <w:rFonts w:eastAsia="Calibri"/>
          <w:bCs/>
        </w:rPr>
        <w:t>Во внебюджетном секторе начисленная среднемесячная заработная плата одного работника выросла по отношению к аналогичному показателю</w:t>
      </w:r>
      <w:r w:rsidRPr="00941169">
        <w:rPr>
          <w:rFonts w:eastAsia="Calibri"/>
        </w:rPr>
        <w:t xml:space="preserve"> 2024 года на 2,0 процента до 8 110 рублей, при этом в реальном выражении ее величина сократилась на 2,5 процента</w:t>
      </w:r>
      <w:r w:rsidRPr="00941169">
        <w:rPr>
          <w:rFonts w:eastAsia="Calibri"/>
          <w:bCs/>
        </w:rPr>
        <w:t xml:space="preserve">. </w:t>
      </w:r>
      <w:r w:rsidRPr="00941169">
        <w:rPr>
          <w:bCs/>
        </w:rPr>
        <w:lastRenderedPageBreak/>
        <w:t xml:space="preserve">Наибольший рост заработной платы зафиксирован у сотрудников </w:t>
      </w:r>
      <w:r w:rsidRPr="00941169">
        <w:t>торговли и общественного питания (+17,4 процента), информационно-вычислительного обслуживания (+11,0 процентов), общей коммерческой деятельности (+10,7 процента), сельского хозяйства (+9,8 процента). При этом снижение среднего заработка фиксировалось в сфере физкультуры, отдыха и туризма (-11,5 процента), страхования (-3,4 процента) и здравоохранения (-2,1 процента).</w:t>
      </w:r>
    </w:p>
    <w:p w:rsidR="007E05D4" w:rsidRPr="00941169" w:rsidRDefault="007E05D4" w:rsidP="007E05D4">
      <w:pPr>
        <w:widowControl w:val="0"/>
        <w:ind w:firstLine="709"/>
        <w:jc w:val="both"/>
      </w:pPr>
      <w:r w:rsidRPr="00941169">
        <w:rPr>
          <w:bCs/>
        </w:rPr>
        <w:t xml:space="preserve">Средняя номинальная заработная плата занятых в бюджетном секторе сложилась на отметке </w:t>
      </w:r>
      <w:r w:rsidRPr="00941169">
        <w:t>5 295 рублей (+10,2 процента к сопоставимому уровню 2024 года). С учетом корректировки на индекс инфляции материальное обеспечение работников бюджетной сферы в среднем увеличилось на 5,4 процента. Фиксируемая динамика роста обусловлена тем, что в 2024 году повышение заработных плат в сфере образования и здравоохранения было реализовано не с начала года, а с временным лагом (с февраля и с апреля соответственно).</w:t>
      </w:r>
    </w:p>
    <w:p w:rsidR="007E05D4" w:rsidRPr="00941169" w:rsidRDefault="007E05D4" w:rsidP="007E05D4">
      <w:pPr>
        <w:widowControl w:val="0"/>
        <w:ind w:firstLine="709"/>
        <w:jc w:val="both"/>
      </w:pPr>
      <w:r w:rsidRPr="00941169">
        <w:t xml:space="preserve">В результате средняя заработная плата работников бюджетной сферы в образовании в рассматриваемом периоде составила 5 004 рубля, что на 3,2 процента в номинальном выражении выше базисного значения (-1,3 процента в реальном выражении). В отрасли здравоохранения прошлогодний параметр был превышен на 33,4 процента до 6 086 рублей (+27,5 процента в реальном выражении).  </w:t>
      </w:r>
    </w:p>
    <w:p w:rsidR="007E05D4" w:rsidRPr="00941169" w:rsidRDefault="007E05D4" w:rsidP="007E05D4">
      <w:pPr>
        <w:widowControl w:val="0"/>
        <w:ind w:firstLine="709"/>
        <w:jc w:val="both"/>
      </w:pPr>
    </w:p>
    <w:p w:rsidR="007E05D4" w:rsidRPr="00941169" w:rsidRDefault="007E05D4" w:rsidP="007E05D4">
      <w:pPr>
        <w:shd w:val="clear" w:color="auto" w:fill="FFFFFF"/>
        <w:jc w:val="center"/>
        <w:rPr>
          <w:bCs/>
        </w:rPr>
      </w:pPr>
      <w:r w:rsidRPr="00941169">
        <w:rPr>
          <w:bCs/>
        </w:rPr>
        <w:t xml:space="preserve">4. Оценка перспектив развития мировой экономики до конца 2025 года </w:t>
      </w:r>
    </w:p>
    <w:p w:rsidR="007E05D4" w:rsidRPr="00941169" w:rsidRDefault="007E05D4" w:rsidP="007E05D4">
      <w:pPr>
        <w:shd w:val="clear" w:color="auto" w:fill="FFFFFF"/>
        <w:jc w:val="center"/>
        <w:rPr>
          <w:bCs/>
        </w:rPr>
      </w:pPr>
      <w:r w:rsidRPr="00941169">
        <w:rPr>
          <w:bCs/>
        </w:rPr>
        <w:t>и на 2026 год</w:t>
      </w:r>
    </w:p>
    <w:p w:rsidR="007E05D4" w:rsidRPr="00941169" w:rsidRDefault="007E05D4" w:rsidP="007E05D4">
      <w:pPr>
        <w:shd w:val="clear" w:color="auto" w:fill="FFFFFF"/>
        <w:ind w:firstLine="567"/>
        <w:jc w:val="both"/>
      </w:pPr>
    </w:p>
    <w:p w:rsidR="007E05D4" w:rsidRPr="00941169" w:rsidRDefault="007E05D4" w:rsidP="007E05D4">
      <w:pPr>
        <w:pStyle w:val="a4"/>
        <w:ind w:left="0" w:firstLine="709"/>
        <w:jc w:val="both"/>
      </w:pPr>
      <w:r w:rsidRPr="00941169">
        <w:rPr>
          <w:rStyle w:val="relative"/>
        </w:rPr>
        <w:t>Согласно последним данным Международного валютного фонда (МВФ) и Всемирного банка, опубликованным в апреле 2025 года, глобальная экономика сталкивается с замедлением роста и повышенными рисками.</w:t>
      </w:r>
      <w:r w:rsidRPr="00941169">
        <w:t xml:space="preserve"> </w:t>
      </w:r>
      <w:r w:rsidRPr="00941169">
        <w:rPr>
          <w:rStyle w:val="relative"/>
        </w:rPr>
        <w:t>МВФ снизил прогноз мирового роста на 2025 год до 2,8 процента и до 3,0 процентов на 2026 год, отметив, что это значительно ниже исторического среднего уровня в 3,7 процента за период 2000–2019 годов.</w:t>
      </w:r>
      <w:r w:rsidRPr="00941169">
        <w:t xml:space="preserve"> </w:t>
      </w:r>
      <w:r w:rsidRPr="00941169">
        <w:rPr>
          <w:rStyle w:val="relative"/>
        </w:rPr>
        <w:t>Основными факторами снижения являются усиление напряженности в мировой торговле, особенно из-за введения высоких тарифов со стороны США, а также возросшая политическая неопределенность</w:t>
      </w:r>
      <w:r w:rsidRPr="00941169">
        <w:t>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color w:val="000000"/>
        </w:rPr>
      </w:pPr>
      <w:r w:rsidRPr="00941169">
        <w:rPr>
          <w:color w:val="000000"/>
        </w:rPr>
        <w:t xml:space="preserve">По оценкам мировых экспертов, некоторое замедление динамики ожидается в странах с развитой экономикой (с 1,8 процента в 2024 году до 1,4 процента в 2025 году и 1,5 процента в 2026 году). В странах с формирующимся рынком и развивающихся странах также прогнозируется замедление с 4,3 процента в 2024 году до 3,7 процента в 2025 году и 3,9 процента в 2026 году (таблица). </w:t>
      </w:r>
    </w:p>
    <w:p w:rsidR="007E05D4" w:rsidRPr="00941169" w:rsidRDefault="007E05D4" w:rsidP="007E05D4">
      <w:pPr>
        <w:shd w:val="clear" w:color="auto" w:fill="FFFFFF"/>
        <w:ind w:firstLine="709"/>
        <w:jc w:val="right"/>
      </w:pPr>
      <w:r w:rsidRPr="00941169">
        <w:t>Таблица</w:t>
      </w:r>
    </w:p>
    <w:p w:rsidR="007E05D4" w:rsidRPr="00941169" w:rsidRDefault="007E05D4" w:rsidP="007E05D4">
      <w:pPr>
        <w:shd w:val="clear" w:color="auto" w:fill="FFFFFF"/>
        <w:spacing w:after="120"/>
        <w:jc w:val="center"/>
      </w:pPr>
      <w:r w:rsidRPr="00941169">
        <w:t>Оценка динамики роста реального валового внутреннего продукта</w:t>
      </w:r>
      <w:r w:rsidRPr="00941169">
        <w:br/>
        <w:t>в 2024-2026 годах, проценты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454"/>
        <w:gridCol w:w="1612"/>
        <w:gridCol w:w="2039"/>
      </w:tblGrid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Наименование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2024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2025 год ожидаемый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2026 год</w:t>
            </w:r>
          </w:p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прогноз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D4" w:rsidRPr="00941169" w:rsidRDefault="007E05D4" w:rsidP="00941169">
            <w:pPr>
              <w:spacing w:line="256" w:lineRule="auto"/>
              <w:jc w:val="both"/>
              <w:rPr>
                <w:bCs/>
                <w:kern w:val="2"/>
                <w:lang w:eastAsia="en-US"/>
              </w:rPr>
            </w:pPr>
            <w:r w:rsidRPr="00941169">
              <w:rPr>
                <w:bCs/>
                <w:kern w:val="2"/>
                <w:lang w:eastAsia="en-US"/>
              </w:rPr>
              <w:t>Мировая экономика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bCs/>
                <w:kern w:val="2"/>
                <w:lang w:eastAsia="en-US"/>
              </w:rPr>
            </w:pPr>
            <w:r w:rsidRPr="00941169">
              <w:rPr>
                <w:bCs/>
                <w:kern w:val="2"/>
                <w:lang w:eastAsia="en-US"/>
              </w:rPr>
              <w:t>3,3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bCs/>
                <w:kern w:val="2"/>
                <w:lang w:eastAsia="en-US"/>
              </w:rPr>
            </w:pPr>
            <w:r w:rsidRPr="00941169">
              <w:rPr>
                <w:bCs/>
                <w:kern w:val="2"/>
                <w:lang w:eastAsia="en-US"/>
              </w:rPr>
              <w:t>2,8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bCs/>
                <w:kern w:val="2"/>
                <w:lang w:eastAsia="en-US"/>
              </w:rPr>
            </w:pPr>
            <w:r w:rsidRPr="00941169">
              <w:rPr>
                <w:bCs/>
                <w:kern w:val="2"/>
                <w:lang w:eastAsia="en-US"/>
              </w:rPr>
              <w:t>3,0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Страны с развитой экономикой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1,5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Соединенные Штаты Америки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2,8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1,7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Еврозона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0,9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0,8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1,2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Страны с формирующимся рынком </w:t>
            </w:r>
            <w:r w:rsidRPr="00941169">
              <w:rPr>
                <w:kern w:val="2"/>
                <w:lang w:eastAsia="en-US"/>
              </w:rPr>
              <w:br/>
              <w:t>и развивающиеся страны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4,3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3,7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3,9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Российская Федерация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4,1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1,5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val="en-US" w:eastAsia="en-US"/>
              </w:rPr>
            </w:pPr>
            <w:r w:rsidRPr="00941169">
              <w:rPr>
                <w:kern w:val="2"/>
                <w:lang w:eastAsia="en-US"/>
              </w:rPr>
              <w:t>0,9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Украина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3,5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2,0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4,5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Молдова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0,5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0,6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2,5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Китай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5,0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4,0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4,0</w:t>
            </w:r>
          </w:p>
        </w:tc>
      </w:tr>
      <w:tr w:rsidR="007E05D4" w:rsidRPr="00941169" w:rsidTr="00941169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Индия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6,5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6,2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6,3</w:t>
            </w:r>
          </w:p>
        </w:tc>
      </w:tr>
    </w:tbl>
    <w:p w:rsidR="007E05D4" w:rsidRPr="00941169" w:rsidRDefault="007E05D4" w:rsidP="007E05D4">
      <w:pPr>
        <w:pStyle w:val="a4"/>
        <w:ind w:left="0" w:firstLine="425"/>
        <w:jc w:val="both"/>
        <w:rPr>
          <w:rStyle w:val="relative"/>
        </w:rPr>
      </w:pPr>
    </w:p>
    <w:p w:rsidR="007E05D4" w:rsidRPr="00941169" w:rsidRDefault="007E05D4" w:rsidP="007E05D4">
      <w:pPr>
        <w:pStyle w:val="a4"/>
        <w:ind w:left="0" w:firstLine="709"/>
        <w:jc w:val="both"/>
      </w:pPr>
      <w:r w:rsidRPr="00941169">
        <w:rPr>
          <w:rStyle w:val="relative"/>
        </w:rPr>
        <w:t>Региональные перспективы различаются.</w:t>
      </w:r>
      <w:r w:rsidRPr="00941169">
        <w:t xml:space="preserve"> </w:t>
      </w:r>
      <w:r w:rsidRPr="00941169">
        <w:rPr>
          <w:rStyle w:val="relative"/>
        </w:rPr>
        <w:t>В США ожидается замедление роста до 1,8 процента в 2025 году, что на 0,9 процентного пункта ниже предыдущего прогноза, в основном из-за введения новых тарифов и снижения потребительского спроса</w:t>
      </w:r>
      <w:r w:rsidRPr="00941169">
        <w:t xml:space="preserve">. </w:t>
      </w:r>
      <w:r w:rsidRPr="00941169">
        <w:rPr>
          <w:rStyle w:val="relative"/>
        </w:rPr>
        <w:t>В Китае прогнозируется снижение темпов роста до 4,0 процентов в 2025 и 2026 годах, что связано с ослаблением внутреннего спроса и экспортной зависимости.</w:t>
      </w:r>
      <w:r w:rsidRPr="00941169">
        <w:t xml:space="preserve"> </w:t>
      </w:r>
      <w:r w:rsidRPr="00941169">
        <w:rPr>
          <w:rStyle w:val="relative"/>
        </w:rPr>
        <w:t>В Европе рост останется слабым, на уровне около 1 процента в 2025 году, в основном из-за снижения экспорта и влияния торговых напряженностей</w:t>
      </w:r>
      <w:r w:rsidRPr="00941169">
        <w:t>.</w:t>
      </w:r>
    </w:p>
    <w:p w:rsidR="007E05D4" w:rsidRPr="00941169" w:rsidRDefault="007E05D4" w:rsidP="007E05D4">
      <w:pPr>
        <w:pStyle w:val="a4"/>
        <w:ind w:left="0" w:firstLine="709"/>
        <w:jc w:val="both"/>
      </w:pPr>
      <w:r w:rsidRPr="00941169">
        <w:rPr>
          <w:rStyle w:val="relative"/>
        </w:rPr>
        <w:t>Несмотря на глобальные вызовы, Индия демонстрирует устойчивый рост.</w:t>
      </w:r>
      <w:r w:rsidRPr="00941169">
        <w:t xml:space="preserve"> </w:t>
      </w:r>
      <w:r w:rsidRPr="00941169">
        <w:rPr>
          <w:rStyle w:val="relative"/>
        </w:rPr>
        <w:t>МВФ прогнозирует, что экономика Индии вырастет на 6,2 процента в 2025 году и на 6,3 процента в 2026 году, что делает ее самой быстрорастущей крупной экономикой мира.</w:t>
      </w:r>
      <w:r w:rsidRPr="00941169">
        <w:t xml:space="preserve"> </w:t>
      </w:r>
      <w:r w:rsidRPr="00941169">
        <w:rPr>
          <w:rStyle w:val="relative"/>
        </w:rPr>
        <w:t>Этот рост обусловлен структурными реформами, инвестициями в инфраструктуру и устойчивым внутренним спросом.</w:t>
      </w:r>
      <w:r w:rsidRPr="00941169">
        <w:t xml:space="preserve"> </w:t>
      </w:r>
    </w:p>
    <w:p w:rsidR="007E05D4" w:rsidRPr="00941169" w:rsidRDefault="007E05D4" w:rsidP="007E05D4">
      <w:pPr>
        <w:pStyle w:val="a4"/>
        <w:ind w:left="0" w:firstLine="709"/>
        <w:jc w:val="both"/>
      </w:pPr>
      <w:r w:rsidRPr="00941169">
        <w:rPr>
          <w:rStyle w:val="relative"/>
        </w:rPr>
        <w:t>В целом мировая экономика сталкивается с рядом рисков, включая геополитическую напряженность, изменения в торговой политике и климатические угрозы.</w:t>
      </w:r>
      <w:r w:rsidRPr="00941169">
        <w:t xml:space="preserve"> В прогнозе доминирует усиление рисков ухудшения ситуации. </w:t>
      </w:r>
    </w:p>
    <w:p w:rsidR="007E05D4" w:rsidRPr="00941169" w:rsidRDefault="007E05D4" w:rsidP="007E05D4">
      <w:pPr>
        <w:ind w:firstLine="709"/>
        <w:jc w:val="both"/>
      </w:pPr>
      <w:r w:rsidRPr="00941169">
        <w:rPr>
          <w:rStyle w:val="relative"/>
        </w:rPr>
        <w:t>Согласно последнему обзору МВФ от апреля 2025 года глобальная инфляция продолжает снижаться, но темпы этого снижения оказались несколько медленнее, чем ожидалось ранее.</w:t>
      </w:r>
      <w:r w:rsidRPr="00941169">
        <w:t xml:space="preserve"> </w:t>
      </w:r>
      <w:r w:rsidRPr="00941169">
        <w:rPr>
          <w:rStyle w:val="relative"/>
        </w:rPr>
        <w:t>Прогнозируется, что в 2025 году общий уровень инфляции в мире составит 4,4 процента, а в 2026 году – 3,5 процента.</w:t>
      </w:r>
      <w:r w:rsidRPr="00941169">
        <w:t xml:space="preserve"> </w:t>
      </w:r>
      <w:r w:rsidRPr="00941169">
        <w:rPr>
          <w:rStyle w:val="relative"/>
        </w:rPr>
        <w:t>При этом в развитых странах инфляция ожидается на уровне 2,5 процента в 2025 году, тогда как в развивающихся и странах с формирующимися рынками – около 5,5 процента</w:t>
      </w:r>
      <w:r w:rsidRPr="00941169">
        <w:t xml:space="preserve">. </w:t>
      </w:r>
      <w:r w:rsidRPr="00941169">
        <w:rPr>
          <w:rStyle w:val="relative"/>
        </w:rPr>
        <w:t>Снижение цен на сырьевые товары, включая нефть и продовольствие, способствует ослаблению инфляционного давления, однако сохраняющиеся торговые напряженности и нестабильность на финансовых рынках могут замедлить этот процесс</w:t>
      </w:r>
      <w:r w:rsidRPr="00941169">
        <w:t>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На сырьевых рынках при условии не усиления в краткосрочной перспективе геополитической напряженности ожидается улучшение предложения сырьевых товаров с увеличением на них спроса на фоне все еще сдержанного роста мирового валового внутреннего продукта.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Согласно прогнозу Организации стран-экспортеров нефти плюс в 2025 году общий мировой спрос на нефть составит в среднем 105,1 миллиона баррелей в сутки, чему будут способствовать высокий спрос на авиатранспорт и автомобильные перевозки, а также активная промышленная, строительная и сельскохозяйственная деятельность. В 2026 году ожидается дальнейший рост до 106,3 миллиона баррелей. По прогнозам Министерства энергетики Соединенных Штатов Америки, в 2025 году ожидается снижение средней цены нефти марки Brent до 65,9 доллара за баррель, в 2026 году – до 59,2 доллара за баррель.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Мировые цены на природный газ в 2024 году в целом стабилизировались, однако в 2025 году ожидается повышение котировок, которое, прежде всего, обусловлено прекращением поставок природного газа из Российской Федерации транзитом через Украину, а также неурегулированными военными конфликтами на Ближнем Востоке. При этом в 2026 году прогнозируется снижение цены на природный газ по сравнению с параметрами 2025 года.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В соответствии с прогнозом Всемирного банка в условиях замедления глобального экономического роста на фоне торговой напряженности и повышенной неопределенности в 2025 году ожидается снижение мировых продовольственных цен, которые продолжат свой спад в 2026 году.</w:t>
      </w:r>
    </w:p>
    <w:p w:rsidR="007E05D4" w:rsidRPr="00941169" w:rsidRDefault="007E05D4" w:rsidP="007E05D4">
      <w:pPr>
        <w:shd w:val="clear" w:color="auto" w:fill="FFFFFF"/>
        <w:jc w:val="center"/>
        <w:rPr>
          <w:bCs/>
        </w:rPr>
      </w:pPr>
      <w:r w:rsidRPr="00941169">
        <w:rPr>
          <w:bCs/>
        </w:rPr>
        <w:t>5. Оценка факторов и ограничений социально-экономического развития Приднестровской Молдавской Республики до конца 2025 года и на 2026 год</w:t>
      </w:r>
    </w:p>
    <w:p w:rsidR="007E05D4" w:rsidRPr="00941169" w:rsidRDefault="007E05D4" w:rsidP="007E05D4">
      <w:pPr>
        <w:shd w:val="clear" w:color="auto" w:fill="FFFFFF"/>
        <w:jc w:val="center"/>
        <w:rPr>
          <w:bCs/>
          <w:highlight w:val="yellow"/>
        </w:rPr>
      </w:pPr>
    </w:p>
    <w:p w:rsidR="007E05D4" w:rsidRPr="00941169" w:rsidRDefault="007E05D4" w:rsidP="007E05D4">
      <w:pPr>
        <w:ind w:firstLine="709"/>
        <w:jc w:val="both"/>
      </w:pPr>
      <w:r w:rsidRPr="00941169">
        <w:t>Базовый прогнозный сценарий социально-экономического развития республики на 2025 год, на основе которого формировались и бюджетные параметры, был сформирован исходя из следующих предпосылок:</w:t>
      </w:r>
    </w:p>
    <w:p w:rsidR="007E05D4" w:rsidRPr="00941169" w:rsidRDefault="007E05D4" w:rsidP="007E05D4">
      <w:pPr>
        <w:ind w:firstLine="709"/>
        <w:jc w:val="both"/>
      </w:pPr>
      <w:r w:rsidRPr="00941169">
        <w:lastRenderedPageBreak/>
        <w:t>а) неусиление санкционного давления со стороны Республики Молдова, в частности невведение дополнительных ограничительных мер фискального характера;</w:t>
      </w:r>
    </w:p>
    <w:p w:rsidR="007E05D4" w:rsidRPr="00941169" w:rsidRDefault="007E05D4" w:rsidP="007E05D4">
      <w:pPr>
        <w:ind w:firstLine="709"/>
        <w:jc w:val="both"/>
      </w:pPr>
      <w:r w:rsidRPr="00941169">
        <w:t>б) сохранение возможности осуществления платежно-расчетных операций с зарубежными контрагентами;</w:t>
      </w:r>
    </w:p>
    <w:p w:rsidR="007E05D4" w:rsidRPr="00941169" w:rsidRDefault="007E05D4" w:rsidP="007E05D4">
      <w:pPr>
        <w:ind w:firstLine="709"/>
        <w:jc w:val="both"/>
      </w:pPr>
      <w:r w:rsidRPr="00941169">
        <w:t>в) сохранение бесперебойного газоснабжения республики;</w:t>
      </w:r>
    </w:p>
    <w:p w:rsidR="007E05D4" w:rsidRPr="00941169" w:rsidRDefault="007E05D4" w:rsidP="007E05D4">
      <w:pPr>
        <w:ind w:firstLine="709"/>
        <w:jc w:val="both"/>
      </w:pPr>
      <w:r w:rsidRPr="00941169">
        <w:t>г) сохранение стабильной работы металлургической отрасли;</w:t>
      </w:r>
    </w:p>
    <w:p w:rsidR="007E05D4" w:rsidRPr="00941169" w:rsidRDefault="007E05D4" w:rsidP="007E05D4">
      <w:pPr>
        <w:ind w:firstLine="709"/>
        <w:jc w:val="both"/>
      </w:pPr>
      <w:r w:rsidRPr="00941169">
        <w:t>д) заключение контракта на экспорт электроэнергии в Республику Молдова до конца 2025 года, а также стабильный спрос отечественных энергоемких производств;</w:t>
      </w:r>
    </w:p>
    <w:p w:rsidR="007E05D4" w:rsidRPr="00941169" w:rsidRDefault="007E05D4" w:rsidP="007E05D4">
      <w:pPr>
        <w:ind w:firstLine="709"/>
        <w:jc w:val="both"/>
      </w:pPr>
      <w:r w:rsidRPr="00941169">
        <w:t>е) поддержание</w:t>
      </w:r>
      <w:r w:rsidRPr="00941169">
        <w:rPr>
          <w:rStyle w:val="12"/>
        </w:rPr>
        <w:t xml:space="preserve"> на внутреннем валютном рынке официального курса доллара США к рублю Приднестровской Молдавской Республики в рамках верхнего предела валютного коридора, утвержденного «Основными направлениями единой государственной денежно-кредитной политики на 2024 год».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Однако уже в начале 2025 года не соблюдались 3 из 6 ключевых предпосылок. Прекращение поставок природного газа на территорию республики, отсутствие контракта на экспорт электроэнергии, ограниченность внутренних запасов энергоресурсов, сопровождались приостановкой деятельности крупнейших промышленных предприятий, включая металлургическую отрасль.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 xml:space="preserve">В феврале-марте ситуация с поставками природного газа относительно стабилизировалась, однако ввиду отсутствия долгосрочного контракта высокая степень неопределенности в данном вопросе до конца 2025 года и на 2026 год сохраняется. Все это напрямую влияет на процесс прогнозирования развития экономической ситуации в республике в краткосрочной перспективе. 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Усиливает напряженность также сохранение региональной нестабильности и повышенные риски наращивания рестриктивных мер со стороны Республики Молдова, прежде всего в фискальной сфере, в отношении приднестровских экономических агентов.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bCs/>
          <w:strike/>
        </w:rPr>
      </w:pPr>
      <w:r w:rsidRPr="00941169">
        <w:rPr>
          <w:bCs/>
        </w:rPr>
        <w:t>В сфере международных расчетов и платежей продолжение реализации гибкой валютной политики Приднестровского республиканского банка до конца 2025 года и в 2026 году позволит сохранить баланс интересов между стабильностью внутреннего валютного рынка и обеспечением непрерывности работы участников внешнеэкономической деятельности.</w:t>
      </w:r>
    </w:p>
    <w:p w:rsidR="007E05D4" w:rsidRPr="00941169" w:rsidRDefault="007E05D4" w:rsidP="007E05D4">
      <w:pPr>
        <w:ind w:firstLine="709"/>
        <w:jc w:val="both"/>
        <w:rPr>
          <w:lang w:eastAsia="en-US"/>
        </w:rPr>
      </w:pPr>
      <w:r w:rsidRPr="00941169">
        <w:rPr>
          <w:lang w:eastAsia="en-US"/>
        </w:rPr>
        <w:t>Таким образом, базовый прогнозный сценарий социально-экономического развития республики на 2026 год основывается на следующих предпосылках:</w:t>
      </w:r>
    </w:p>
    <w:p w:rsidR="007E05D4" w:rsidRPr="00941169" w:rsidRDefault="007E05D4" w:rsidP="007E05D4">
      <w:pPr>
        <w:ind w:firstLine="709"/>
        <w:jc w:val="both"/>
        <w:rPr>
          <w:lang w:eastAsia="en-US"/>
        </w:rPr>
      </w:pPr>
      <w:r w:rsidRPr="00941169">
        <w:rPr>
          <w:lang w:eastAsia="en-US"/>
        </w:rPr>
        <w:t>а</w:t>
      </w:r>
      <w:bookmarkStart w:id="4" w:name="_Hlk168557416"/>
      <w:r w:rsidRPr="00941169">
        <w:rPr>
          <w:lang w:eastAsia="en-US"/>
        </w:rPr>
        <w:t>) сохранение бесперебойного газоснабжения республики;</w:t>
      </w:r>
    </w:p>
    <w:p w:rsidR="007E05D4" w:rsidRPr="00941169" w:rsidRDefault="007E05D4" w:rsidP="007E05D4">
      <w:pPr>
        <w:ind w:firstLine="709"/>
        <w:jc w:val="both"/>
        <w:rPr>
          <w:lang w:eastAsia="en-US"/>
        </w:rPr>
      </w:pPr>
      <w:r w:rsidRPr="00941169">
        <w:rPr>
          <w:lang w:eastAsia="en-US"/>
        </w:rPr>
        <w:t>б) сохранение стабильной работы металлургической отрасли;</w:t>
      </w:r>
    </w:p>
    <w:p w:rsidR="007E05D4" w:rsidRPr="00941169" w:rsidRDefault="007E05D4" w:rsidP="007E05D4">
      <w:pPr>
        <w:ind w:firstLine="709"/>
        <w:jc w:val="both"/>
        <w:rPr>
          <w:lang w:eastAsia="en-US"/>
        </w:rPr>
      </w:pPr>
      <w:r w:rsidRPr="00941169">
        <w:rPr>
          <w:lang w:eastAsia="en-US"/>
        </w:rPr>
        <w:t>в) неусиление санкционного давления со стороны Республики Молдова, в частности невведение дополнительных ограничительных мер фискального характера;</w:t>
      </w:r>
    </w:p>
    <w:p w:rsidR="007E05D4" w:rsidRPr="00941169" w:rsidRDefault="007E05D4" w:rsidP="007E05D4">
      <w:pPr>
        <w:ind w:firstLine="709"/>
        <w:jc w:val="both"/>
        <w:rPr>
          <w:lang w:eastAsia="en-US"/>
        </w:rPr>
      </w:pPr>
      <w:r w:rsidRPr="00941169">
        <w:rPr>
          <w:lang w:eastAsia="en-US"/>
        </w:rPr>
        <w:t>г) сохранение возможности осуществления платежно-расчетных операций с зарубежными контрагентами;</w:t>
      </w:r>
    </w:p>
    <w:p w:rsidR="007E05D4" w:rsidRPr="00941169" w:rsidRDefault="007E05D4" w:rsidP="007E05D4">
      <w:pPr>
        <w:ind w:firstLine="709"/>
        <w:jc w:val="both"/>
        <w:rPr>
          <w:rStyle w:val="12"/>
        </w:rPr>
      </w:pPr>
      <w:r w:rsidRPr="00941169">
        <w:t>д) поддержание стабильности</w:t>
      </w:r>
      <w:r w:rsidRPr="00941169">
        <w:rPr>
          <w:rStyle w:val="12"/>
        </w:rPr>
        <w:t xml:space="preserve"> на внутреннем валютном рынке.</w:t>
      </w:r>
    </w:p>
    <w:p w:rsidR="007E05D4" w:rsidRPr="00941169" w:rsidRDefault="007E05D4" w:rsidP="007E05D4">
      <w:pPr>
        <w:ind w:firstLine="709"/>
        <w:jc w:val="both"/>
        <w:rPr>
          <w:highlight w:val="yellow"/>
          <w:lang w:eastAsia="en-US"/>
        </w:rPr>
      </w:pPr>
      <w:r w:rsidRPr="00941169">
        <w:rPr>
          <w:rStyle w:val="12"/>
          <w:highlight w:val="yellow"/>
        </w:rPr>
        <w:t xml:space="preserve"> </w:t>
      </w:r>
    </w:p>
    <w:bookmarkEnd w:id="4"/>
    <w:p w:rsidR="007E05D4" w:rsidRPr="00941169" w:rsidRDefault="007E05D4" w:rsidP="007E05D4">
      <w:pPr>
        <w:shd w:val="clear" w:color="auto" w:fill="FFFFFF"/>
        <w:jc w:val="center"/>
        <w:rPr>
          <w:bCs/>
        </w:rPr>
      </w:pPr>
      <w:r w:rsidRPr="00941169">
        <w:rPr>
          <w:bCs/>
        </w:rPr>
        <w:t xml:space="preserve">6. Оценка ожидаемого уровня социально-экономического развития </w:t>
      </w:r>
    </w:p>
    <w:p w:rsidR="007E05D4" w:rsidRPr="00941169" w:rsidRDefault="007E05D4" w:rsidP="007E05D4">
      <w:pPr>
        <w:shd w:val="clear" w:color="auto" w:fill="FFFFFF"/>
        <w:jc w:val="center"/>
        <w:rPr>
          <w:bCs/>
        </w:rPr>
      </w:pPr>
      <w:r w:rsidRPr="00941169">
        <w:rPr>
          <w:bCs/>
        </w:rPr>
        <w:t>до конца 2025 года</w:t>
      </w:r>
    </w:p>
    <w:p w:rsidR="007E05D4" w:rsidRPr="00941169" w:rsidRDefault="007E05D4" w:rsidP="007E05D4">
      <w:pPr>
        <w:shd w:val="clear" w:color="auto" w:fill="FFFFFF"/>
        <w:jc w:val="center"/>
        <w:rPr>
          <w:bCs/>
        </w:rPr>
      </w:pP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Сохраняющаяся неопределенность перспектив устойчивого энергоснабжения до конца 2025 года будет оказывать непосредственное влияние на развитие экономики республики.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 xml:space="preserve">По итогам 2025 года ожидается спад практически всех основных макроэкономических показателей. Наиболее критическая ситуация прогнозируется в индустриальном комплексе. Так, с учетом оценок ведущих промышленных товаропроизводителей совокупный объем промышленного выпуска с учетом давальческого сырья по крупным и средним предприятиям республики может сократиться в пределах 28,7 процента в номинальном выражении к фактическим параметрам 2024 года. </w:t>
      </w:r>
    </w:p>
    <w:p w:rsidR="007E05D4" w:rsidRPr="00941169" w:rsidRDefault="007E05D4" w:rsidP="007E05D4">
      <w:pPr>
        <w:ind w:firstLine="567"/>
        <w:jc w:val="both"/>
      </w:pPr>
      <w:r w:rsidRPr="00941169">
        <w:lastRenderedPageBreak/>
        <w:t>Основными факторами спада станет ситуация в энергетическом комплексе и в черной металлургии. В частности, вследствие прекращения экспорта электроэнергии в Республику Молдова деятельность закрытого акционерного общества «Молдавская ГРЭС» будет ориентирована исключительно на внутренний рынок, соответственно параметры отраслевого выпуска могут сократиться на 49,2 процента к уровню 2024 года. В черной металлургии функционирование флагмана приднестровской индустрии будет находиться под ограничивающим воздействием энергетических, а также внешнеэкономических факторов. Как следствие, объем производства черной металлургии в совокупности может снизиться на 26,7 процента к базисному параметру.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Также негативный сценарий развития ситуации прогнозируется на крупных энергоемких производствах легкой промышленности и промышленности строительных материалов. Соответственно, в данных отраслях темпы падения к уровню 2024 года могут составить 19,0 процентов и 2,2 процента.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Кризисная ситуация сохранится и в химической промышленности, ожидается более чем двукратное падение показателя выпуска.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 xml:space="preserve">С учетом возможных сценариев развития ситуации в основных отраслях реального сектора экономики в условиях неопределенности в части объемов поставок природного газа, а также санкционного давления со стороны Республики Молдова в 2025 году ожидается снижение совокупного внешнеторгового оборота на 19,7 процента, в том числе импорта – в пределах 15,5 процента. По совокупному экспорту прогнозируется сокращение объемов в пределах 29,7 процента к фактическому параметру 2024 года. 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В сельском хозяйстве ожидается сохранение тенденции наращивания натуральных объемов производства в части продукции животноводства при снижении объемов сбора сельскохозяйственных культур, в том числе ввиду неблагоприятных погодных условий весны 2025 года. С учетом нисходящей динамики цен на зерновые, совокупный показатель валовой продукции сельского хозяйства сократится на 6,1 процента к параметру 2024 года. 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В 2025 году прогнозируется сохранение тенденции сокращения инвестиционной активности вследствие негативного влияния как внутренних, так и внешних факторов. При этом необходимость завершения ряда ранее начатых инвестиционных проектов в различных секторах экономики позволяет прогнозировать снижение итогового показателя в пределах 6,3 процента к уровню 2024 года.</w:t>
      </w:r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</w:pPr>
      <w:r w:rsidRPr="00941169">
        <w:t xml:space="preserve">Крайне сложная ситуация в 2025 году будет складываться и на потребительском рынке с резким усилением инфляционных процессов. С учетом реализованного с 1 марта 2025 года повышения тарифов по группе «коммунальные услуги», достигающего по отдельным составляющим 2-2,5 раза, при сохранении умеренных темпов прироста в продовольственном и непродовольственном сегментах по итогам 2025 года ожидается формирование инфляции в пределах 16 процентов (плюс-минус 1 процентный пункт). Это негативно повлияет на уровень платежеспособного спроса населения. </w:t>
      </w:r>
    </w:p>
    <w:p w:rsidR="007E05D4" w:rsidRPr="00941169" w:rsidRDefault="007E05D4" w:rsidP="007E05D4">
      <w:pPr>
        <w:widowControl w:val="0"/>
        <w:shd w:val="clear" w:color="auto" w:fill="FFFFFF"/>
        <w:ind w:firstLine="709"/>
        <w:jc w:val="both"/>
      </w:pPr>
      <w:r w:rsidRPr="00941169">
        <w:t xml:space="preserve">При этом возможное сокращение физических объемов реализации товаров, нивелирующееся ростом цен на фоне перекладывания продавцами растущих издержек на конечных потребителей, обусловит номинальное расширение розничного товарооборота в пределах 1,6 процента. 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 xml:space="preserve">Исходя из обозначенных тенденций развития реального сектора экономики, в 2025 году темпы падения валового внутреннего продукта в номинальном выражении к параметру 2024 года могут составить -12,2 процента. Ключевыми факторами станут ситуация в промышленности и в бюджетном секторе, где в условиях падения доходов государство будет предпринимать меры по оптимизации расходных статей. </w:t>
      </w:r>
    </w:p>
    <w:p w:rsidR="007E05D4" w:rsidRPr="00941169" w:rsidRDefault="007E05D4" w:rsidP="007E05D4">
      <w:pPr>
        <w:shd w:val="clear" w:color="auto" w:fill="FFFFFF"/>
        <w:jc w:val="center"/>
        <w:rPr>
          <w:bCs/>
          <w:highlight w:val="yellow"/>
        </w:rPr>
      </w:pPr>
    </w:p>
    <w:p w:rsidR="007E05D4" w:rsidRPr="00941169" w:rsidRDefault="007E05D4" w:rsidP="007E05D4">
      <w:pPr>
        <w:shd w:val="clear" w:color="auto" w:fill="FFFFFF"/>
        <w:jc w:val="center"/>
        <w:rPr>
          <w:bCs/>
        </w:rPr>
      </w:pPr>
      <w:r w:rsidRPr="00941169">
        <w:rPr>
          <w:bCs/>
        </w:rPr>
        <w:t>7. Прогноз социально-экономического развития республики в 2026 году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bCs/>
          <w:highlight w:val="yellow"/>
        </w:rPr>
      </w:pP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 xml:space="preserve">Прогноз социально-экономического развития республики на 2026 год формируется в крайне сложных условиях. Прекращение поставок природного газа на территорию республики </w:t>
      </w:r>
      <w:r w:rsidRPr="00941169">
        <w:lastRenderedPageBreak/>
        <w:t>в январе текущего года, отсутствие контракта на экспорт электроэнергии, ограниченность внутренних запасов энергоресурсов сопровождались приостановкой деятельности крупнейших промышленных предприятий. Степень неопределенности в части устойчивого энергоснабжения до конца 2025 года и на 2026 год сохраняется. Кроме того, сохраняются риски введения со стороны Республики Молдова новых санкционных и ограничительных мер в отношении приднестровских хозяйствующих субъектов.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lang w:eastAsia="en-US"/>
        </w:rPr>
      </w:pPr>
      <w:r w:rsidRPr="00941169">
        <w:t>Принимая во внимание оценку перспектив развития, сформированную ведущими предприятиями</w:t>
      </w:r>
      <w:r w:rsidRPr="00941169">
        <w:rPr>
          <w:lang w:eastAsia="en-US"/>
        </w:rPr>
        <w:t xml:space="preserve"> индустриального сектора республики, с учетом реализации базовых предпосылок в краткосрочной перспективе прогнозируется положительная динамика промышленного выпуска в пределах 14,7 процента в номинальном выражении к оценке 2025 года. Динамика роста обусловлена в том числе прогнозированием стабильной работы в первом квартале 2026 года в отличие от ситуации 2025 года.  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В сельском хозяйстве ожидается рост натуральных объемов производства в части продукции животноводства, а также сельскохозяйственных культур, ориентированных преимущественно на внутренний рынок. Исходя из данных тенденций, а также при сохранении уровня цен на зерновые в пределах 2025 года совокупный показатель валовой продукции сельского хозяйства будет определяться ростом в диапазоне 13,2 процента. </w:t>
      </w:r>
    </w:p>
    <w:p w:rsidR="007E05D4" w:rsidRPr="00941169" w:rsidRDefault="007E05D4" w:rsidP="007E05D4">
      <w:pPr>
        <w:ind w:firstLine="709"/>
        <w:jc w:val="both"/>
      </w:pPr>
      <w:r w:rsidRPr="00941169">
        <w:t>При этом государство продолжит реализацию следующих программных мероприятий в аграрной сфере:</w:t>
      </w:r>
    </w:p>
    <w:p w:rsidR="007E05D4" w:rsidRPr="00941169" w:rsidRDefault="007E05D4" w:rsidP="007E05D4">
      <w:pPr>
        <w:ind w:firstLine="709"/>
        <w:jc w:val="both"/>
      </w:pPr>
      <w:r w:rsidRPr="00941169">
        <w:t>а) стимулирование развития орошаемого земледелия как основы роста производства сельскохозяйственной продукции;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б) реализация мероприятий, направленных на рациональное и эффективное использование земельных ресурсов, сохранение и повышение плодородия почв; </w:t>
      </w:r>
    </w:p>
    <w:p w:rsidR="007E05D4" w:rsidRPr="00941169" w:rsidRDefault="007E05D4" w:rsidP="007E05D4">
      <w:pPr>
        <w:ind w:firstLine="709"/>
        <w:jc w:val="both"/>
      </w:pPr>
      <w:r w:rsidRPr="00941169">
        <w:t>в) инвентаризация земельных ресурсов Приднестровской Молдавской Республики. Внесение в государственную информационную систему «Государственный земельный кадастр» кадастровых сведений о земельных участках;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г) сохранение благополучной эпизоотической обстановки в республике по особо опасным заболеваниям животных, в том числе общим для животных и человека, а также обеспечение безопасности пищевых продуктов на всех этапах продовольственной цепи. 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lang w:eastAsia="en-US"/>
        </w:rPr>
      </w:pPr>
      <w:r w:rsidRPr="00941169">
        <w:rPr>
          <w:lang w:eastAsia="en-US"/>
        </w:rPr>
        <w:t>В части инвестиционной деятельности среди ведущих предприятий республики преобладают осторожные подходы. На фоне ограниченности свободных финансовых ресурсов можно ожидать низкую инвестиционную активность. Средства будут направляться в основном на финансирование текущей деятельности и осуществление необходимых вложений для поддержания основных средств в рабочем состоянии. В связи с этим прогнозируется сокращение объема вложений в основной капитал в номинальном выражении в пределах 3,8 процента.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rPr>
          <w:lang w:eastAsia="en-US"/>
        </w:rPr>
        <w:t>Экспертные оценки международных институтов о ситуации на мировых сырьевых рынках</w:t>
      </w:r>
      <w:r w:rsidRPr="00941169">
        <w:t xml:space="preserve">, прогнозы крупнейших хозяйствующих субъектов Приднестровской Молдавской Республики, с учетом </w:t>
      </w:r>
      <w:r w:rsidRPr="00941169">
        <w:rPr>
          <w:lang w:eastAsia="en-US"/>
        </w:rPr>
        <w:t>возможных сценариев развития ситуации в основных отраслях реального сектора экономики</w:t>
      </w:r>
      <w:r w:rsidRPr="00941169">
        <w:t xml:space="preserve">, обусловили формирование положительной динамики прогнозного параметра экспорта в пределах 25,4 процента. При этом совокупный показатель импорта по итогам 2026 года может вырасти на 3,0 процента. Таким образом, </w:t>
      </w:r>
      <w:r w:rsidRPr="00941169">
        <w:rPr>
          <w:lang w:eastAsia="en-US"/>
        </w:rPr>
        <w:t>в 2026 году прогнозируется увеличение совокупного внешнеторгового оборота на 8,8 процента к оценке 2025 года.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lang w:eastAsia="en-US"/>
        </w:rPr>
      </w:pPr>
      <w:r w:rsidRPr="00941169">
        <w:rPr>
          <w:lang w:eastAsia="en-US"/>
        </w:rPr>
        <w:t xml:space="preserve">На потребительском рынке в качестве базовой предпосылки формирования прогноза было принято за основу </w:t>
      </w:r>
      <w:r w:rsidRPr="00941169">
        <w:t>сохранение тарифов на коммунальные услуги на уровне 2025 года и отсутствие новых внешних шоков. С учетом действия данных факторов</w:t>
      </w:r>
      <w:r w:rsidRPr="00941169">
        <w:rPr>
          <w:lang w:eastAsia="en-US"/>
        </w:rPr>
        <w:t xml:space="preserve"> прогнозируется повышение среднего уровня цен в 2026 году в диапазоне 5 процентов плюс-минус 1 процентный пункт в годовом выражении. В результате розничный товарооборот может возрасти в пределах 3,3 процента в номинальном выражении.</w:t>
      </w:r>
    </w:p>
    <w:p w:rsidR="007E05D4" w:rsidRPr="00941169" w:rsidRDefault="007E05D4" w:rsidP="007E05D4">
      <w:pPr>
        <w:ind w:firstLine="709"/>
        <w:jc w:val="both"/>
      </w:pPr>
      <w:r w:rsidRPr="00941169">
        <w:t xml:space="preserve">Исходя из прогнозов основных представителей промышленного сектора экономики, торговли, отраслей транспорта, связи и строительства, среднемесячная номинальная </w:t>
      </w:r>
      <w:r w:rsidRPr="00941169">
        <w:lastRenderedPageBreak/>
        <w:t xml:space="preserve">начисленная заработная плата одного работника по экономике может вырасти в пределах 5,0 процентов к оценке 2025 года. </w:t>
      </w:r>
    </w:p>
    <w:p w:rsidR="007E05D4" w:rsidRPr="00941169" w:rsidRDefault="007E05D4" w:rsidP="007E05D4">
      <w:pPr>
        <w:shd w:val="clear" w:color="auto" w:fill="FFFFFF"/>
        <w:ind w:firstLine="709"/>
        <w:jc w:val="both"/>
      </w:pPr>
      <w:r w:rsidRPr="00941169">
        <w:t>В целях сокращения оттока трудовых ресурсов государством будет продолжена реализация активной политики в области регулирования рынка труда и развития занятости населения по следующим направлениям:</w:t>
      </w:r>
    </w:p>
    <w:p w:rsidR="007E05D4" w:rsidRPr="00941169" w:rsidRDefault="007E05D4" w:rsidP="007E05D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41169">
        <w:t xml:space="preserve"> профессиональное обучение безработных граждан, с целью приобретения профессиональных знаний или повышения квалификации, для повышения их конкурентоспособности на рынке труда;</w:t>
      </w:r>
    </w:p>
    <w:p w:rsidR="007E05D4" w:rsidRPr="00941169" w:rsidRDefault="007E05D4" w:rsidP="007E05D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41169">
        <w:t>реализация ряда государственных программ занятости: «Молодежная практика», «Стажер», «Шанс»;</w:t>
      </w:r>
    </w:p>
    <w:p w:rsidR="007E05D4" w:rsidRPr="00941169" w:rsidRDefault="007E05D4" w:rsidP="007E05D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41169">
        <w:t xml:space="preserve">организация общественных работ с целью оказания материальной поддержки неконкурентоспособным на рынке труда гражданам, приобретения трудовых навыков молодежи, не имеющей трудового стажа; </w:t>
      </w:r>
    </w:p>
    <w:p w:rsidR="007E05D4" w:rsidRPr="00941169" w:rsidRDefault="007E05D4" w:rsidP="007E05D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41169">
        <w:t>организация занятости несовершеннолетней молодежи в целях их адаптации к трудовой деятельности и как эффективная мера по профилактике подростковой преступности;</w:t>
      </w:r>
    </w:p>
    <w:p w:rsidR="007E05D4" w:rsidRPr="00941169" w:rsidRDefault="007E05D4" w:rsidP="007E05D4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</w:pPr>
      <w:r w:rsidRPr="00941169">
        <w:t xml:space="preserve"> обеспечение государственных гарантий и исполнения законодательства в сфере занятости населения.</w:t>
      </w:r>
    </w:p>
    <w:p w:rsidR="007E05D4" w:rsidRPr="00941169" w:rsidRDefault="007E05D4" w:rsidP="007E05D4">
      <w:pPr>
        <w:shd w:val="clear" w:color="auto" w:fill="FFFFFF"/>
        <w:ind w:firstLine="709"/>
        <w:jc w:val="both"/>
        <w:rPr>
          <w:lang w:eastAsia="en-US"/>
        </w:rPr>
      </w:pPr>
      <w:r w:rsidRPr="00941169">
        <w:rPr>
          <w:lang w:eastAsia="en-US"/>
        </w:rPr>
        <w:t>Исходя из обозначенных направлений, которые при заданных сценарных условиях могут характеризовать развитие реального сектора экономики, с учетом прогнозируемых конъюнктурных тенденций в мировой экономике, в 2026 году показатель валового внутреннего продукта в номинальном выражении будет характеризоваться положительной динамикой в пределах 6,3 процента. В реальном выражении показатель сформируется в пределах оценки 2025 года.</w:t>
      </w:r>
    </w:p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firstLine="709"/>
        <w:jc w:val="both"/>
        <w:rPr>
          <w:highlight w:val="yellow"/>
        </w:rPr>
      </w:pPr>
      <w:r w:rsidRPr="00941169">
        <w:rPr>
          <w:lang w:eastAsia="en-US"/>
        </w:rPr>
        <w:t xml:space="preserve">В случае негативного развития ситуации на внешних и внутреннем рынках, сопровождающегося </w:t>
      </w:r>
      <w:r w:rsidRPr="00941169">
        <w:t>существенным изменением базовых сценарных условий, основные макроэкономические показатели будут подвержены соответствующим корректировкам.</w:t>
      </w:r>
    </w:p>
    <w:p w:rsidR="007E05D4" w:rsidRPr="00941169" w:rsidRDefault="007E05D4" w:rsidP="007E05D4">
      <w:pPr>
        <w:rPr>
          <w:highlight w:val="yellow"/>
        </w:rPr>
        <w:sectPr w:rsidR="007E05D4" w:rsidRPr="00941169" w:rsidSect="00B2699C">
          <w:headerReference w:type="default" r:id="rId7"/>
          <w:headerReference w:type="first" r:id="rId8"/>
          <w:pgSz w:w="11906" w:h="16838"/>
          <w:pgMar w:top="567" w:right="567" w:bottom="1134" w:left="1701" w:header="708" w:footer="708" w:gutter="0"/>
          <w:pgNumType w:fmt="numberInDash" w:start="2"/>
          <w:cols w:space="720"/>
          <w:titlePg/>
          <w:docGrid w:linePitch="326"/>
        </w:sectPr>
      </w:pPr>
    </w:p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left="9356"/>
      </w:pPr>
      <w:r w:rsidRPr="00941169">
        <w:lastRenderedPageBreak/>
        <w:t xml:space="preserve">Приложение </w:t>
      </w:r>
    </w:p>
    <w:p w:rsidR="007E05D4" w:rsidRPr="00941169" w:rsidRDefault="007E05D4" w:rsidP="007E0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left="9356" w:right="111"/>
        <w:rPr>
          <w:rFonts w:eastAsia="Arial Unicode MS"/>
        </w:rPr>
      </w:pPr>
      <w:r w:rsidRPr="00941169">
        <w:rPr>
          <w:rFonts w:eastAsia="MS Mincho"/>
        </w:rPr>
        <w:t xml:space="preserve">к </w:t>
      </w:r>
      <w:r w:rsidRPr="00941169">
        <w:rPr>
          <w:rFonts w:eastAsia="Arial Unicode MS"/>
        </w:rPr>
        <w:t xml:space="preserve">Прогнозу социально-экономического развития Приднестровской Молдавской Республики на 2026 год </w:t>
      </w:r>
    </w:p>
    <w:p w:rsidR="007E05D4" w:rsidRPr="00941169" w:rsidRDefault="007E05D4" w:rsidP="007E0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left="9356" w:right="-314"/>
      </w:pPr>
    </w:p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jc w:val="center"/>
      </w:pPr>
    </w:p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jc w:val="center"/>
      </w:pPr>
      <w:r w:rsidRPr="00941169">
        <w:t>Основные макроэкономические показатели Приднестровской Молдавской Республики на 2026 год</w:t>
      </w:r>
    </w:p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06"/>
        <w:gridCol w:w="1631"/>
        <w:gridCol w:w="1625"/>
        <w:gridCol w:w="1525"/>
        <w:gridCol w:w="1498"/>
        <w:gridCol w:w="1613"/>
        <w:gridCol w:w="1610"/>
      </w:tblGrid>
      <w:tr w:rsidR="007E05D4" w:rsidRPr="00941169" w:rsidTr="00941169">
        <w:trPr>
          <w:trHeight w:val="4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№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Показатели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Единица измерения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Факт </w:t>
            </w:r>
            <w:r w:rsidRPr="00941169">
              <w:rPr>
                <w:kern w:val="2"/>
                <w:lang w:eastAsia="en-US"/>
              </w:rPr>
              <w:br/>
              <w:t>2022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Факт </w:t>
            </w:r>
            <w:r w:rsidRPr="00941169">
              <w:rPr>
                <w:kern w:val="2"/>
                <w:lang w:eastAsia="en-US"/>
              </w:rPr>
              <w:br/>
              <w:t>2023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Факт </w:t>
            </w:r>
            <w:r w:rsidRPr="00941169">
              <w:rPr>
                <w:kern w:val="2"/>
                <w:lang w:eastAsia="en-US"/>
              </w:rPr>
              <w:br/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Оценка </w:t>
            </w:r>
            <w:r w:rsidRPr="00941169">
              <w:rPr>
                <w:kern w:val="2"/>
                <w:lang w:eastAsia="en-US"/>
              </w:rPr>
              <w:br/>
              <w:t>2025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Прогноз </w:t>
            </w:r>
            <w:r w:rsidRPr="00941169">
              <w:rPr>
                <w:kern w:val="2"/>
                <w:lang w:eastAsia="en-US"/>
              </w:rPr>
              <w:br/>
              <w:t>2026 год</w:t>
            </w:r>
          </w:p>
        </w:tc>
      </w:tr>
      <w:tr w:rsidR="007E05D4" w:rsidRPr="00941169" w:rsidTr="00941169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vertAlign w:val="superscript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Номинальный объем валового внутреннего продукта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18 448,5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19 574,5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20 066,5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17 613,1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18 722,7</w:t>
            </w:r>
          </w:p>
        </w:tc>
      </w:tr>
      <w:tr w:rsidR="007E05D4" w:rsidRPr="00941169" w:rsidTr="00941169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промышленного производства по крупным и средним организациям </w:t>
            </w:r>
            <w:r w:rsidRPr="00941169">
              <w:rPr>
                <w:kern w:val="2"/>
                <w:vertAlign w:val="superscript"/>
                <w:lang w:eastAsia="en-US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vertAlign w:val="superscript"/>
                <w:lang w:eastAsia="en-US"/>
              </w:rPr>
            </w:pPr>
            <w:r w:rsidRPr="00941169">
              <w:rPr>
                <w:kern w:val="2"/>
                <w:lang w:eastAsia="en-US"/>
              </w:rPr>
              <w:t>15 742,7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16 017,9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15 887,5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11 327,3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12 995,1</w:t>
            </w:r>
          </w:p>
        </w:tc>
      </w:tr>
      <w:tr w:rsidR="007E05D4" w:rsidRPr="00941169" w:rsidTr="00941169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валовой продукции сельского хозяйства </w:t>
            </w:r>
            <w:r w:rsidRPr="00941169">
              <w:rPr>
                <w:kern w:val="2"/>
                <w:vertAlign w:val="superscript"/>
                <w:lang w:eastAsia="en-US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4 266,9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4 403,8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4 336,3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4 069,9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4 605,9</w:t>
            </w:r>
          </w:p>
        </w:tc>
      </w:tr>
      <w:tr w:rsidR="007E05D4" w:rsidRPr="00941169" w:rsidTr="00941169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инвестиций в основной капитал </w:t>
            </w:r>
            <w:r w:rsidRPr="00941169">
              <w:rPr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2 578,2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2 223,6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2 490,6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2 333,6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2 244,1</w:t>
            </w:r>
          </w:p>
        </w:tc>
      </w:tr>
      <w:tr w:rsidR="007E05D4" w:rsidRPr="00941169" w:rsidTr="00941169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5.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розничного товарооборота </w:t>
            </w:r>
            <w:r w:rsidRPr="00941169">
              <w:rPr>
                <w:kern w:val="2"/>
                <w:vertAlign w:val="superscript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9 617,5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10 217,4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11 353,1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11 535,9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11 913,2</w:t>
            </w:r>
          </w:p>
        </w:tc>
      </w:tr>
      <w:tr w:rsidR="007E05D4" w:rsidRPr="00941169" w:rsidTr="00941169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внешнеторгового оборота </w:t>
            </w:r>
            <w:r w:rsidRPr="00941169">
              <w:rPr>
                <w:kern w:val="2"/>
                <w:vertAlign w:val="superscript"/>
                <w:lang w:eastAsia="en-US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долларов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3 221,0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3 068,6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2 418,4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1 941,5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2 113,0</w:t>
            </w:r>
          </w:p>
        </w:tc>
      </w:tr>
      <w:tr w:rsidR="007E05D4" w:rsidRPr="00941169" w:rsidTr="00941169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6.1.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экспорта товаров </w:t>
            </w:r>
            <w:r w:rsidRPr="00941169">
              <w:rPr>
                <w:kern w:val="2"/>
                <w:vertAlign w:val="superscript"/>
                <w:lang w:eastAsia="en-US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долларов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738,3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732,7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722,8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508,3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637,2</w:t>
            </w:r>
          </w:p>
        </w:tc>
      </w:tr>
      <w:tr w:rsidR="007E05D4" w:rsidRPr="00941169" w:rsidTr="00941169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6.2.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Объем импорта товаров </w:t>
            </w:r>
            <w:r w:rsidRPr="00941169">
              <w:rPr>
                <w:kern w:val="2"/>
                <w:vertAlign w:val="superscript"/>
                <w:lang w:eastAsia="en-US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миллионов долларов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2 482,6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2 335,8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1 695,6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1 433,2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1 475,8</w:t>
            </w:r>
          </w:p>
        </w:tc>
      </w:tr>
      <w:tr w:rsidR="007E05D4" w:rsidRPr="00941169" w:rsidTr="00941169">
        <w:trPr>
          <w:trHeight w:val="3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7.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Инфляция </w:t>
            </w:r>
            <w:r w:rsidRPr="00941169">
              <w:rPr>
                <w:kern w:val="2"/>
                <w:vertAlign w:val="superscript"/>
                <w:lang w:eastAsia="en-US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strike/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процентов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13,2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4,2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16,0</w:t>
            </w:r>
          </w:p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(±1 процентный пункт)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5,0</w:t>
            </w:r>
          </w:p>
          <w:p w:rsidR="007E05D4" w:rsidRPr="00941169" w:rsidRDefault="007E05D4" w:rsidP="00941169">
            <w:pPr>
              <w:spacing w:line="254" w:lineRule="auto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(±1 процентный пункт)</w:t>
            </w:r>
          </w:p>
        </w:tc>
      </w:tr>
      <w:tr w:rsidR="007E05D4" w:rsidRPr="00941169" w:rsidTr="00941169">
        <w:trPr>
          <w:trHeight w:val="22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8.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Среднесписочная численность работающих </w:t>
            </w:r>
            <w:r w:rsidRPr="00941169">
              <w:rPr>
                <w:kern w:val="2"/>
                <w:vertAlign w:val="superscript"/>
                <w:lang w:eastAsia="en-US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тысяч человек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105,3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103,4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101,0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99,5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99,0</w:t>
            </w:r>
          </w:p>
        </w:tc>
      </w:tr>
      <w:tr w:rsidR="007E05D4" w:rsidRPr="00941169" w:rsidTr="00941169">
        <w:trPr>
          <w:trHeight w:val="45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lastRenderedPageBreak/>
              <w:t>9.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 xml:space="preserve">Номинальная среднемесячная заработная плата одного работника в целом по экономике </w:t>
            </w:r>
            <w:r w:rsidRPr="00941169">
              <w:rPr>
                <w:kern w:val="2"/>
                <w:vertAlign w:val="superscript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jc w:val="center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рублей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5 605,0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6 134,0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6 942,0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7 115,6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right="101"/>
              <w:jc w:val="right"/>
              <w:rPr>
                <w:kern w:val="2"/>
                <w:lang w:eastAsia="en-US"/>
              </w:rPr>
            </w:pPr>
            <w:r w:rsidRPr="00941169">
              <w:rPr>
                <w:kern w:val="2"/>
                <w:lang w:eastAsia="en-US"/>
              </w:rPr>
              <w:t>7 471,3</w:t>
            </w:r>
          </w:p>
        </w:tc>
      </w:tr>
    </w:tbl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160"/>
      </w:pPr>
    </w:p>
    <w:p w:rsidR="007E05D4" w:rsidRPr="00941169" w:rsidRDefault="007E05D4" w:rsidP="007E0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160"/>
      </w:pPr>
      <w:r w:rsidRPr="00941169">
        <w:t>Примечание: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37"/>
      </w:tblGrid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1</w:t>
            </w:r>
            <w:r w:rsidRPr="00941169">
              <w:rPr>
                <w:kern w:val="2"/>
                <w:lang w:eastAsia="en-US"/>
              </w:rPr>
              <w:t xml:space="preserve"> – по крупным и средним организациям в соответствии с Классификатором отраслей народного хозяйства Приднестровской Молдавской Республики с учетом давальческого сырья, уточнен Государственной службой статистики Министерства экономического развития Приднестровской Молдавской Республики;</w:t>
            </w:r>
          </w:p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 xml:space="preserve">2 </w:t>
            </w:r>
            <w:r w:rsidRPr="00941169">
              <w:rPr>
                <w:kern w:val="2"/>
                <w:lang w:eastAsia="en-US"/>
              </w:rPr>
              <w:t>– во всех категориях хозяйств;</w:t>
            </w:r>
          </w:p>
        </w:tc>
      </w:tr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3</w:t>
            </w:r>
            <w:r w:rsidRPr="00941169">
              <w:rPr>
                <w:kern w:val="2"/>
                <w:lang w:eastAsia="en-US"/>
              </w:rPr>
              <w:t xml:space="preserve"> – с учетом объемов малых предприятий и индивидуальных застройщиков;</w:t>
            </w:r>
          </w:p>
        </w:tc>
      </w:tr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4</w:t>
            </w:r>
            <w:r w:rsidRPr="00941169">
              <w:rPr>
                <w:kern w:val="2"/>
                <w:lang w:eastAsia="en-US"/>
              </w:rPr>
              <w:t xml:space="preserve"> – с учетом объемов малых предприятий и физических лиц;</w:t>
            </w:r>
          </w:p>
        </w:tc>
      </w:tr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5</w:t>
            </w:r>
            <w:r w:rsidRPr="00941169">
              <w:rPr>
                <w:kern w:val="2"/>
                <w:lang w:eastAsia="en-US"/>
              </w:rPr>
              <w:t xml:space="preserve"> – данные Государственного таможенного комитета Приднестровской Молдавской Республики по итогам соответствующего года;</w:t>
            </w:r>
          </w:p>
        </w:tc>
      </w:tr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6</w:t>
            </w:r>
            <w:r w:rsidRPr="00941169">
              <w:rPr>
                <w:kern w:val="2"/>
                <w:lang w:eastAsia="en-US"/>
              </w:rPr>
              <w:t xml:space="preserve"> – к декабрю предыдущего года;</w:t>
            </w:r>
          </w:p>
        </w:tc>
      </w:tr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7</w:t>
            </w:r>
            <w:r w:rsidRPr="00941169">
              <w:rPr>
                <w:kern w:val="2"/>
                <w:lang w:eastAsia="en-US"/>
              </w:rPr>
              <w:t xml:space="preserve"> – с учетом малых предприятий и некоммерческих организаций и без учета силовых структур и таможенных органов республики;</w:t>
            </w:r>
          </w:p>
        </w:tc>
      </w:tr>
      <w:tr w:rsidR="007E05D4" w:rsidRPr="00941169" w:rsidTr="00941169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E05D4" w:rsidRPr="00941169" w:rsidRDefault="007E05D4" w:rsidP="00941169">
            <w:pPr>
              <w:spacing w:line="254" w:lineRule="auto"/>
              <w:ind w:left="-113"/>
              <w:jc w:val="both"/>
              <w:rPr>
                <w:kern w:val="2"/>
                <w:lang w:eastAsia="en-US"/>
              </w:rPr>
            </w:pPr>
            <w:r w:rsidRPr="00941169">
              <w:rPr>
                <w:kern w:val="2"/>
                <w:vertAlign w:val="superscript"/>
                <w:lang w:eastAsia="en-US"/>
              </w:rPr>
              <w:t>8</w:t>
            </w:r>
            <w:r w:rsidRPr="00941169">
              <w:rPr>
                <w:kern w:val="2"/>
                <w:lang w:eastAsia="en-US"/>
              </w:rPr>
              <w:t xml:space="preserve"> – начисленная заработная плата, с учетом малых предприятий и некоммерческих организаций и без учета силовых структур и таможенных органов республики.</w:t>
            </w:r>
          </w:p>
        </w:tc>
      </w:tr>
    </w:tbl>
    <w:p w:rsidR="007E05D4" w:rsidRPr="00941169" w:rsidRDefault="007E05D4" w:rsidP="007E05D4">
      <w:pPr>
        <w:jc w:val="center"/>
      </w:pPr>
    </w:p>
    <w:bookmarkEnd w:id="0"/>
    <w:p w:rsidR="00BD0B3C" w:rsidRDefault="00BD0B3C"/>
    <w:sectPr w:rsidR="00BD0B3C" w:rsidSect="00262F51">
      <w:pgSz w:w="16838" w:h="11906" w:orient="landscape" w:code="9"/>
      <w:pgMar w:top="1701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DF" w:rsidRDefault="001719DF" w:rsidP="007E05D4">
      <w:r>
        <w:separator/>
      </w:r>
    </w:p>
  </w:endnote>
  <w:endnote w:type="continuationSeparator" w:id="0">
    <w:p w:rsidR="001719DF" w:rsidRDefault="001719DF" w:rsidP="007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DF" w:rsidRDefault="001719DF" w:rsidP="007E05D4">
      <w:r>
        <w:separator/>
      </w:r>
    </w:p>
  </w:footnote>
  <w:footnote w:type="continuationSeparator" w:id="0">
    <w:p w:rsidR="001719DF" w:rsidRDefault="001719DF" w:rsidP="007E05D4">
      <w:r>
        <w:continuationSeparator/>
      </w:r>
    </w:p>
  </w:footnote>
  <w:footnote w:id="1">
    <w:p w:rsidR="007E05D4" w:rsidRPr="00D64C68" w:rsidRDefault="007E05D4" w:rsidP="007E05D4">
      <w:pPr>
        <w:pStyle w:val="a6"/>
        <w:jc w:val="both"/>
        <w:rPr>
          <w:rFonts w:eastAsia="Calibri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соответствии с Классификатором отраслей народного хозяйства Приднестровской Молдавской Республики, с учетом давальческого </w:t>
      </w:r>
      <w:r w:rsidRPr="00262F51">
        <w:rPr>
          <w:rFonts w:ascii="Times New Roman" w:hAnsi="Times New Roman"/>
        </w:rPr>
        <w:t>сырья.</w:t>
      </w:r>
    </w:p>
  </w:footnote>
  <w:footnote w:id="2">
    <w:p w:rsidR="007E05D4" w:rsidRPr="00262F51" w:rsidRDefault="007E05D4" w:rsidP="007E05D4">
      <w:pPr>
        <w:pStyle w:val="a6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по тексту объем экспорта представлен без учета экспорта топливно-</w:t>
      </w:r>
      <w:r w:rsidRPr="00262F51">
        <w:rPr>
          <w:rFonts w:ascii="Times New Roman" w:hAnsi="Times New Roman"/>
        </w:rPr>
        <w:t>энергетических товаров.</w:t>
      </w:r>
    </w:p>
  </w:footnote>
  <w:footnote w:id="3">
    <w:p w:rsidR="007E05D4" w:rsidRPr="00D64C68" w:rsidRDefault="007E05D4" w:rsidP="007E05D4">
      <w:pPr>
        <w:pStyle w:val="a6"/>
      </w:pPr>
      <w:r w:rsidRPr="00262F51">
        <w:rPr>
          <w:rStyle w:val="a7"/>
          <w:rFonts w:ascii="Times New Roman" w:hAnsi="Times New Roman"/>
        </w:rPr>
        <w:footnoteRef/>
      </w:r>
      <w:r w:rsidRPr="00262F51">
        <w:rPr>
          <w:rFonts w:ascii="Times New Roman" w:hAnsi="Times New Roman"/>
        </w:rPr>
        <w:t xml:space="preserve"> Здесь и далее по тексту объем импорта представлен без учета импорта природного газа.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D4" w:rsidRDefault="007E05D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- 14 -</w:t>
    </w:r>
    <w:r>
      <w:fldChar w:fldCharType="end"/>
    </w:r>
  </w:p>
  <w:p w:rsidR="007E05D4" w:rsidRDefault="007E05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D4" w:rsidRDefault="007E05D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- 2 -</w:t>
    </w:r>
    <w:r>
      <w:fldChar w:fldCharType="end"/>
    </w:r>
  </w:p>
  <w:p w:rsidR="007E05D4" w:rsidRDefault="007E05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2E9"/>
    <w:multiLevelType w:val="hybridMultilevel"/>
    <w:tmpl w:val="38E61CB6"/>
    <w:lvl w:ilvl="0" w:tplc="A84E65E2">
      <w:start w:val="1"/>
      <w:numFmt w:val="russianLower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0419000F">
      <w:start w:val="1"/>
      <w:numFmt w:val="decimal"/>
      <w:lvlText w:val="%7."/>
      <w:lvlJc w:val="left"/>
      <w:pPr>
        <w:ind w:left="5869" w:hanging="360"/>
      </w:p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4"/>
    <w:rsid w:val="001719DF"/>
    <w:rsid w:val="007E05D4"/>
    <w:rsid w:val="00BD0B3C"/>
    <w:rsid w:val="00D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E0AE2-7399-41AC-AA74-27871CD1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5D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D4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5D4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5D4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a3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7E05D4"/>
    <w:rPr>
      <w:sz w:val="24"/>
      <w:szCs w:val="24"/>
    </w:rPr>
  </w:style>
  <w:style w:type="paragraph" w:styleId="a4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3"/>
    <w:uiPriority w:val="99"/>
    <w:unhideWhenUsed/>
    <w:qFormat/>
    <w:rsid w:val="007E05D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link w:val="a6"/>
    <w:uiPriority w:val="99"/>
    <w:locked/>
    <w:rsid w:val="007E05D4"/>
    <w:rPr>
      <w:rFonts w:ascii="Calibri" w:hAnsi="Calibri"/>
    </w:rPr>
  </w:style>
  <w:style w:type="paragraph" w:styleId="a6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5"/>
    <w:uiPriority w:val="99"/>
    <w:unhideWhenUsed/>
    <w:qFormat/>
    <w:rsid w:val="007E05D4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7E0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locked/>
    <w:rsid w:val="007E05D4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qFormat/>
    <w:rsid w:val="007E05D4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footnote reference"/>
    <w:aliases w:val="Знак сноски 1,Знак сноски-FN"/>
    <w:uiPriority w:val="99"/>
    <w:unhideWhenUsed/>
    <w:rsid w:val="007E05D4"/>
    <w:rPr>
      <w:vertAlign w:val="superscript"/>
    </w:rPr>
  </w:style>
  <w:style w:type="character" w:customStyle="1" w:styleId="12">
    <w:name w:val="Основной текст Знак1"/>
    <w:uiPriority w:val="99"/>
    <w:semiHidden/>
    <w:rsid w:val="007E05D4"/>
    <w:rPr>
      <w:rFonts w:ascii="Times New Roman" w:hAnsi="Times New Roman" w:cs="Times New Roman" w:hint="default"/>
      <w:strike w:val="0"/>
      <w:dstrike w:val="0"/>
      <w:spacing w:val="-6"/>
      <w:sz w:val="23"/>
      <w:szCs w:val="23"/>
      <w:u w:val="none"/>
      <w:effect w:val="none"/>
    </w:rPr>
  </w:style>
  <w:style w:type="character" w:customStyle="1" w:styleId="relative">
    <w:name w:val="relative"/>
    <w:rsid w:val="007E05D4"/>
  </w:style>
  <w:style w:type="paragraph" w:styleId="a8">
    <w:name w:val="header"/>
    <w:basedOn w:val="a"/>
    <w:link w:val="a9"/>
    <w:uiPriority w:val="99"/>
    <w:rsid w:val="007E05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0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5561</Words>
  <Characters>31703</Characters>
  <Application>Microsoft Office Word</Application>
  <DocSecurity>0</DocSecurity>
  <Lines>264</Lines>
  <Paragraphs>74</Paragraphs>
  <ScaleCrop>false</ScaleCrop>
  <Company/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2025-06-27T12:53:00Z</dcterms:created>
  <dcterms:modified xsi:type="dcterms:W3CDTF">2025-06-27T12:53:00Z</dcterms:modified>
</cp:coreProperties>
</file>