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36B91" w14:textId="77777777" w:rsidR="00C96305" w:rsidRPr="00E50557" w:rsidRDefault="00C96305" w:rsidP="00E50557">
      <w:pPr>
        <w:pStyle w:val="ac"/>
        <w:jc w:val="both"/>
        <w:rPr>
          <w:rFonts w:ascii="Times New Roman" w:hAnsi="Times New Roman" w:cs="Times New Roman"/>
          <w:sz w:val="24"/>
          <w:szCs w:val="24"/>
        </w:rPr>
      </w:pPr>
      <w:bookmarkStart w:id="0" w:name="_GoBack"/>
      <w:bookmarkEnd w:id="0"/>
      <w:r w:rsidRPr="00E50557">
        <w:rPr>
          <w:rFonts w:ascii="Times New Roman" w:hAnsi="Times New Roman" w:cs="Times New Roman"/>
          <w:sz w:val="24"/>
          <w:szCs w:val="24"/>
        </w:rPr>
        <w:t>СРАВНИТЕЛЬНАЯ ТАБЛИЦА</w:t>
      </w:r>
    </w:p>
    <w:p w14:paraId="22C51AF6" w14:textId="77777777" w:rsidR="00754126"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к проекту закона Приднестровской Молдавской Республики </w:t>
      </w:r>
    </w:p>
    <w:p w14:paraId="107BD362" w14:textId="77777777" w:rsidR="00754126"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«О внесении изменений и дополнени</w:t>
      </w:r>
      <w:r w:rsidR="00182408" w:rsidRPr="00E50557">
        <w:rPr>
          <w:rFonts w:ascii="Times New Roman" w:hAnsi="Times New Roman" w:cs="Times New Roman"/>
          <w:sz w:val="24"/>
          <w:szCs w:val="24"/>
        </w:rPr>
        <w:t>й</w:t>
      </w:r>
      <w:r w:rsidRPr="00E50557">
        <w:rPr>
          <w:rFonts w:ascii="Times New Roman" w:hAnsi="Times New Roman" w:cs="Times New Roman"/>
          <w:sz w:val="24"/>
          <w:szCs w:val="24"/>
        </w:rPr>
        <w:t xml:space="preserve"> в Кодекс </w:t>
      </w:r>
    </w:p>
    <w:p w14:paraId="2DF28D37" w14:textId="7EA8100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Приднестровской Молдавской Республики об административных правонарушениях»</w:t>
      </w:r>
    </w:p>
    <w:p w14:paraId="4D20546A" w14:textId="77777777" w:rsidR="00C96305" w:rsidRPr="00E50557" w:rsidRDefault="00C96305" w:rsidP="00E50557">
      <w:pPr>
        <w:pStyle w:val="ac"/>
        <w:jc w:val="both"/>
        <w:rPr>
          <w:rFonts w:ascii="Times New Roman" w:hAnsi="Times New Roman" w:cs="Times New Roman"/>
          <w:sz w:val="24"/>
          <w:szCs w:val="24"/>
        </w:rPr>
      </w:pPr>
    </w:p>
    <w:tbl>
      <w:tblPr>
        <w:tblStyle w:val="a7"/>
        <w:tblW w:w="9493" w:type="dxa"/>
        <w:tblLook w:val="04A0" w:firstRow="1" w:lastRow="0" w:firstColumn="1" w:lastColumn="0" w:noHBand="0" w:noVBand="1"/>
      </w:tblPr>
      <w:tblGrid>
        <w:gridCol w:w="4673"/>
        <w:gridCol w:w="4820"/>
      </w:tblGrid>
      <w:tr w:rsidR="00A81385" w:rsidRPr="00E50557" w14:paraId="41CFF4D2" w14:textId="77777777" w:rsidTr="00453940">
        <w:tc>
          <w:tcPr>
            <w:tcW w:w="4673" w:type="dxa"/>
          </w:tcPr>
          <w:p w14:paraId="2A57E983"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Действующая редакция</w:t>
            </w:r>
          </w:p>
        </w:tc>
        <w:tc>
          <w:tcPr>
            <w:tcW w:w="4820" w:type="dxa"/>
          </w:tcPr>
          <w:p w14:paraId="09A609BB"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Предлагаемая редакция </w:t>
            </w:r>
          </w:p>
        </w:tc>
      </w:tr>
      <w:tr w:rsidR="00A81385" w:rsidRPr="00E50557" w14:paraId="0FAF37E4" w14:textId="77777777" w:rsidTr="00453940">
        <w:tc>
          <w:tcPr>
            <w:tcW w:w="4673" w:type="dxa"/>
          </w:tcPr>
          <w:p w14:paraId="61EFE45E"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Статья 7.19. Самовольное подключение к энергетическим сетям, нефтепроводам и газопроводам </w:t>
            </w:r>
          </w:p>
          <w:p w14:paraId="4B18E04F" w14:textId="77777777" w:rsidR="00C96305" w:rsidRPr="00E50557" w:rsidRDefault="00C96305" w:rsidP="00E50557">
            <w:pPr>
              <w:pStyle w:val="ac"/>
              <w:jc w:val="both"/>
              <w:rPr>
                <w:rFonts w:ascii="Times New Roman" w:hAnsi="Times New Roman" w:cs="Times New Roman"/>
                <w:sz w:val="24"/>
                <w:szCs w:val="24"/>
              </w:rPr>
            </w:pPr>
          </w:p>
          <w:p w14:paraId="146221B3" w14:textId="77777777" w:rsidR="00C96305" w:rsidRPr="00E50557" w:rsidRDefault="00C96305" w:rsidP="00E50557">
            <w:pPr>
              <w:pStyle w:val="ac"/>
              <w:jc w:val="both"/>
              <w:rPr>
                <w:rFonts w:ascii="Times New Roman" w:hAnsi="Times New Roman" w:cs="Times New Roman"/>
                <w:sz w:val="24"/>
                <w:szCs w:val="24"/>
              </w:rPr>
            </w:pPr>
          </w:p>
          <w:p w14:paraId="13B39231"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Самовольное, без специального разрешения, подключение к энергетическим сетям, нефтепроводам и газопроводам, а равно самовольное использование в корыстных целях электрической, тепловой энергии или природного газа, не причинившее существенного вреда, –</w:t>
            </w:r>
          </w:p>
          <w:p w14:paraId="6AFC242F"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влечет наложение административного штрафа на граждан в размере от 50 (пятидесяти) до 100 (ста) РУ МЗП (от 920 до 1840 рублей), на должностных лиц – от 100 до 300 РУ МЗП (от 1840 до 5520 рублей), на юридических лиц – от 1000 до 1500 РУ МЗП (от 18 400 до 27 600 рублей).</w:t>
            </w:r>
          </w:p>
          <w:p w14:paraId="66051CBA"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Примечание. Под существенным вредом следует понимать причинение ущерба на сумму свыше 2 000 (двух тысяч) РУ МЗП в размере, установленном на день совершения правонарушения.</w:t>
            </w:r>
          </w:p>
          <w:p w14:paraId="6D2BFCEF" w14:textId="77777777" w:rsidR="00C96305" w:rsidRPr="00E50557" w:rsidRDefault="00C96305" w:rsidP="00E50557">
            <w:pPr>
              <w:pStyle w:val="ac"/>
              <w:jc w:val="both"/>
              <w:rPr>
                <w:rFonts w:ascii="Times New Roman" w:hAnsi="Times New Roman" w:cs="Times New Roman"/>
                <w:sz w:val="24"/>
                <w:szCs w:val="24"/>
              </w:rPr>
            </w:pPr>
          </w:p>
        </w:tc>
        <w:tc>
          <w:tcPr>
            <w:tcW w:w="4820" w:type="dxa"/>
          </w:tcPr>
          <w:p w14:paraId="46F8E032" w14:textId="7A2F9871" w:rsidR="003A7E09"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Статья 7.19. </w:t>
            </w:r>
            <w:bookmarkStart w:id="1" w:name="_Hlk200544512"/>
            <w:r w:rsidR="003A7E09" w:rsidRPr="00E50557">
              <w:rPr>
                <w:rFonts w:ascii="Times New Roman" w:hAnsi="Times New Roman" w:cs="Times New Roman"/>
                <w:sz w:val="24"/>
                <w:szCs w:val="24"/>
              </w:rPr>
              <w:t>Самовольное подключение к электрическим сетям, тепловым сетям, сетям газоснабжения или самовольное использование электрической, тепловой энергии или природного газа</w:t>
            </w:r>
          </w:p>
          <w:bookmarkEnd w:id="1"/>
          <w:p w14:paraId="54BDA7BE" w14:textId="64DEEFC3" w:rsidR="003A7E09" w:rsidRPr="00E50557" w:rsidRDefault="00AC1DD6"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ab/>
            </w:r>
            <w:r w:rsidR="003A7E09" w:rsidRPr="00E50557">
              <w:rPr>
                <w:rFonts w:ascii="Times New Roman" w:hAnsi="Times New Roman" w:cs="Times New Roman"/>
                <w:sz w:val="24"/>
                <w:szCs w:val="24"/>
              </w:rPr>
              <w:t>1. Самовольное, без специального разрешения, подключение к электрическим сетям, тепловым сетям, сетям газоснабжения, а равно самовольное использование в корыстных целях электрической, тепловой энергии или природного газа, не причинившие существенного вреда, –</w:t>
            </w:r>
          </w:p>
          <w:p w14:paraId="0AD90C1A" w14:textId="77777777" w:rsidR="003A7E09" w:rsidRPr="00E50557" w:rsidRDefault="003A7E09"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влечет наложение административного штрафа на граждан в размере от 50 (пятидесяти) до 100 (ста) РУ МЗП, на должностных лиц – от 100 (ста) до 300 (трехсот) РУ МЗП, на юридических лиц – от 1000 (одной тысячи) до 1500 (одной тысячи пятисот) РУ МЗП.</w:t>
            </w:r>
          </w:p>
          <w:p w14:paraId="43B20063" w14:textId="77777777" w:rsidR="003A7E09" w:rsidRPr="00E50557" w:rsidRDefault="003A7E09"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Примечание. Под существенным вредом следует понимать причинение ущерба на сумму свыше 2 000 (двух тысяч) РУ МЗП.</w:t>
            </w:r>
          </w:p>
          <w:p w14:paraId="1EC59F9F" w14:textId="57A106DF" w:rsidR="003A7E09" w:rsidRPr="00E50557" w:rsidRDefault="00AC1DD6"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ab/>
            </w:r>
            <w:r w:rsidR="003A7E09" w:rsidRPr="00E50557">
              <w:rPr>
                <w:rFonts w:ascii="Times New Roman" w:hAnsi="Times New Roman" w:cs="Times New Roman"/>
                <w:sz w:val="24"/>
                <w:szCs w:val="24"/>
              </w:rPr>
              <w:t>2. Повторное совершение административного правонарушения, предусмотренного пунктом 1 настоящей статьи, -</w:t>
            </w:r>
          </w:p>
          <w:p w14:paraId="1EE69A03" w14:textId="1E895F72" w:rsidR="00C96305" w:rsidRPr="00E50557" w:rsidRDefault="003A7E09"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влечет наложение административного штрафа на граждан в размере от 100 (ста) до 300 (трехсот) РУ МЗП, на должностных лиц – от 300 (трехсот) до 500 (пятисот) РУ МЗП, на юридических лиц – от 1500 (одной тысячи пятисот) до 2000 (двух тысяч) РУ МЗП</w:t>
            </w:r>
          </w:p>
        </w:tc>
      </w:tr>
      <w:tr w:rsidR="00A81385" w:rsidRPr="00E50557" w14:paraId="3A3C6004" w14:textId="77777777" w:rsidTr="00453940">
        <w:tc>
          <w:tcPr>
            <w:tcW w:w="4673" w:type="dxa"/>
          </w:tcPr>
          <w:p w14:paraId="4FFFCE4A" w14:textId="4E32ED3F"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7.19</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1 Отсутствует.</w:t>
            </w:r>
          </w:p>
        </w:tc>
        <w:tc>
          <w:tcPr>
            <w:tcW w:w="4820" w:type="dxa"/>
          </w:tcPr>
          <w:p w14:paraId="2399CA05" w14:textId="12C46DEB"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7.19</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 xml:space="preserve">1. </w:t>
            </w:r>
            <w:bookmarkStart w:id="2" w:name="_Hlk200544600"/>
            <w:r w:rsidRPr="00E50557">
              <w:rPr>
                <w:rFonts w:ascii="Times New Roman" w:hAnsi="Times New Roman" w:cs="Times New Roman"/>
                <w:sz w:val="24"/>
                <w:szCs w:val="24"/>
              </w:rPr>
              <w:t>Нарушение права доступа к газовому оборудованию и (или) к приборам учета газа</w:t>
            </w:r>
          </w:p>
          <w:bookmarkEnd w:id="2"/>
          <w:p w14:paraId="5DE7F330" w14:textId="77777777" w:rsidR="00C96305" w:rsidRPr="00E50557" w:rsidRDefault="00C96305" w:rsidP="00E50557">
            <w:pPr>
              <w:pStyle w:val="ac"/>
              <w:jc w:val="both"/>
              <w:rPr>
                <w:rFonts w:ascii="Times New Roman" w:hAnsi="Times New Roman" w:cs="Times New Roman"/>
                <w:sz w:val="24"/>
                <w:szCs w:val="24"/>
              </w:rPr>
            </w:pPr>
          </w:p>
          <w:p w14:paraId="26695C52" w14:textId="3FA119D4"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1. Необоснованный отказ в обеспечении доступа представителя газоснабжающей организации для выполнения работ по техническому обслуживанию, ремонту внутридомового газового оборудования и внутридомовых газовых сетей в многоквартирном жилом доме, а также проведения контрольных мероприятий по снятию показаний приборов учета газа, в </w:t>
            </w:r>
            <w:r w:rsidRPr="00E50557">
              <w:rPr>
                <w:rFonts w:ascii="Times New Roman" w:hAnsi="Times New Roman" w:cs="Times New Roman"/>
                <w:sz w:val="24"/>
                <w:szCs w:val="24"/>
              </w:rPr>
              <w:lastRenderedPageBreak/>
              <w:t>случае уведомления о выполнении таких работ (мероприятий) в установленном порядке</w:t>
            </w:r>
            <w:r w:rsidR="00537DDA" w:rsidRPr="00E50557">
              <w:rPr>
                <w:rFonts w:ascii="Times New Roman" w:hAnsi="Times New Roman" w:cs="Times New Roman"/>
                <w:sz w:val="24"/>
                <w:szCs w:val="24"/>
              </w:rPr>
              <w:t>,</w:t>
            </w:r>
            <w:r w:rsidRPr="00E50557">
              <w:rPr>
                <w:rFonts w:ascii="Times New Roman" w:hAnsi="Times New Roman" w:cs="Times New Roman"/>
                <w:sz w:val="24"/>
                <w:szCs w:val="24"/>
              </w:rPr>
              <w:t xml:space="preserve"> –</w:t>
            </w:r>
          </w:p>
          <w:p w14:paraId="33076E23"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влечет наложение административного штрафа на граждан в размере от 5 (пяти) до 10 (десяти) РУ МЗП, на должностных лиц – от 10 (десяти) до 30 (тридцати) РУ МЗП, на юридических лиц – от 100 (ста) до 150 (ста пятидесяти) РУ МЗП.</w:t>
            </w:r>
          </w:p>
          <w:p w14:paraId="36F805C8"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2. Уклонение от замены внутридомового газового оборудования, в случаях, если это угрожает аварией или создает угрозу жизни и безопасности граждан – </w:t>
            </w:r>
          </w:p>
          <w:p w14:paraId="64029D20"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влечет наложение административного штрафа на граждан в размере от 30 (тридцати) до 50 (пятидесяти) РУ МЗП, на должностных лиц – от 50 (пятидесяти) до 100 (ста) РУ МЗП, на юридических лиц – от 500 (пятисот) до 1000 (одной тысячи) РУ МЗП.</w:t>
            </w:r>
          </w:p>
          <w:p w14:paraId="27FB85E2" w14:textId="54B45A1F"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3. Действия (бездействие), предусмотренные пунктами 1,</w:t>
            </w:r>
            <w:r w:rsidR="00065371" w:rsidRPr="00E50557">
              <w:rPr>
                <w:rFonts w:ascii="Times New Roman" w:hAnsi="Times New Roman" w:cs="Times New Roman"/>
                <w:sz w:val="24"/>
                <w:szCs w:val="24"/>
              </w:rPr>
              <w:t xml:space="preserve"> </w:t>
            </w:r>
            <w:r w:rsidRPr="00E50557">
              <w:rPr>
                <w:rFonts w:ascii="Times New Roman" w:hAnsi="Times New Roman" w:cs="Times New Roman"/>
                <w:sz w:val="24"/>
                <w:szCs w:val="24"/>
              </w:rPr>
              <w:t>2 настоящей статьи, приведшие к аварии или возникновению непосредственной угрозы причинения вреда жизни или здоровью людей, -</w:t>
            </w:r>
          </w:p>
          <w:p w14:paraId="6C08135B"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влекут наложение административного штрафа на граждан в размере от 50 (пятидесяти) до 100 (ста) РУ МЗП, на должностных лиц – от 100 (ста) до 300 (трехсот) РУ МЗП, на юридических лиц – от 1000 (одной тысячи) до 1500 (одной тысячи пятисот) РУ МЗП.</w:t>
            </w:r>
          </w:p>
          <w:p w14:paraId="0CDB7270" w14:textId="77777777" w:rsidR="00F23244" w:rsidRPr="00E50557" w:rsidRDefault="00F23244"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Примечание.</w:t>
            </w:r>
          </w:p>
          <w:p w14:paraId="59C1E736" w14:textId="6F286B79" w:rsidR="00F23244" w:rsidRPr="00E50557" w:rsidRDefault="00F23244"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1. Под внутридомовым газовым оборудованием понимается:</w:t>
            </w:r>
          </w:p>
          <w:p w14:paraId="7ECFE91E" w14:textId="7CAFFA6A" w:rsidR="00F23244" w:rsidRPr="00E50557" w:rsidRDefault="00F23244"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а) в многоквартирном жилом доме - внутриквартирные разводки газовых сетей от первого отключающего устройства в помещении квартиры – запорной арматуры (крана), включая ее; бытовое газоиспользующее оборудование, размещенное внутри помещения, в том числе системы контроля загазованности помещений и приборы учета природного газа;</w:t>
            </w:r>
          </w:p>
          <w:p w14:paraId="092F1053" w14:textId="06269F49" w:rsidR="00F23244" w:rsidRPr="00E50557" w:rsidRDefault="00F23244"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б) в одноквартирных и индивидуальных жилых домах – находящиеся в пределах земельного участка, на котором расположен одноквартирный или индивидуальный жилой дом, газопроводы от места присоединения к распределительному газопроводу до бытового газоиспользующего оборудования, в том </w:t>
            </w:r>
            <w:r w:rsidRPr="00E50557">
              <w:rPr>
                <w:rFonts w:ascii="Times New Roman" w:hAnsi="Times New Roman" w:cs="Times New Roman"/>
                <w:sz w:val="24"/>
                <w:szCs w:val="24"/>
              </w:rPr>
              <w:lastRenderedPageBreak/>
              <w:t>числе отключающие устройства – запорная арматура (краны), бытовое газоиспользующее оборудование, размещенное внутри помещения, в том числе системы контроля загазованности помещений и приборы учета природного газа.</w:t>
            </w:r>
          </w:p>
          <w:p w14:paraId="6D91ED55" w14:textId="12B960DB" w:rsidR="00F23244" w:rsidRPr="00E50557" w:rsidRDefault="00F23244"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2. Под внутридомовыми газовыми сетями в многоквартирном жилом доме понимаются внутридомовые (</w:t>
            </w:r>
            <w:proofErr w:type="spellStart"/>
            <w:r w:rsidRPr="00E50557">
              <w:rPr>
                <w:rFonts w:ascii="Times New Roman" w:hAnsi="Times New Roman" w:cs="Times New Roman"/>
                <w:sz w:val="24"/>
                <w:szCs w:val="24"/>
              </w:rPr>
              <w:t>внутриподъездные</w:t>
            </w:r>
            <w:proofErr w:type="spellEnd"/>
            <w:r w:rsidRPr="00E50557">
              <w:rPr>
                <w:rFonts w:ascii="Times New Roman" w:hAnsi="Times New Roman" w:cs="Times New Roman"/>
                <w:sz w:val="24"/>
                <w:szCs w:val="24"/>
              </w:rPr>
              <w:t>) разводки газовых сетей от отключающего устройства - запорной арматуры (крана) на газопроводе-вводе в многоквартирный жилой дом до первого отключающего устройства в жилом (нежилом) помещении многоквартирного жилого дома – запорной арматуры (крана), не включая ее.</w:t>
            </w:r>
          </w:p>
          <w:p w14:paraId="124AC407" w14:textId="407BF9BC" w:rsidR="00F23244" w:rsidRPr="00E50557" w:rsidRDefault="00F23244"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3. Под техническим обслуживанием внутридомового газового оборудования понимается комплекс работ по поддержанию внутридомового газового оборудования в техническом состоянии, соответствующем предъявляемым к нему нормативным требованиям.</w:t>
            </w:r>
          </w:p>
          <w:p w14:paraId="774C03D8" w14:textId="4CC519CF" w:rsidR="00F23244" w:rsidRPr="00E50557" w:rsidRDefault="00F23244"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4. Под ремонтом внутридомового газового оборудования понимается комплекс работ по поддержанию внутридомового газового оборудования в техническом состоянии, соответствующем предъявляемым к нему нормативным требованиям, с заменой и (или) восстановлением отдельных частей.</w:t>
            </w:r>
          </w:p>
        </w:tc>
      </w:tr>
      <w:tr w:rsidR="00A81385" w:rsidRPr="00E50557" w14:paraId="69E1067D" w14:textId="77777777" w:rsidTr="00F23244">
        <w:trPr>
          <w:trHeight w:val="8006"/>
        </w:trPr>
        <w:tc>
          <w:tcPr>
            <w:tcW w:w="4673" w:type="dxa"/>
          </w:tcPr>
          <w:p w14:paraId="393C5EAF"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lastRenderedPageBreak/>
              <w:t xml:space="preserve">Статья 7.20. Самовольное подключение к централизованным системам питьевого водоснабжения и (или) системам водоотведения городских и сельских поселений </w:t>
            </w:r>
          </w:p>
          <w:p w14:paraId="5C092242" w14:textId="6CC560E9" w:rsidR="00C96305" w:rsidRPr="00E50557" w:rsidRDefault="00C96305" w:rsidP="00E50557">
            <w:pPr>
              <w:pStyle w:val="ac"/>
              <w:jc w:val="both"/>
              <w:rPr>
                <w:rFonts w:ascii="Times New Roman" w:hAnsi="Times New Roman" w:cs="Times New Roman"/>
                <w:sz w:val="24"/>
                <w:szCs w:val="24"/>
              </w:rPr>
            </w:pPr>
          </w:p>
          <w:p w14:paraId="6B23C30D" w14:textId="55FEC607" w:rsidR="00754126" w:rsidRPr="00E50557" w:rsidRDefault="00754126" w:rsidP="00E50557">
            <w:pPr>
              <w:pStyle w:val="ac"/>
              <w:jc w:val="both"/>
              <w:rPr>
                <w:rFonts w:ascii="Times New Roman" w:hAnsi="Times New Roman" w:cs="Times New Roman"/>
                <w:sz w:val="24"/>
                <w:szCs w:val="24"/>
              </w:rPr>
            </w:pPr>
          </w:p>
          <w:p w14:paraId="29FFE192" w14:textId="77777777" w:rsidR="00754126" w:rsidRPr="00E50557" w:rsidRDefault="00754126" w:rsidP="00E50557">
            <w:pPr>
              <w:pStyle w:val="ac"/>
              <w:jc w:val="both"/>
              <w:rPr>
                <w:rFonts w:ascii="Times New Roman" w:hAnsi="Times New Roman" w:cs="Times New Roman"/>
                <w:sz w:val="24"/>
                <w:szCs w:val="24"/>
              </w:rPr>
            </w:pPr>
          </w:p>
          <w:p w14:paraId="65743124"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Самовольное подключение к централизованным системам питьевого водоснабжения и (или) системам водоотведения городских и сельских поселений –</w:t>
            </w:r>
          </w:p>
          <w:p w14:paraId="358E12E3"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Влечет наложение административного штрафа на граждан в размере от 35 (тридцати пяти) до 50 (пятидесяти) РУ МЗП, на должностных лиц – от 70 (семидесяти) до 100 (ста) РУ МЗП, на юридических лиц – от 600 (шестисот) до 1000 (одной тысячи) РУ МЗП. </w:t>
            </w:r>
          </w:p>
          <w:p w14:paraId="26775C04" w14:textId="77777777" w:rsidR="00C96305" w:rsidRPr="00E50557" w:rsidRDefault="00C96305" w:rsidP="00E50557">
            <w:pPr>
              <w:pStyle w:val="ac"/>
              <w:jc w:val="both"/>
              <w:rPr>
                <w:rFonts w:ascii="Times New Roman" w:hAnsi="Times New Roman" w:cs="Times New Roman"/>
                <w:sz w:val="24"/>
                <w:szCs w:val="24"/>
              </w:rPr>
            </w:pPr>
          </w:p>
        </w:tc>
        <w:tc>
          <w:tcPr>
            <w:tcW w:w="4820" w:type="dxa"/>
          </w:tcPr>
          <w:p w14:paraId="48CB1CA8" w14:textId="77777777" w:rsidR="00DC240E"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Статья 7.20. </w:t>
            </w:r>
            <w:bookmarkStart w:id="3" w:name="_Hlk200544780"/>
            <w:r w:rsidRPr="00E50557">
              <w:rPr>
                <w:rFonts w:ascii="Times New Roman" w:hAnsi="Times New Roman" w:cs="Times New Roman"/>
                <w:sz w:val="24"/>
                <w:szCs w:val="24"/>
              </w:rPr>
              <w:t xml:space="preserve">Самовольное подключение к централизованным системам питьевого водоснабжения и (или) системам водоотведения городских и сельских поселений </w:t>
            </w:r>
            <w:r w:rsidR="00393C2D" w:rsidRPr="00E50557">
              <w:rPr>
                <w:rFonts w:ascii="Times New Roman" w:hAnsi="Times New Roman" w:cs="Times New Roman"/>
                <w:sz w:val="24"/>
                <w:szCs w:val="24"/>
              </w:rPr>
              <w:t>или самовольное использование питьевой воды</w:t>
            </w:r>
            <w:r w:rsidR="00DC240E" w:rsidRPr="00E50557">
              <w:rPr>
                <w:rFonts w:ascii="Times New Roman" w:hAnsi="Times New Roman" w:cs="Times New Roman"/>
                <w:sz w:val="24"/>
                <w:szCs w:val="24"/>
              </w:rPr>
              <w:t xml:space="preserve"> из централизованных систем питьевого водоснабжения</w:t>
            </w:r>
          </w:p>
          <w:bookmarkEnd w:id="3"/>
          <w:p w14:paraId="4C11DF38" w14:textId="1B3B30C8" w:rsidR="00C96305" w:rsidRPr="00E50557" w:rsidRDefault="00C96305" w:rsidP="00E50557">
            <w:pPr>
              <w:pStyle w:val="ac"/>
              <w:jc w:val="both"/>
              <w:rPr>
                <w:rFonts w:ascii="Times New Roman" w:hAnsi="Times New Roman" w:cs="Times New Roman"/>
                <w:sz w:val="24"/>
                <w:szCs w:val="24"/>
              </w:rPr>
            </w:pPr>
          </w:p>
          <w:p w14:paraId="547DDFDC" w14:textId="4F3B89AF"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Самовольное, без специального разрешения, подключение к централизованным системам питьевого водоснабжения и (или) системам водоотведения городских и сельских поселений, а равно самовольное использование </w:t>
            </w:r>
            <w:r w:rsidR="00393C2D" w:rsidRPr="00E50557">
              <w:rPr>
                <w:rFonts w:ascii="Times New Roman" w:hAnsi="Times New Roman" w:cs="Times New Roman"/>
                <w:sz w:val="24"/>
                <w:szCs w:val="24"/>
              </w:rPr>
              <w:t xml:space="preserve">в корыстных целях </w:t>
            </w:r>
            <w:r w:rsidRPr="00E50557">
              <w:rPr>
                <w:rFonts w:ascii="Times New Roman" w:hAnsi="Times New Roman" w:cs="Times New Roman"/>
                <w:sz w:val="24"/>
                <w:szCs w:val="24"/>
              </w:rPr>
              <w:t>питьевой воды</w:t>
            </w:r>
            <w:r w:rsidR="00DC240E" w:rsidRPr="00E50557">
              <w:rPr>
                <w:rFonts w:ascii="Times New Roman" w:hAnsi="Times New Roman" w:cs="Times New Roman"/>
                <w:sz w:val="24"/>
                <w:szCs w:val="24"/>
              </w:rPr>
              <w:t xml:space="preserve"> из централизованных систем питьевого водоснабжения</w:t>
            </w:r>
            <w:r w:rsidRPr="00E50557">
              <w:rPr>
                <w:rFonts w:ascii="Times New Roman" w:hAnsi="Times New Roman" w:cs="Times New Roman"/>
                <w:sz w:val="24"/>
                <w:szCs w:val="24"/>
              </w:rPr>
              <w:t>, не причинившее существенного вреда, –</w:t>
            </w:r>
          </w:p>
          <w:p w14:paraId="7C01F08E"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влечет наложение административного штрафа на граждан в размере от 50 (пятидесяти) до 100 (ста) РУ МЗП, на должностных лиц – от 100 (ста) до 300 (трёхсот) РУ МЗП, на юридических лиц – от 1000 (одной тысячи) до 1500 (одной тысячи пятисот) РУ МЗП. </w:t>
            </w:r>
          </w:p>
          <w:p w14:paraId="71767E87" w14:textId="477E9E88"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Примечание. Под существенным вредом следует понимать причинение ущерба на сумму </w:t>
            </w:r>
            <w:r w:rsidR="00393C2D" w:rsidRPr="00E50557">
              <w:rPr>
                <w:rFonts w:ascii="Times New Roman" w:hAnsi="Times New Roman" w:cs="Times New Roman"/>
                <w:sz w:val="24"/>
                <w:szCs w:val="24"/>
              </w:rPr>
              <w:t>свыше 2 000 (двух тысяч) РУ МЗП.</w:t>
            </w:r>
          </w:p>
        </w:tc>
      </w:tr>
      <w:tr w:rsidR="00A81385" w:rsidRPr="00E50557" w14:paraId="012E461A" w14:textId="77777777" w:rsidTr="00453940">
        <w:tc>
          <w:tcPr>
            <w:tcW w:w="4673" w:type="dxa"/>
          </w:tcPr>
          <w:p w14:paraId="009CD1EB" w14:textId="088AF53A"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7.20</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1.</w:t>
            </w:r>
            <w:r w:rsidR="00F23244" w:rsidRPr="00E50557">
              <w:rPr>
                <w:rFonts w:ascii="Times New Roman" w:hAnsi="Times New Roman" w:cs="Times New Roman"/>
                <w:sz w:val="24"/>
                <w:szCs w:val="24"/>
              </w:rPr>
              <w:t xml:space="preserve"> О</w:t>
            </w:r>
            <w:r w:rsidRPr="00E50557">
              <w:rPr>
                <w:rFonts w:ascii="Times New Roman" w:hAnsi="Times New Roman" w:cs="Times New Roman"/>
                <w:sz w:val="24"/>
                <w:szCs w:val="24"/>
              </w:rPr>
              <w:t>тсутствует</w:t>
            </w:r>
            <w:r w:rsidR="00F23244" w:rsidRPr="00E50557">
              <w:rPr>
                <w:rFonts w:ascii="Times New Roman" w:hAnsi="Times New Roman" w:cs="Times New Roman"/>
                <w:sz w:val="24"/>
                <w:szCs w:val="24"/>
              </w:rPr>
              <w:t>.</w:t>
            </w:r>
          </w:p>
        </w:tc>
        <w:tc>
          <w:tcPr>
            <w:tcW w:w="4820" w:type="dxa"/>
          </w:tcPr>
          <w:p w14:paraId="1B2DE02B" w14:textId="36D150FD"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7.20</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 xml:space="preserve">1. </w:t>
            </w:r>
            <w:bookmarkStart w:id="4" w:name="_Hlk200544931"/>
            <w:r w:rsidRPr="00E50557">
              <w:rPr>
                <w:rFonts w:ascii="Times New Roman" w:hAnsi="Times New Roman" w:cs="Times New Roman"/>
                <w:sz w:val="24"/>
                <w:szCs w:val="24"/>
              </w:rPr>
              <w:t>Нарушения порядка использования потребителями питьевой воды из централизованных систем питьевого водоснабжения для полива огородов, дачных и приусадебных участков в поливочный сезон</w:t>
            </w:r>
          </w:p>
          <w:bookmarkEnd w:id="4"/>
          <w:p w14:paraId="49FD8326" w14:textId="77777777" w:rsidR="00C96305" w:rsidRPr="00E50557" w:rsidRDefault="00C96305" w:rsidP="00E50557">
            <w:pPr>
              <w:pStyle w:val="ac"/>
              <w:jc w:val="both"/>
              <w:rPr>
                <w:rFonts w:ascii="Times New Roman" w:hAnsi="Times New Roman" w:cs="Times New Roman"/>
                <w:sz w:val="24"/>
                <w:szCs w:val="24"/>
              </w:rPr>
            </w:pPr>
          </w:p>
          <w:p w14:paraId="1D9D309F" w14:textId="25E06E65"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Нарушение порядка использования потребителями питьевой воды </w:t>
            </w:r>
            <w:r w:rsidR="00DC240E" w:rsidRPr="00E50557">
              <w:rPr>
                <w:rFonts w:ascii="Times New Roman" w:hAnsi="Times New Roman" w:cs="Times New Roman"/>
                <w:sz w:val="24"/>
                <w:szCs w:val="24"/>
              </w:rPr>
              <w:t xml:space="preserve">из централизованных систем питьевого водоснабжения </w:t>
            </w:r>
            <w:r w:rsidRPr="00E50557">
              <w:rPr>
                <w:rFonts w:ascii="Times New Roman" w:hAnsi="Times New Roman" w:cs="Times New Roman"/>
                <w:sz w:val="24"/>
                <w:szCs w:val="24"/>
              </w:rPr>
              <w:t>для полива огородов, дачных и приусадебных участков в поливочный сезон -</w:t>
            </w:r>
          </w:p>
          <w:p w14:paraId="325EFD75"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влечет наложение административного штрафа на граждан в размере, от 35 (тридцати пяти) до 50 (пятидесяти) РУ МЗП, на индивидуальных предпринимателей - от 600 (шестисот) до 1000 (одной тысячи) РУ МЗП, на юридических лиц – от 600 (шестисот) до 1000 (одной тысячи) РУ МЗП. </w:t>
            </w:r>
          </w:p>
        </w:tc>
      </w:tr>
      <w:tr w:rsidR="00A81385" w:rsidRPr="00E50557" w14:paraId="31098DAE" w14:textId="77777777" w:rsidTr="00453940">
        <w:tc>
          <w:tcPr>
            <w:tcW w:w="4673" w:type="dxa"/>
          </w:tcPr>
          <w:p w14:paraId="599B9197" w14:textId="25FC2F43"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7.20</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2</w:t>
            </w:r>
            <w:r w:rsidR="00F23244" w:rsidRPr="00E50557">
              <w:rPr>
                <w:rFonts w:ascii="Times New Roman" w:hAnsi="Times New Roman" w:cs="Times New Roman"/>
                <w:sz w:val="24"/>
                <w:szCs w:val="24"/>
              </w:rPr>
              <w:t xml:space="preserve"> О</w:t>
            </w:r>
            <w:r w:rsidRPr="00E50557">
              <w:rPr>
                <w:rFonts w:ascii="Times New Roman" w:hAnsi="Times New Roman" w:cs="Times New Roman"/>
                <w:sz w:val="24"/>
                <w:szCs w:val="24"/>
              </w:rPr>
              <w:t>тсутствует</w:t>
            </w:r>
            <w:r w:rsidR="00F23244" w:rsidRPr="00E50557">
              <w:rPr>
                <w:rFonts w:ascii="Times New Roman" w:hAnsi="Times New Roman" w:cs="Times New Roman"/>
                <w:sz w:val="24"/>
                <w:szCs w:val="24"/>
              </w:rPr>
              <w:t>.</w:t>
            </w:r>
          </w:p>
        </w:tc>
        <w:tc>
          <w:tcPr>
            <w:tcW w:w="4820" w:type="dxa"/>
          </w:tcPr>
          <w:p w14:paraId="402D21ED" w14:textId="7D8A2189"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7.20</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 xml:space="preserve">2. </w:t>
            </w:r>
            <w:bookmarkStart w:id="5" w:name="_Hlk200545267"/>
            <w:proofErr w:type="spellStart"/>
            <w:r w:rsidRPr="00E50557">
              <w:rPr>
                <w:rFonts w:ascii="Times New Roman" w:hAnsi="Times New Roman" w:cs="Times New Roman"/>
                <w:sz w:val="24"/>
                <w:szCs w:val="24"/>
              </w:rPr>
              <w:t>Непредоставление</w:t>
            </w:r>
            <w:proofErr w:type="spellEnd"/>
            <w:r w:rsidRPr="00E50557">
              <w:rPr>
                <w:rFonts w:ascii="Times New Roman" w:hAnsi="Times New Roman" w:cs="Times New Roman"/>
                <w:sz w:val="24"/>
                <w:szCs w:val="24"/>
              </w:rPr>
              <w:t xml:space="preserve"> работникам </w:t>
            </w:r>
            <w:proofErr w:type="spellStart"/>
            <w:r w:rsidRPr="00E50557">
              <w:rPr>
                <w:rFonts w:ascii="Times New Roman" w:hAnsi="Times New Roman" w:cs="Times New Roman"/>
                <w:sz w:val="24"/>
                <w:szCs w:val="24"/>
              </w:rPr>
              <w:t>водоснабжающей</w:t>
            </w:r>
            <w:proofErr w:type="spellEnd"/>
            <w:r w:rsidRPr="00E50557">
              <w:rPr>
                <w:rFonts w:ascii="Times New Roman" w:hAnsi="Times New Roman" w:cs="Times New Roman"/>
                <w:sz w:val="24"/>
                <w:szCs w:val="24"/>
              </w:rPr>
              <w:t xml:space="preserve"> организации доступа к </w:t>
            </w:r>
            <w:r w:rsidRPr="00E50557">
              <w:rPr>
                <w:rFonts w:ascii="Times New Roman" w:hAnsi="Times New Roman" w:cs="Times New Roman"/>
                <w:sz w:val="24"/>
                <w:szCs w:val="24"/>
              </w:rPr>
              <w:lastRenderedPageBreak/>
              <w:t>системам водоснабжения и (или) водоотведения, приборам учета расхода воды, при проведении плановых и внеплановых проверок</w:t>
            </w:r>
            <w:r w:rsidR="00393C2D" w:rsidRPr="00E50557">
              <w:rPr>
                <w:rFonts w:ascii="Times New Roman" w:hAnsi="Times New Roman" w:cs="Times New Roman"/>
                <w:sz w:val="24"/>
                <w:szCs w:val="24"/>
              </w:rPr>
              <w:t xml:space="preserve"> по контролю за правильностью снятия потребителями показаний приборов учета и предоставления ими этих сведений</w:t>
            </w:r>
          </w:p>
          <w:bookmarkEnd w:id="5"/>
          <w:p w14:paraId="1E7B534C" w14:textId="77777777" w:rsidR="00C96305" w:rsidRPr="00E50557" w:rsidRDefault="00C96305" w:rsidP="00E50557">
            <w:pPr>
              <w:pStyle w:val="ac"/>
              <w:jc w:val="both"/>
              <w:rPr>
                <w:rFonts w:ascii="Times New Roman" w:hAnsi="Times New Roman" w:cs="Times New Roman"/>
                <w:sz w:val="24"/>
                <w:szCs w:val="24"/>
              </w:rPr>
            </w:pPr>
          </w:p>
          <w:p w14:paraId="7C37480C" w14:textId="7D186A16" w:rsidR="00C96305" w:rsidRPr="00E50557" w:rsidRDefault="00C96305" w:rsidP="00E50557">
            <w:pPr>
              <w:pStyle w:val="ac"/>
              <w:jc w:val="both"/>
              <w:rPr>
                <w:rFonts w:ascii="Times New Roman" w:hAnsi="Times New Roman" w:cs="Times New Roman"/>
                <w:sz w:val="24"/>
                <w:szCs w:val="24"/>
              </w:rPr>
            </w:pPr>
            <w:proofErr w:type="spellStart"/>
            <w:r w:rsidRPr="00E50557">
              <w:rPr>
                <w:rFonts w:ascii="Times New Roman" w:hAnsi="Times New Roman" w:cs="Times New Roman"/>
                <w:sz w:val="24"/>
                <w:szCs w:val="24"/>
              </w:rPr>
              <w:t>Непредоставление</w:t>
            </w:r>
            <w:proofErr w:type="spellEnd"/>
            <w:r w:rsidRPr="00E50557">
              <w:rPr>
                <w:rFonts w:ascii="Times New Roman" w:hAnsi="Times New Roman" w:cs="Times New Roman"/>
                <w:sz w:val="24"/>
                <w:szCs w:val="24"/>
              </w:rPr>
              <w:t xml:space="preserve"> работникам </w:t>
            </w:r>
            <w:proofErr w:type="spellStart"/>
            <w:r w:rsidRPr="00E50557">
              <w:rPr>
                <w:rFonts w:ascii="Times New Roman" w:hAnsi="Times New Roman" w:cs="Times New Roman"/>
                <w:sz w:val="24"/>
                <w:szCs w:val="24"/>
              </w:rPr>
              <w:t>водоснабжающей</w:t>
            </w:r>
            <w:proofErr w:type="spellEnd"/>
            <w:r w:rsidRPr="00E50557">
              <w:rPr>
                <w:rFonts w:ascii="Times New Roman" w:hAnsi="Times New Roman" w:cs="Times New Roman"/>
                <w:sz w:val="24"/>
                <w:szCs w:val="24"/>
              </w:rPr>
              <w:t xml:space="preserve"> организации доступа к системам водоснабжения и (или) водоотведения, приборам учета расхода воды, при проведении плановых и внеплановых проверок </w:t>
            </w:r>
            <w:r w:rsidR="00393C2D" w:rsidRPr="00E50557">
              <w:rPr>
                <w:rFonts w:ascii="Times New Roman" w:hAnsi="Times New Roman" w:cs="Times New Roman"/>
                <w:sz w:val="24"/>
                <w:szCs w:val="24"/>
              </w:rPr>
              <w:t xml:space="preserve">по контролю за правильностью снятия потребителями показаний приборов учета и предоставления ими этих сведений </w:t>
            </w:r>
            <w:r w:rsidRPr="00E50557">
              <w:rPr>
                <w:rFonts w:ascii="Times New Roman" w:hAnsi="Times New Roman" w:cs="Times New Roman"/>
                <w:sz w:val="24"/>
                <w:szCs w:val="24"/>
              </w:rPr>
              <w:t>-</w:t>
            </w:r>
          </w:p>
          <w:p w14:paraId="6FD3F276"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влечет наложение административного штрафа на граждан в размере, от 35 (тридцати пяти) до 50 (пятидесяти) РУ МЗП, на индивидуальных предпринимателей - от 600 (шестисот) до 1000 (одной тысячи) РУ МЗП, на юридических лиц – от 600 (шестисот) до 1000 (одной тысячи) РУ МЗП.</w:t>
            </w:r>
          </w:p>
        </w:tc>
      </w:tr>
      <w:tr w:rsidR="00A81385" w:rsidRPr="00E50557" w14:paraId="12D1A713" w14:textId="77777777" w:rsidTr="00453940">
        <w:tc>
          <w:tcPr>
            <w:tcW w:w="4673" w:type="dxa"/>
          </w:tcPr>
          <w:p w14:paraId="568D2CF1"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lastRenderedPageBreak/>
              <w:t>Статья 23.24. Органы, осуществляющие государственный энергетический контроль (надзор)</w:t>
            </w:r>
          </w:p>
          <w:p w14:paraId="01020680" w14:textId="77777777" w:rsidR="00C96305" w:rsidRPr="00E50557" w:rsidRDefault="00C96305" w:rsidP="00E50557">
            <w:pPr>
              <w:pStyle w:val="ac"/>
              <w:jc w:val="both"/>
              <w:rPr>
                <w:rFonts w:ascii="Times New Roman" w:hAnsi="Times New Roman" w:cs="Times New Roman"/>
                <w:sz w:val="24"/>
                <w:szCs w:val="24"/>
              </w:rPr>
            </w:pPr>
          </w:p>
          <w:p w14:paraId="45C01406"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Органы, осуществляющие государственный энергетический контроль (надзор) рассматривают дела об административных правонарушениях, предусмотренных статьями 7.19, 9.6–9.10, 9.12 настоящего Кодекса.</w:t>
            </w:r>
          </w:p>
        </w:tc>
        <w:tc>
          <w:tcPr>
            <w:tcW w:w="4820" w:type="dxa"/>
          </w:tcPr>
          <w:p w14:paraId="74CCF482"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23.24. Органы, осуществляющие государственный энергетический контроль (надзор)</w:t>
            </w:r>
          </w:p>
          <w:p w14:paraId="75CD0BB8" w14:textId="77777777" w:rsidR="00C96305" w:rsidRPr="00E50557" w:rsidRDefault="00C96305" w:rsidP="00E50557">
            <w:pPr>
              <w:pStyle w:val="ac"/>
              <w:jc w:val="both"/>
              <w:rPr>
                <w:rFonts w:ascii="Times New Roman" w:hAnsi="Times New Roman" w:cs="Times New Roman"/>
                <w:sz w:val="24"/>
                <w:szCs w:val="24"/>
              </w:rPr>
            </w:pPr>
          </w:p>
          <w:p w14:paraId="564792A5" w14:textId="5FB50928"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Органы, осуществляющие государственный энергетический контроль (надзор) рассматривают дела об административных правонарушениях, предусмотренных статьями 7.19, 7.20, 7.20</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1, 7.20</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2, 9.6–9.10, 9.12 настоящего Кодекса.</w:t>
            </w:r>
          </w:p>
        </w:tc>
      </w:tr>
      <w:tr w:rsidR="00C96305" w:rsidRPr="00E50557" w14:paraId="79B6E5D0" w14:textId="77777777" w:rsidTr="00453940">
        <w:tc>
          <w:tcPr>
            <w:tcW w:w="4673" w:type="dxa"/>
          </w:tcPr>
          <w:p w14:paraId="1003434C"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Статья 29.4. Должностные лица, уполномоченные составлять протоколы об административных правонарушениях</w:t>
            </w:r>
          </w:p>
          <w:p w14:paraId="68396158" w14:textId="77777777" w:rsidR="00C96305" w:rsidRPr="00E50557" w:rsidRDefault="00C96305" w:rsidP="00E50557">
            <w:pPr>
              <w:pStyle w:val="ac"/>
              <w:jc w:val="both"/>
              <w:rPr>
                <w:rFonts w:ascii="Times New Roman" w:hAnsi="Times New Roman" w:cs="Times New Roman"/>
                <w:sz w:val="24"/>
                <w:szCs w:val="24"/>
              </w:rPr>
            </w:pPr>
          </w:p>
          <w:p w14:paraId="7C5869A5"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Республики </w:t>
            </w:r>
            <w:r w:rsidRPr="00E50557">
              <w:rPr>
                <w:rFonts w:ascii="Times New Roman" w:hAnsi="Times New Roman" w:cs="Times New Roman"/>
                <w:sz w:val="24"/>
                <w:szCs w:val="24"/>
              </w:rPr>
              <w:lastRenderedPageBreak/>
              <w:t xml:space="preserve">и Правительства Приднестровской Молдавской Республики: </w:t>
            </w:r>
          </w:p>
          <w:p w14:paraId="66D9E8BC"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а) должностные лица органов внутренних дел (милиции) – об административных правонарушениях, предусмотренных статьями 5.5, 5.9–5.11, 5.13–5.15, 5.19, 5.27, 5.29, 5.45, 5.48–5.51, 5.59, 5.61, 5.62, 6.6 (в период действия ограничительных мероприятий (карантина)), 6.7, 6.11–6.16, 6.18, 6.20, 6.21, 6.22, 6.22.1, 6.23.1, 6.24, 6.25, 6.26, пунктами 2 и 3 статьи 7.2, статьями 7.6, 7.18–7.20, 7.26–7.29,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пунктом 2 статьи 11.5, статьями 11.15–11.18, 12.1–12.36, 12.39, 12.40, 12.41, 13.1, 13.8.1, 13.9, пунктами 1 и 2 статьи 13.12, статьями 13.13–13.15, 13.17, 13.25, 13.28–13.30, 14.1–14.8, 14.11, 14.11.1, 14.12, 14.17–14.26, пунктом 5 статьи 14.28, статьями 14.29, 14.38, 14.39, 14.42, 15.1, 15.12–15.25, пунктом 1 статьи 15.26, пунктом 1 статьи 15.29, пунктом 6 статьи 15.44,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E50557">
              <w:rPr>
                <w:rFonts w:ascii="Times New Roman" w:hAnsi="Times New Roman" w:cs="Times New Roman"/>
                <w:sz w:val="24"/>
                <w:szCs w:val="24"/>
              </w:rPr>
              <w:t>квадрициклами</w:t>
            </w:r>
            <w:proofErr w:type="spellEnd"/>
            <w:r w:rsidRPr="00E50557">
              <w:rPr>
                <w:rFonts w:ascii="Times New Roman" w:hAnsi="Times New Roman" w:cs="Times New Roman"/>
                <w:sz w:val="24"/>
                <w:szCs w:val="24"/>
              </w:rPr>
              <w:t xml:space="preserve">, </w:t>
            </w:r>
            <w:proofErr w:type="spellStart"/>
            <w:r w:rsidRPr="00E50557">
              <w:rPr>
                <w:rFonts w:ascii="Times New Roman" w:hAnsi="Times New Roman" w:cs="Times New Roman"/>
                <w:sz w:val="24"/>
                <w:szCs w:val="24"/>
              </w:rPr>
              <w:t>трициклами</w:t>
            </w:r>
            <w:proofErr w:type="spellEnd"/>
            <w:r w:rsidRPr="00E50557">
              <w:rPr>
                <w:rFonts w:ascii="Times New Roman" w:hAnsi="Times New Roman" w:cs="Times New Roman"/>
                <w:sz w:val="24"/>
                <w:szCs w:val="24"/>
              </w:rPr>
              <w:t xml:space="preserve"> и </w:t>
            </w:r>
            <w:proofErr w:type="spellStart"/>
            <w:r w:rsidRPr="00E50557">
              <w:rPr>
                <w:rFonts w:ascii="Times New Roman" w:hAnsi="Times New Roman" w:cs="Times New Roman"/>
                <w:sz w:val="24"/>
                <w:szCs w:val="24"/>
              </w:rPr>
              <w:t>квадрициклами</w:t>
            </w:r>
            <w:proofErr w:type="spellEnd"/>
            <w:r w:rsidRPr="00E50557">
              <w:rPr>
                <w:rFonts w:ascii="Times New Roman" w:hAnsi="Times New Roman" w:cs="Times New Roman"/>
                <w:sz w:val="24"/>
                <w:szCs w:val="24"/>
              </w:rPr>
              <w:t xml:space="preserve">), статьей 17.13,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20.29, 21.5 настоящего Кодекса; </w:t>
            </w:r>
          </w:p>
          <w:p w14:paraId="50C24FA2"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w:t>
            </w:r>
          </w:p>
        </w:tc>
        <w:tc>
          <w:tcPr>
            <w:tcW w:w="4820" w:type="dxa"/>
          </w:tcPr>
          <w:p w14:paraId="4975E3CD"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lastRenderedPageBreak/>
              <w:t xml:space="preserve">Статья 29.4. </w:t>
            </w:r>
            <w:bookmarkStart w:id="6" w:name="_Hlk200545336"/>
            <w:r w:rsidRPr="00E50557">
              <w:rPr>
                <w:rFonts w:ascii="Times New Roman" w:hAnsi="Times New Roman" w:cs="Times New Roman"/>
                <w:sz w:val="24"/>
                <w:szCs w:val="24"/>
              </w:rPr>
              <w:t>Должностные лица, уполномоченные составлять протоколы об административных правонарушениях</w:t>
            </w:r>
          </w:p>
          <w:bookmarkEnd w:id="6"/>
          <w:p w14:paraId="4AB1032B" w14:textId="77777777" w:rsidR="00C96305" w:rsidRPr="00E50557" w:rsidRDefault="00C96305" w:rsidP="00E50557">
            <w:pPr>
              <w:pStyle w:val="ac"/>
              <w:jc w:val="both"/>
              <w:rPr>
                <w:rFonts w:ascii="Times New Roman" w:hAnsi="Times New Roman" w:cs="Times New Roman"/>
                <w:sz w:val="24"/>
                <w:szCs w:val="24"/>
              </w:rPr>
            </w:pPr>
          </w:p>
          <w:p w14:paraId="03D35E58"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 xml:space="preserve">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центрального банка Приднестровской Молдавской Республики в соответствии с задачами и функциями, возложенными на них законами либо нормативными правовыми актами Президента Приднестровской Молдавской </w:t>
            </w:r>
            <w:r w:rsidRPr="00E50557">
              <w:rPr>
                <w:rFonts w:ascii="Times New Roman" w:hAnsi="Times New Roman" w:cs="Times New Roman"/>
                <w:sz w:val="24"/>
                <w:szCs w:val="24"/>
              </w:rPr>
              <w:lastRenderedPageBreak/>
              <w:t xml:space="preserve">Республики и Правительства Приднестровской Молдавской Республики: </w:t>
            </w:r>
          </w:p>
          <w:p w14:paraId="5ED701A7" w14:textId="422587AA"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а) должностные лица органов внутренних дел (милиции) – об административных правонарушениях, предусмотренных статьями 5.5, 5.9–5.11, 5.13–5.15, 5.19, 5.27, 5.29, 5.45, 5.48–5.51, 5.59, 5.61, 5.62, 6.6 (в период действия ограничительных мероприятий (карантина)), 6.7, 6.11–6.16, 6.18, 6.20, 6.21, 6.22, 6.22.1, 6.23.1, 6.24, 6.25, 6.26, пунктами 2 и 3 статьи 7.2, статьями 7.6, 7.18–7.20</w:t>
            </w:r>
            <w:r w:rsidR="00F23244" w:rsidRPr="00E50557">
              <w:rPr>
                <w:rFonts w:ascii="Times New Roman" w:hAnsi="Times New Roman" w:cs="Times New Roman"/>
                <w:sz w:val="24"/>
                <w:szCs w:val="24"/>
              </w:rPr>
              <w:t>.</w:t>
            </w:r>
            <w:r w:rsidRPr="00E50557">
              <w:rPr>
                <w:rFonts w:ascii="Times New Roman" w:hAnsi="Times New Roman" w:cs="Times New Roman"/>
                <w:sz w:val="24"/>
                <w:szCs w:val="24"/>
              </w:rPr>
              <w:t xml:space="preserve">2, 7.26–7.29,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пунктов, предоставленных для сельскохозяйственных целей) –10.6, 10.11, пунктами 1, 3–5 статьи 11.1, пунктами 1, 3, 4 статьи 11.2, пунктом 2 статьи 11.5, статьями 11.15–11.18, 12.1–12.36, 12.39, 12.40, 12.41, 13.1, 13.8.1, 13.9, пунктами 1 и 2 статьи 13.12, статьями 13.13–13.15, 13.17, 13.25, 13.28–13.30, 14.1–14.8, 14.11, 14.11.1, 14.12, 14.17–14.26, пунктом 5 статьи 14.28, статьями 14.29, 14.38, 14.39, 14.42, 15.1, 15.12–15.25, пунктом 1 статьи 15.26, пунктом 1 статьи 15.29, пунктом 6 статьи 15.44,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E50557">
              <w:rPr>
                <w:rFonts w:ascii="Times New Roman" w:hAnsi="Times New Roman" w:cs="Times New Roman"/>
                <w:sz w:val="24"/>
                <w:szCs w:val="24"/>
              </w:rPr>
              <w:t>квадрициклами</w:t>
            </w:r>
            <w:proofErr w:type="spellEnd"/>
            <w:r w:rsidRPr="00E50557">
              <w:rPr>
                <w:rFonts w:ascii="Times New Roman" w:hAnsi="Times New Roman" w:cs="Times New Roman"/>
                <w:sz w:val="24"/>
                <w:szCs w:val="24"/>
              </w:rPr>
              <w:t xml:space="preserve">, </w:t>
            </w:r>
            <w:proofErr w:type="spellStart"/>
            <w:r w:rsidRPr="00E50557">
              <w:rPr>
                <w:rFonts w:ascii="Times New Roman" w:hAnsi="Times New Roman" w:cs="Times New Roman"/>
                <w:sz w:val="24"/>
                <w:szCs w:val="24"/>
              </w:rPr>
              <w:t>трициклами</w:t>
            </w:r>
            <w:proofErr w:type="spellEnd"/>
            <w:r w:rsidRPr="00E50557">
              <w:rPr>
                <w:rFonts w:ascii="Times New Roman" w:hAnsi="Times New Roman" w:cs="Times New Roman"/>
                <w:sz w:val="24"/>
                <w:szCs w:val="24"/>
              </w:rPr>
              <w:t xml:space="preserve"> и </w:t>
            </w:r>
            <w:proofErr w:type="spellStart"/>
            <w:r w:rsidRPr="00E50557">
              <w:rPr>
                <w:rFonts w:ascii="Times New Roman" w:hAnsi="Times New Roman" w:cs="Times New Roman"/>
                <w:sz w:val="24"/>
                <w:szCs w:val="24"/>
              </w:rPr>
              <w:t>квадрициклами</w:t>
            </w:r>
            <w:proofErr w:type="spellEnd"/>
            <w:r w:rsidRPr="00E50557">
              <w:rPr>
                <w:rFonts w:ascii="Times New Roman" w:hAnsi="Times New Roman" w:cs="Times New Roman"/>
                <w:sz w:val="24"/>
                <w:szCs w:val="24"/>
              </w:rPr>
              <w:t xml:space="preserve">), статьей 17.13,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20.29, 21.5 настоящего Кодекса; </w:t>
            </w:r>
          </w:p>
          <w:p w14:paraId="79673988" w14:textId="77777777" w:rsidR="00C96305" w:rsidRPr="00E50557" w:rsidRDefault="00C96305" w:rsidP="00E50557">
            <w:pPr>
              <w:pStyle w:val="ac"/>
              <w:jc w:val="both"/>
              <w:rPr>
                <w:rFonts w:ascii="Times New Roman" w:hAnsi="Times New Roman" w:cs="Times New Roman"/>
                <w:sz w:val="24"/>
                <w:szCs w:val="24"/>
              </w:rPr>
            </w:pPr>
            <w:r w:rsidRPr="00E50557">
              <w:rPr>
                <w:rFonts w:ascii="Times New Roman" w:hAnsi="Times New Roman" w:cs="Times New Roman"/>
                <w:sz w:val="24"/>
                <w:szCs w:val="24"/>
              </w:rPr>
              <w:t>….</w:t>
            </w:r>
          </w:p>
          <w:p w14:paraId="08171CC2" w14:textId="77777777" w:rsidR="00C96305" w:rsidRPr="00E50557" w:rsidRDefault="00C96305" w:rsidP="00E50557">
            <w:pPr>
              <w:pStyle w:val="ac"/>
              <w:jc w:val="both"/>
              <w:rPr>
                <w:rFonts w:ascii="Times New Roman" w:hAnsi="Times New Roman" w:cs="Times New Roman"/>
                <w:sz w:val="24"/>
                <w:szCs w:val="24"/>
              </w:rPr>
            </w:pPr>
          </w:p>
        </w:tc>
      </w:tr>
    </w:tbl>
    <w:p w14:paraId="1E7E6EF5" w14:textId="77777777" w:rsidR="00C96305" w:rsidRPr="00E50557" w:rsidRDefault="00C96305" w:rsidP="00E50557">
      <w:pPr>
        <w:pStyle w:val="ac"/>
        <w:jc w:val="both"/>
        <w:rPr>
          <w:rFonts w:ascii="Times New Roman" w:hAnsi="Times New Roman" w:cs="Times New Roman"/>
          <w:sz w:val="24"/>
          <w:szCs w:val="24"/>
        </w:rPr>
      </w:pPr>
    </w:p>
    <w:sectPr w:rsidR="00C96305" w:rsidRPr="00E50557" w:rsidSect="00764E8C">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3DEA"/>
    <w:multiLevelType w:val="hybridMultilevel"/>
    <w:tmpl w:val="DEDEAE9A"/>
    <w:lvl w:ilvl="0" w:tplc="996077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82065"/>
    <w:multiLevelType w:val="hybridMultilevel"/>
    <w:tmpl w:val="0B5E5838"/>
    <w:lvl w:ilvl="0" w:tplc="437A24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9556D72"/>
    <w:multiLevelType w:val="hybridMultilevel"/>
    <w:tmpl w:val="157C8DF8"/>
    <w:lvl w:ilvl="0" w:tplc="6824AF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DB1DB3"/>
    <w:multiLevelType w:val="hybridMultilevel"/>
    <w:tmpl w:val="713C7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EF49D1"/>
    <w:multiLevelType w:val="hybridMultilevel"/>
    <w:tmpl w:val="F2646CDE"/>
    <w:lvl w:ilvl="0" w:tplc="8B6E7D6A">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5A996A30"/>
    <w:multiLevelType w:val="hybridMultilevel"/>
    <w:tmpl w:val="008EB7D4"/>
    <w:lvl w:ilvl="0" w:tplc="11402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EED02DA"/>
    <w:multiLevelType w:val="hybridMultilevel"/>
    <w:tmpl w:val="041AAD04"/>
    <w:lvl w:ilvl="0" w:tplc="F7CCEB6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8542DD"/>
    <w:multiLevelType w:val="hybridMultilevel"/>
    <w:tmpl w:val="03729EFE"/>
    <w:lvl w:ilvl="0" w:tplc="B908DE2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9A507C7"/>
    <w:multiLevelType w:val="hybridMultilevel"/>
    <w:tmpl w:val="596CECC8"/>
    <w:lvl w:ilvl="0" w:tplc="216206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7"/>
  </w:num>
  <w:num w:numId="3">
    <w:abstractNumId w:val="3"/>
  </w:num>
  <w:num w:numId="4">
    <w:abstractNumId w:val="6"/>
  </w:num>
  <w:num w:numId="5">
    <w:abstractNumId w:val="1"/>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38"/>
    <w:rsid w:val="00036A33"/>
    <w:rsid w:val="00065371"/>
    <w:rsid w:val="00081B0E"/>
    <w:rsid w:val="00086681"/>
    <w:rsid w:val="000935D8"/>
    <w:rsid w:val="000F6599"/>
    <w:rsid w:val="00134698"/>
    <w:rsid w:val="001358B6"/>
    <w:rsid w:val="00136D0A"/>
    <w:rsid w:val="001545B4"/>
    <w:rsid w:val="00154ACA"/>
    <w:rsid w:val="00182408"/>
    <w:rsid w:val="001B260E"/>
    <w:rsid w:val="001B7B29"/>
    <w:rsid w:val="001D2447"/>
    <w:rsid w:val="001E12D1"/>
    <w:rsid w:val="001E502C"/>
    <w:rsid w:val="001E6F5A"/>
    <w:rsid w:val="00240F08"/>
    <w:rsid w:val="00240FF4"/>
    <w:rsid w:val="00245A13"/>
    <w:rsid w:val="00296B05"/>
    <w:rsid w:val="002B38E9"/>
    <w:rsid w:val="002C460A"/>
    <w:rsid w:val="002D4FCE"/>
    <w:rsid w:val="002E6560"/>
    <w:rsid w:val="002F77C6"/>
    <w:rsid w:val="003416D3"/>
    <w:rsid w:val="003717DC"/>
    <w:rsid w:val="00382BD6"/>
    <w:rsid w:val="0038552A"/>
    <w:rsid w:val="0039116E"/>
    <w:rsid w:val="00393C2D"/>
    <w:rsid w:val="003A7E09"/>
    <w:rsid w:val="003B55FE"/>
    <w:rsid w:val="003D628A"/>
    <w:rsid w:val="003D6BDE"/>
    <w:rsid w:val="003E2A9F"/>
    <w:rsid w:val="003E7C76"/>
    <w:rsid w:val="004021F2"/>
    <w:rsid w:val="00415623"/>
    <w:rsid w:val="0042407D"/>
    <w:rsid w:val="004309C7"/>
    <w:rsid w:val="00437A4F"/>
    <w:rsid w:val="00462CC8"/>
    <w:rsid w:val="00464C61"/>
    <w:rsid w:val="00465FEF"/>
    <w:rsid w:val="00472F1D"/>
    <w:rsid w:val="00486BFA"/>
    <w:rsid w:val="0048708C"/>
    <w:rsid w:val="00490963"/>
    <w:rsid w:val="004B6F58"/>
    <w:rsid w:val="004D6F33"/>
    <w:rsid w:val="005018E8"/>
    <w:rsid w:val="005118DD"/>
    <w:rsid w:val="0053657E"/>
    <w:rsid w:val="00537DDA"/>
    <w:rsid w:val="00580022"/>
    <w:rsid w:val="005A7338"/>
    <w:rsid w:val="005B095A"/>
    <w:rsid w:val="005F7F66"/>
    <w:rsid w:val="00605CAB"/>
    <w:rsid w:val="00620D29"/>
    <w:rsid w:val="00623A51"/>
    <w:rsid w:val="00640E3F"/>
    <w:rsid w:val="0068465A"/>
    <w:rsid w:val="006B40B8"/>
    <w:rsid w:val="006C3731"/>
    <w:rsid w:val="006D339B"/>
    <w:rsid w:val="006D419F"/>
    <w:rsid w:val="006D6B36"/>
    <w:rsid w:val="006D7A71"/>
    <w:rsid w:val="006F0CAB"/>
    <w:rsid w:val="006F5FFD"/>
    <w:rsid w:val="00704269"/>
    <w:rsid w:val="00711298"/>
    <w:rsid w:val="00711DBB"/>
    <w:rsid w:val="00721287"/>
    <w:rsid w:val="00725221"/>
    <w:rsid w:val="007300F3"/>
    <w:rsid w:val="0074158D"/>
    <w:rsid w:val="00754126"/>
    <w:rsid w:val="00762DEF"/>
    <w:rsid w:val="00764E8C"/>
    <w:rsid w:val="00773864"/>
    <w:rsid w:val="0077513C"/>
    <w:rsid w:val="0079745A"/>
    <w:rsid w:val="007B262C"/>
    <w:rsid w:val="007E57DD"/>
    <w:rsid w:val="007E6234"/>
    <w:rsid w:val="00803C48"/>
    <w:rsid w:val="00873705"/>
    <w:rsid w:val="00881A7E"/>
    <w:rsid w:val="00893375"/>
    <w:rsid w:val="008C753B"/>
    <w:rsid w:val="009062C0"/>
    <w:rsid w:val="009336B2"/>
    <w:rsid w:val="00933D17"/>
    <w:rsid w:val="00951653"/>
    <w:rsid w:val="00955D6B"/>
    <w:rsid w:val="009700C3"/>
    <w:rsid w:val="00984DBB"/>
    <w:rsid w:val="009A5CB0"/>
    <w:rsid w:val="009B6221"/>
    <w:rsid w:val="00A0781C"/>
    <w:rsid w:val="00A21606"/>
    <w:rsid w:val="00A257F6"/>
    <w:rsid w:val="00A32377"/>
    <w:rsid w:val="00A53C5D"/>
    <w:rsid w:val="00A57A22"/>
    <w:rsid w:val="00A72B79"/>
    <w:rsid w:val="00A7674C"/>
    <w:rsid w:val="00A81385"/>
    <w:rsid w:val="00A82268"/>
    <w:rsid w:val="00AC1DD6"/>
    <w:rsid w:val="00AE0E56"/>
    <w:rsid w:val="00AF4D99"/>
    <w:rsid w:val="00B34F95"/>
    <w:rsid w:val="00B37DB6"/>
    <w:rsid w:val="00B41648"/>
    <w:rsid w:val="00B41B0F"/>
    <w:rsid w:val="00B41D02"/>
    <w:rsid w:val="00BA04A1"/>
    <w:rsid w:val="00BC32CA"/>
    <w:rsid w:val="00BF4FD0"/>
    <w:rsid w:val="00C13E04"/>
    <w:rsid w:val="00C271A8"/>
    <w:rsid w:val="00C80666"/>
    <w:rsid w:val="00C96305"/>
    <w:rsid w:val="00CA3303"/>
    <w:rsid w:val="00CB6A7D"/>
    <w:rsid w:val="00CE04AE"/>
    <w:rsid w:val="00CE7E27"/>
    <w:rsid w:val="00D063CF"/>
    <w:rsid w:val="00D126D4"/>
    <w:rsid w:val="00D43037"/>
    <w:rsid w:val="00D629CE"/>
    <w:rsid w:val="00D73B89"/>
    <w:rsid w:val="00D812E3"/>
    <w:rsid w:val="00D9138F"/>
    <w:rsid w:val="00D9506E"/>
    <w:rsid w:val="00DA56BE"/>
    <w:rsid w:val="00DB39C0"/>
    <w:rsid w:val="00DB54CF"/>
    <w:rsid w:val="00DC00F4"/>
    <w:rsid w:val="00DC158C"/>
    <w:rsid w:val="00DC240E"/>
    <w:rsid w:val="00DD4900"/>
    <w:rsid w:val="00DF7D2B"/>
    <w:rsid w:val="00E2692A"/>
    <w:rsid w:val="00E50557"/>
    <w:rsid w:val="00E53CAE"/>
    <w:rsid w:val="00E57075"/>
    <w:rsid w:val="00E6524C"/>
    <w:rsid w:val="00E71338"/>
    <w:rsid w:val="00E74810"/>
    <w:rsid w:val="00E955E7"/>
    <w:rsid w:val="00E975A5"/>
    <w:rsid w:val="00EA15BB"/>
    <w:rsid w:val="00EA6171"/>
    <w:rsid w:val="00EB7A0E"/>
    <w:rsid w:val="00ED2024"/>
    <w:rsid w:val="00EE2CC1"/>
    <w:rsid w:val="00EF13D2"/>
    <w:rsid w:val="00F15E24"/>
    <w:rsid w:val="00F23244"/>
    <w:rsid w:val="00F413FB"/>
    <w:rsid w:val="00F83539"/>
    <w:rsid w:val="00F85F78"/>
    <w:rsid w:val="00F9563B"/>
    <w:rsid w:val="00FE4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E7C4"/>
  <w15:chartTrackingRefBased/>
  <w15:docId w15:val="{C9583F8E-E406-4C5B-8748-A824AB2B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D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D6B"/>
    <w:rPr>
      <w:rFonts w:ascii="Segoe UI" w:hAnsi="Segoe UI" w:cs="Segoe UI"/>
      <w:sz w:val="18"/>
      <w:szCs w:val="18"/>
    </w:rPr>
  </w:style>
  <w:style w:type="paragraph" w:styleId="a5">
    <w:name w:val="List Paragraph"/>
    <w:basedOn w:val="a"/>
    <w:uiPriority w:val="34"/>
    <w:qFormat/>
    <w:rsid w:val="00DF7D2B"/>
    <w:pPr>
      <w:spacing w:after="200" w:line="276" w:lineRule="auto"/>
      <w:ind w:left="720"/>
      <w:contextualSpacing/>
    </w:pPr>
    <w:rPr>
      <w:rFonts w:eastAsiaTheme="minorEastAsia"/>
      <w:lang w:eastAsia="ru-RU"/>
    </w:rPr>
  </w:style>
  <w:style w:type="paragraph" w:styleId="a6">
    <w:name w:val="Normal (Web)"/>
    <w:basedOn w:val="a"/>
    <w:uiPriority w:val="99"/>
    <w:semiHidden/>
    <w:unhideWhenUsed/>
    <w:rsid w:val="000866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240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unhideWhenUsed/>
    <w:rsid w:val="006F5FFD"/>
    <w:rPr>
      <w:sz w:val="16"/>
      <w:szCs w:val="16"/>
    </w:rPr>
  </w:style>
  <w:style w:type="paragraph" w:customStyle="1" w:styleId="a9">
    <w:name w:val="Согласующие"/>
    <w:basedOn w:val="a"/>
    <w:link w:val="aa"/>
    <w:qFormat/>
    <w:rsid w:val="00D73B89"/>
    <w:pPr>
      <w:tabs>
        <w:tab w:val="left" w:pos="3119"/>
        <w:tab w:val="left" w:pos="6804"/>
      </w:tabs>
      <w:spacing w:after="0" w:line="240" w:lineRule="auto"/>
    </w:pPr>
    <w:rPr>
      <w:rFonts w:ascii="Times New Roman" w:eastAsia="Calibri" w:hAnsi="Times New Roman" w:cs="Times New Roman"/>
      <w:sz w:val="24"/>
      <w:szCs w:val="24"/>
    </w:rPr>
  </w:style>
  <w:style w:type="character" w:customStyle="1" w:styleId="aa">
    <w:name w:val="Согласующие Знак"/>
    <w:link w:val="a9"/>
    <w:rsid w:val="00D73B89"/>
    <w:rPr>
      <w:rFonts w:ascii="Times New Roman" w:eastAsia="Calibri" w:hAnsi="Times New Roman" w:cs="Times New Roman"/>
      <w:sz w:val="24"/>
      <w:szCs w:val="24"/>
    </w:rPr>
  </w:style>
  <w:style w:type="character" w:styleId="ab">
    <w:name w:val="Hyperlink"/>
    <w:uiPriority w:val="99"/>
    <w:unhideWhenUsed/>
    <w:rsid w:val="00415623"/>
    <w:rPr>
      <w:color w:val="0000FF"/>
      <w:u w:val="single"/>
    </w:rPr>
  </w:style>
  <w:style w:type="paragraph" w:styleId="ac">
    <w:name w:val="No Spacing"/>
    <w:uiPriority w:val="1"/>
    <w:qFormat/>
    <w:rsid w:val="00E505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21165">
      <w:bodyDiv w:val="1"/>
      <w:marLeft w:val="0"/>
      <w:marRight w:val="0"/>
      <w:marTop w:val="0"/>
      <w:marBottom w:val="0"/>
      <w:divBdr>
        <w:top w:val="none" w:sz="0" w:space="0" w:color="auto"/>
        <w:left w:val="none" w:sz="0" w:space="0" w:color="auto"/>
        <w:bottom w:val="none" w:sz="0" w:space="0" w:color="auto"/>
        <w:right w:val="none" w:sz="0" w:space="0" w:color="auto"/>
      </w:divBdr>
    </w:div>
    <w:div w:id="1005206189">
      <w:bodyDiv w:val="1"/>
      <w:marLeft w:val="0"/>
      <w:marRight w:val="0"/>
      <w:marTop w:val="0"/>
      <w:marBottom w:val="0"/>
      <w:divBdr>
        <w:top w:val="none" w:sz="0" w:space="0" w:color="auto"/>
        <w:left w:val="none" w:sz="0" w:space="0" w:color="auto"/>
        <w:bottom w:val="none" w:sz="0" w:space="0" w:color="auto"/>
        <w:right w:val="none" w:sz="0" w:space="0" w:color="auto"/>
      </w:divBdr>
    </w:div>
    <w:div w:id="13424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92DF-78D6-4C9B-AC66-BC56390A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Бобейко</dc:creator>
  <cp:keywords/>
  <dc:description/>
  <cp:lastModifiedBy>Гончар Елена Дмитриевна</cp:lastModifiedBy>
  <cp:revision>20</cp:revision>
  <cp:lastPrinted>2025-06-17T11:04:00Z</cp:lastPrinted>
  <dcterms:created xsi:type="dcterms:W3CDTF">2025-04-03T08:18:00Z</dcterms:created>
  <dcterms:modified xsi:type="dcterms:W3CDTF">2025-06-30T06:24:00Z</dcterms:modified>
</cp:coreProperties>
</file>