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08" w:rsidRDefault="001C5D08" w:rsidP="005F4D88">
      <w:pPr>
        <w:spacing w:after="0" w:line="240" w:lineRule="auto"/>
        <w:jc w:val="both"/>
        <w:rPr>
          <w:rFonts w:ascii="Times New Roman" w:eastAsia="Calibri" w:hAnsi="Times New Roman" w:cs="Times New Roman"/>
          <w:b/>
          <w:sz w:val="24"/>
          <w:szCs w:val="24"/>
        </w:rPr>
      </w:pPr>
    </w:p>
    <w:p w:rsidR="00834BE0" w:rsidRPr="005F4766" w:rsidRDefault="00834BE0" w:rsidP="00834BE0">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834BE0" w:rsidRPr="005F4766" w:rsidRDefault="00834BE0" w:rsidP="00834BE0">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к проекту закона Приднестровской Молдавской Республики</w:t>
      </w:r>
    </w:p>
    <w:p w:rsidR="00834BE0" w:rsidRDefault="00834BE0" w:rsidP="00834B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 внесении дополнений в Закон Приднестровской Молдавской Республики «Об актах законодательства Приднестровской Молдавской Республики</w:t>
      </w:r>
      <w:r w:rsidRPr="008805D6">
        <w:rPr>
          <w:rFonts w:ascii="Times New Roman" w:eastAsia="Calibri" w:hAnsi="Times New Roman" w:cs="Times New Roman"/>
          <w:b/>
          <w:sz w:val="24"/>
          <w:szCs w:val="24"/>
        </w:rPr>
        <w:t>»</w:t>
      </w:r>
    </w:p>
    <w:p w:rsidR="00834BE0" w:rsidRPr="005F4766" w:rsidRDefault="00834BE0" w:rsidP="005F4D88">
      <w:pPr>
        <w:spacing w:after="0" w:line="240" w:lineRule="auto"/>
        <w:jc w:val="both"/>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2261FB" w:rsidRPr="005F4766" w:rsidTr="002261FB">
        <w:trPr>
          <w:trHeight w:val="321"/>
        </w:trPr>
        <w:tc>
          <w:tcPr>
            <w:tcW w:w="4671" w:type="dxa"/>
          </w:tcPr>
          <w:p w:rsid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b/>
                <w:sz w:val="24"/>
                <w:szCs w:val="28"/>
              </w:rPr>
              <w:t>Статья 3-1.</w:t>
            </w:r>
            <w:r w:rsidRPr="00325E43">
              <w:rPr>
                <w:rFonts w:ascii="Times New Roman" w:hAnsi="Times New Roman" w:cs="Times New Roman"/>
                <w:sz w:val="24"/>
                <w:szCs w:val="28"/>
              </w:rPr>
              <w:t xml:space="preserve"> Правопреемство в отношении принятых правовых актов</w:t>
            </w:r>
          </w:p>
          <w:p w:rsidR="00325E43" w:rsidRPr="00325E43" w:rsidRDefault="00325E43" w:rsidP="00325E43">
            <w:pPr>
              <w:spacing w:line="240" w:lineRule="auto"/>
              <w:ind w:firstLine="709"/>
              <w:rPr>
                <w:rFonts w:ascii="Times New Roman" w:hAnsi="Times New Roman" w:cs="Times New Roman"/>
                <w:sz w:val="24"/>
                <w:szCs w:val="28"/>
              </w:rPr>
            </w:pP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1. В случае реорганизации органа государственной власти и управления, органа местного самоуправления, наделенных правом принимать (издавать) правовые акты, к правопреемнику в пределах его компетенции вместе с правом принимать (издавать) правовые акты переходят полномочия по изменению и прекращению действия ранее принятых (изданных) правовых актов.</w:t>
            </w: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2. В случае ликвидации органа государственной власти и управления, органа местного самоуправления (сокращения соответствующей должности) или такой реорганизации органа, при которой правопреемник не наделяется правом принимать (издавать) соответствующие правовые акты, компетенция по изменению и прекращению действия ранее принятых (изданных) правовых актов переходит к вышестоящему либо иному уполномоченному органу (должностному лицу), которые должны быть определены в решении о ликвидации либо реорганизации.</w:t>
            </w: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3. Изменение статуса органа (должностного лица), который принимает (издает) соответствующие правовые акты, не влечет прекращения действия ранее принятых (изданных) правовых актов.</w:t>
            </w:r>
          </w:p>
          <w:p w:rsidR="00325E43" w:rsidRPr="00325E43" w:rsidRDefault="00325E43" w:rsidP="00325E43">
            <w:pPr>
              <w:pStyle w:val="ad"/>
              <w:ind w:firstLine="709"/>
              <w:rPr>
                <w:rFonts w:ascii="Times New Roman" w:hAnsi="Times New Roman" w:cs="Times New Roman"/>
                <w:sz w:val="24"/>
                <w:szCs w:val="28"/>
              </w:rPr>
            </w:pPr>
            <w:r w:rsidRPr="00325E43">
              <w:rPr>
                <w:rFonts w:ascii="Times New Roman" w:hAnsi="Times New Roman" w:cs="Times New Roman"/>
                <w:sz w:val="24"/>
                <w:szCs w:val="28"/>
              </w:rPr>
              <w:t xml:space="preserve">4. В случае переименования органа государственной власти и управления, органа местного самоуправления или их реорганизации, которая влечет изменение наименования этого органа, правовые акты, содержащие прежнее наименование, подлежат изменению и (или) дополнению в части переименования. </w:t>
            </w: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До внесения таких изменений и (или) дополнений правовые акты, содержащие прежнее наименование, продолжают действовать без каких бы то ни было изъятий и ограничений.</w:t>
            </w:r>
          </w:p>
          <w:p w:rsidR="00325E43" w:rsidRPr="00325E43" w:rsidRDefault="00325E43" w:rsidP="00325E43">
            <w:pPr>
              <w:pStyle w:val="ad"/>
              <w:ind w:firstLine="709"/>
              <w:rPr>
                <w:rFonts w:ascii="Times New Roman" w:hAnsi="Times New Roman" w:cs="Times New Roman"/>
                <w:sz w:val="24"/>
                <w:szCs w:val="28"/>
              </w:rPr>
            </w:pPr>
            <w:r w:rsidRPr="00325E43">
              <w:rPr>
                <w:rFonts w:ascii="Times New Roman" w:hAnsi="Times New Roman" w:cs="Times New Roman"/>
                <w:sz w:val="24"/>
                <w:szCs w:val="28"/>
              </w:rPr>
              <w:lastRenderedPageBreak/>
              <w:t>5. В случае реорганизации органа государственной власти и управления, органа местного самоуправления в решении о его реорганизации должно предусматриваться четкое определение полномочий и объем компетенции каждого из вновь создаваемых органов.</w:t>
            </w:r>
          </w:p>
          <w:p w:rsidR="002261FB" w:rsidRPr="00325E43" w:rsidRDefault="00325E43" w:rsidP="00325E43">
            <w:pPr>
              <w:pStyle w:val="ad"/>
              <w:ind w:firstLine="709"/>
              <w:rPr>
                <w:rFonts w:ascii="Times New Roman" w:hAnsi="Times New Roman" w:cs="Times New Roman"/>
                <w:sz w:val="24"/>
                <w:szCs w:val="28"/>
              </w:rPr>
            </w:pPr>
            <w:r w:rsidRPr="00325E43">
              <w:rPr>
                <w:rFonts w:ascii="Times New Roman" w:hAnsi="Times New Roman" w:cs="Times New Roman"/>
                <w:sz w:val="24"/>
                <w:szCs w:val="28"/>
              </w:rPr>
              <w:t>При этом орган, принявший решение о реорганизации, обязан в срок, не превышающий 3 (трех) месяцев, обеспечить внесение всех необходимых изменений и (или) дополнений в соответствующие правовые акты либо инициировать внесение изменений и (или) дополнений в законодательные акты перед соответствующим уполномоченным органом государственной вла</w:t>
            </w:r>
            <w:r>
              <w:rPr>
                <w:rFonts w:ascii="Times New Roman" w:hAnsi="Times New Roman" w:cs="Times New Roman"/>
                <w:sz w:val="24"/>
                <w:szCs w:val="28"/>
              </w:rPr>
              <w:t>сти.</w:t>
            </w:r>
          </w:p>
        </w:tc>
        <w:tc>
          <w:tcPr>
            <w:tcW w:w="4674" w:type="dxa"/>
          </w:tcPr>
          <w:p w:rsid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b/>
                <w:sz w:val="24"/>
                <w:szCs w:val="28"/>
              </w:rPr>
              <w:lastRenderedPageBreak/>
              <w:t>Статья 3-1.</w:t>
            </w:r>
            <w:r w:rsidRPr="00325E43">
              <w:rPr>
                <w:rFonts w:ascii="Times New Roman" w:hAnsi="Times New Roman" w:cs="Times New Roman"/>
                <w:sz w:val="24"/>
                <w:szCs w:val="28"/>
              </w:rPr>
              <w:t xml:space="preserve"> Правопреемство в отношении принятых правовых актов</w:t>
            </w:r>
          </w:p>
          <w:p w:rsidR="00325E43" w:rsidRPr="00325E43" w:rsidRDefault="00325E43" w:rsidP="00325E43">
            <w:pPr>
              <w:spacing w:line="240" w:lineRule="auto"/>
              <w:ind w:firstLine="709"/>
              <w:rPr>
                <w:rFonts w:ascii="Times New Roman" w:hAnsi="Times New Roman" w:cs="Times New Roman"/>
                <w:sz w:val="24"/>
                <w:szCs w:val="28"/>
              </w:rPr>
            </w:pP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1. В случае реорганизации органа государственной власти и управления, органа местного самоуправления, наделенных правом принимать (издавать) правовые акты, к правопреемнику в пределах его компетенции вместе с правом принимать (издавать) правовые акты переходят полномочия по изменению и прекращению действия ранее принятых (изданных) правовых актов.</w:t>
            </w: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2. В случае ликвидации органа государственной власти и управления, органа местного самоуправления (сокращения соответствующей должности) или такой реорганизации органа, при которой правопреемник не наделяется правом принимать (издавать) соответствующие правовые акты, компетенция по изменению и прекращению действия ранее принятых (изданных) правовых актов переходит к вышестоящему либо иному уполномоченному органу (должностному лицу), которые должны быть определены в решении о ликвидации либо реорганизации.</w:t>
            </w: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3. Изменение статуса органа (должностного лица), который принимает (издает) соответствующие правовые акты, не влечет прекращения действия ранее принятых (изданных) правовых актов.</w:t>
            </w:r>
          </w:p>
          <w:p w:rsidR="00325E43" w:rsidRPr="00325E43" w:rsidRDefault="00325E43" w:rsidP="00325E43">
            <w:pPr>
              <w:pStyle w:val="ad"/>
              <w:ind w:firstLine="709"/>
              <w:rPr>
                <w:rFonts w:ascii="Times New Roman" w:hAnsi="Times New Roman" w:cs="Times New Roman"/>
                <w:sz w:val="24"/>
                <w:szCs w:val="28"/>
              </w:rPr>
            </w:pPr>
            <w:r w:rsidRPr="00325E43">
              <w:rPr>
                <w:rFonts w:ascii="Times New Roman" w:hAnsi="Times New Roman" w:cs="Times New Roman"/>
                <w:sz w:val="24"/>
                <w:szCs w:val="28"/>
              </w:rPr>
              <w:t xml:space="preserve">4. В случае переименования органа государственной власти и управления, органа местного самоуправления или их реорганизации, которая влечет изменение наименования этого органа, правовые акты, содержащие прежнее наименование, подлежат изменению и (или) дополнению в части переименования. </w:t>
            </w:r>
          </w:p>
          <w:p w:rsidR="00325E43" w:rsidRPr="00325E43" w:rsidRDefault="00325E43" w:rsidP="00325E43">
            <w:pPr>
              <w:spacing w:line="240" w:lineRule="auto"/>
              <w:ind w:firstLine="709"/>
              <w:rPr>
                <w:rFonts w:ascii="Times New Roman" w:hAnsi="Times New Roman" w:cs="Times New Roman"/>
                <w:sz w:val="24"/>
                <w:szCs w:val="28"/>
              </w:rPr>
            </w:pPr>
            <w:r w:rsidRPr="00325E43">
              <w:rPr>
                <w:rFonts w:ascii="Times New Roman" w:hAnsi="Times New Roman" w:cs="Times New Roman"/>
                <w:sz w:val="24"/>
                <w:szCs w:val="28"/>
              </w:rPr>
              <w:t>До внесения таких изменений и (или) дополнений правовые акты, содержащие прежнее наименование, продолжают действовать без каких бы то ни было изъятий и ограничений.</w:t>
            </w:r>
          </w:p>
          <w:p w:rsidR="00325E43" w:rsidRPr="00325E43" w:rsidRDefault="00325E43" w:rsidP="00325E43">
            <w:pPr>
              <w:pStyle w:val="ad"/>
              <w:ind w:firstLine="709"/>
              <w:rPr>
                <w:rFonts w:ascii="Times New Roman" w:hAnsi="Times New Roman" w:cs="Times New Roman"/>
                <w:sz w:val="24"/>
                <w:szCs w:val="28"/>
              </w:rPr>
            </w:pPr>
            <w:r w:rsidRPr="00325E43">
              <w:rPr>
                <w:rFonts w:ascii="Times New Roman" w:hAnsi="Times New Roman" w:cs="Times New Roman"/>
                <w:sz w:val="24"/>
                <w:szCs w:val="28"/>
              </w:rPr>
              <w:lastRenderedPageBreak/>
              <w:t>5. В случае реорганизации органа государственной власти и управления, органа местного самоуправления в решении о его реорганизации должно предусматриваться четкое определение полномочий и объем компетенции каждого из вновь создаваемых органов.</w:t>
            </w:r>
          </w:p>
          <w:p w:rsidR="00325E43" w:rsidRDefault="00325E43" w:rsidP="00325E43">
            <w:pPr>
              <w:pStyle w:val="ad"/>
              <w:ind w:firstLine="709"/>
              <w:rPr>
                <w:rFonts w:ascii="Times New Roman" w:hAnsi="Times New Roman" w:cs="Times New Roman"/>
                <w:sz w:val="24"/>
                <w:szCs w:val="28"/>
              </w:rPr>
            </w:pPr>
            <w:r w:rsidRPr="00325E43">
              <w:rPr>
                <w:rFonts w:ascii="Times New Roman" w:hAnsi="Times New Roman" w:cs="Times New Roman"/>
                <w:sz w:val="24"/>
                <w:szCs w:val="28"/>
              </w:rPr>
              <w:t>При этом орган, принявший решение о реорганизации, обязан в срок, не превышающий 3 (трех) месяцев, обеспечить внесение всех необходимых изменений и (или) дополнений в соответствующие правовые акты либо инициировать внесение изменений и (или) дополнений в законодательные акты перед соответствующим уполномоченным органом государственной власти.</w:t>
            </w:r>
          </w:p>
          <w:p w:rsidR="00325E43" w:rsidRPr="00325E43" w:rsidRDefault="00325E43" w:rsidP="00325E43">
            <w:pPr>
              <w:pStyle w:val="ad"/>
              <w:ind w:firstLine="709"/>
              <w:rPr>
                <w:rFonts w:ascii="Times New Roman" w:hAnsi="Times New Roman" w:cs="Times New Roman"/>
                <w:b/>
                <w:sz w:val="24"/>
                <w:szCs w:val="28"/>
              </w:rPr>
            </w:pPr>
            <w:r w:rsidRPr="00325E43">
              <w:rPr>
                <w:rFonts w:ascii="Times New Roman" w:hAnsi="Times New Roman" w:cs="Times New Roman"/>
                <w:b/>
                <w:sz w:val="24"/>
                <w:szCs w:val="28"/>
              </w:rPr>
              <w:t xml:space="preserve">6. В случае переименования </w:t>
            </w:r>
            <w:r w:rsidR="00834BE0">
              <w:rPr>
                <w:rFonts w:ascii="Times New Roman" w:hAnsi="Times New Roman" w:cs="Times New Roman"/>
                <w:b/>
                <w:sz w:val="24"/>
                <w:szCs w:val="28"/>
              </w:rPr>
              <w:t>правового</w:t>
            </w:r>
            <w:r>
              <w:rPr>
                <w:rFonts w:ascii="Times New Roman" w:hAnsi="Times New Roman" w:cs="Times New Roman"/>
                <w:b/>
                <w:sz w:val="24"/>
                <w:szCs w:val="28"/>
              </w:rPr>
              <w:t xml:space="preserve"> акта</w:t>
            </w:r>
            <w:r w:rsidRPr="00325E43">
              <w:rPr>
                <w:rFonts w:ascii="Times New Roman" w:hAnsi="Times New Roman" w:cs="Times New Roman"/>
                <w:b/>
                <w:sz w:val="24"/>
                <w:szCs w:val="28"/>
              </w:rPr>
              <w:t xml:space="preserve">, правовые акты, содержащие прежнее наименование, подлежат изменению и (или) дополнению в части переименования. </w:t>
            </w:r>
          </w:p>
          <w:p w:rsidR="002261FB" w:rsidRPr="00325E43" w:rsidRDefault="00325E43" w:rsidP="00325E43">
            <w:pPr>
              <w:spacing w:line="240" w:lineRule="auto"/>
              <w:ind w:firstLine="709"/>
              <w:rPr>
                <w:rFonts w:ascii="Times New Roman" w:hAnsi="Times New Roman" w:cs="Times New Roman"/>
                <w:b/>
                <w:sz w:val="24"/>
                <w:szCs w:val="28"/>
              </w:rPr>
            </w:pPr>
            <w:r w:rsidRPr="00325E43">
              <w:rPr>
                <w:rFonts w:ascii="Times New Roman" w:hAnsi="Times New Roman" w:cs="Times New Roman"/>
                <w:b/>
                <w:sz w:val="24"/>
                <w:szCs w:val="28"/>
              </w:rPr>
              <w:t>До внесения таких изменений и (или) дополнений правовые акты, содержащие прежнее наименование, продолжают действовать без каких бы то ни было изъятий и ог</w:t>
            </w:r>
            <w:r>
              <w:rPr>
                <w:rFonts w:ascii="Times New Roman" w:hAnsi="Times New Roman" w:cs="Times New Roman"/>
                <w:b/>
                <w:sz w:val="24"/>
                <w:szCs w:val="28"/>
              </w:rPr>
              <w:t>раничений.</w:t>
            </w:r>
          </w:p>
        </w:tc>
      </w:tr>
      <w:tr w:rsidR="00325E43" w:rsidRPr="005F4766" w:rsidTr="002261FB">
        <w:trPr>
          <w:trHeight w:val="321"/>
        </w:trPr>
        <w:tc>
          <w:tcPr>
            <w:tcW w:w="4671" w:type="dxa"/>
          </w:tcPr>
          <w:p w:rsidR="00325E43" w:rsidRPr="00325E43" w:rsidRDefault="00325E43" w:rsidP="00325E43">
            <w:pPr>
              <w:pStyle w:val="ad"/>
              <w:ind w:firstLine="720"/>
              <w:outlineLvl w:val="0"/>
              <w:rPr>
                <w:rFonts w:ascii="Times New Roman" w:hAnsi="Times New Roman" w:cs="Times New Roman"/>
                <w:sz w:val="24"/>
                <w:szCs w:val="24"/>
              </w:rPr>
            </w:pPr>
            <w:r w:rsidRPr="00325E43">
              <w:rPr>
                <w:rFonts w:ascii="Times New Roman" w:hAnsi="Times New Roman" w:cs="Times New Roman"/>
                <w:b/>
                <w:sz w:val="24"/>
                <w:szCs w:val="24"/>
              </w:rPr>
              <w:lastRenderedPageBreak/>
              <w:t>Статья 16.</w:t>
            </w:r>
            <w:r w:rsidRPr="00325E43">
              <w:rPr>
                <w:rFonts w:ascii="Times New Roman" w:hAnsi="Times New Roman" w:cs="Times New Roman"/>
                <w:sz w:val="24"/>
                <w:szCs w:val="24"/>
              </w:rPr>
              <w:t xml:space="preserve"> Содержательная часть правового акта</w:t>
            </w:r>
          </w:p>
          <w:p w:rsidR="00325E43" w:rsidRPr="00325E43" w:rsidRDefault="00325E43" w:rsidP="00325E43">
            <w:pPr>
              <w:pStyle w:val="ad"/>
              <w:ind w:firstLine="720"/>
              <w:outlineLvl w:val="0"/>
              <w:rPr>
                <w:rFonts w:ascii="Times New Roman" w:hAnsi="Times New Roman" w:cs="Times New Roman"/>
                <w:sz w:val="24"/>
                <w:szCs w:val="24"/>
              </w:rPr>
            </w:pP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1. Содержательная часть правового акта может иметь следующие основные элементы (структурные элементы текста правового акта):</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а) преамбулу;</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б) части;</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в) разделы;</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г) главы;</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д) статьи (только для законов) или пункты (только для подзаконных актов). Статьи могут подразделяться на части или пункты (части, имеющие нумерацию), последние в свою очередь могут подразделяться на части или подпункты (части, имеющие буквенное или цифровое обозначение). Части также могут делиться на подпункты (части, имеющие буквенное или цифровое обозначение);</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е) примечания;</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ж) приложения.</w:t>
            </w:r>
          </w:p>
          <w:p w:rsid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 xml:space="preserve">Текст правового акта может иметь также иные структурные элементы, предусмотренные законодательством либо обусловленные особенностями </w:t>
            </w:r>
            <w:r w:rsidRPr="00325E43">
              <w:rPr>
                <w:rFonts w:ascii="Times New Roman" w:hAnsi="Times New Roman" w:cs="Times New Roman"/>
                <w:sz w:val="24"/>
                <w:szCs w:val="24"/>
              </w:rPr>
              <w:lastRenderedPageBreak/>
              <w:t>оформления конкретного вида правовых актов.</w:t>
            </w:r>
          </w:p>
          <w:p w:rsidR="00325E43" w:rsidRPr="00325E43" w:rsidRDefault="00325E43" w:rsidP="00325E43">
            <w:pPr>
              <w:pStyle w:val="ad"/>
              <w:ind w:firstLine="720"/>
              <w:rPr>
                <w:rFonts w:ascii="Times New Roman" w:hAnsi="Times New Roman" w:cs="Times New Roman"/>
                <w:sz w:val="24"/>
                <w:szCs w:val="24"/>
              </w:rPr>
            </w:pPr>
            <w:r>
              <w:rPr>
                <w:rFonts w:ascii="Times New Roman" w:hAnsi="Times New Roman" w:cs="Times New Roman"/>
                <w:sz w:val="24"/>
                <w:szCs w:val="24"/>
              </w:rPr>
              <w:t>…</w:t>
            </w:r>
          </w:p>
        </w:tc>
        <w:tc>
          <w:tcPr>
            <w:tcW w:w="4674" w:type="dxa"/>
          </w:tcPr>
          <w:p w:rsidR="00325E43" w:rsidRPr="00325E43" w:rsidRDefault="00325E43" w:rsidP="00325E43">
            <w:pPr>
              <w:pStyle w:val="ad"/>
              <w:ind w:firstLine="720"/>
              <w:outlineLvl w:val="0"/>
              <w:rPr>
                <w:rFonts w:ascii="Times New Roman" w:hAnsi="Times New Roman" w:cs="Times New Roman"/>
                <w:sz w:val="24"/>
                <w:szCs w:val="24"/>
              </w:rPr>
            </w:pPr>
            <w:r w:rsidRPr="00325E43">
              <w:rPr>
                <w:rFonts w:ascii="Times New Roman" w:hAnsi="Times New Roman" w:cs="Times New Roman"/>
                <w:b/>
                <w:sz w:val="24"/>
                <w:szCs w:val="24"/>
              </w:rPr>
              <w:lastRenderedPageBreak/>
              <w:t>Статья 16.</w:t>
            </w:r>
            <w:r w:rsidRPr="00325E43">
              <w:rPr>
                <w:rFonts w:ascii="Times New Roman" w:hAnsi="Times New Roman" w:cs="Times New Roman"/>
                <w:sz w:val="24"/>
                <w:szCs w:val="24"/>
              </w:rPr>
              <w:t xml:space="preserve"> Содержательная часть правового акта</w:t>
            </w:r>
          </w:p>
          <w:p w:rsidR="00325E43" w:rsidRPr="00325E43" w:rsidRDefault="00325E43" w:rsidP="00325E43">
            <w:pPr>
              <w:pStyle w:val="ad"/>
              <w:ind w:firstLine="720"/>
              <w:outlineLvl w:val="0"/>
              <w:rPr>
                <w:rFonts w:ascii="Times New Roman" w:hAnsi="Times New Roman" w:cs="Times New Roman"/>
                <w:sz w:val="24"/>
                <w:szCs w:val="24"/>
              </w:rPr>
            </w:pP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1. Содержательная часть правового акта может иметь следующие основные элементы (структурные элементы текста правового акта):</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а) преамбулу;</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б) части;</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в) разделы;</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г) главы;</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д) статьи (только для законов) или пункты (только для подзаконных актов). Статьи могут подразделяться на части или пункты (части, имеющие нумерацию), последние в свою очередь могут подразделяться на части или подпункты (части, имеющие буквенное или цифровое обозначение). Части также могут делиться на подпункты (части, имеющие буквенное или цифровое обозначение);</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е) примечания;</w:t>
            </w:r>
          </w:p>
          <w:p w:rsidR="00325E43" w:rsidRP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ж) приложения.</w:t>
            </w:r>
          </w:p>
          <w:p w:rsidR="00325E43" w:rsidRDefault="00325E43" w:rsidP="00325E43">
            <w:pPr>
              <w:pStyle w:val="ad"/>
              <w:ind w:firstLine="720"/>
              <w:rPr>
                <w:rFonts w:ascii="Times New Roman" w:hAnsi="Times New Roman" w:cs="Times New Roman"/>
                <w:sz w:val="24"/>
                <w:szCs w:val="24"/>
              </w:rPr>
            </w:pPr>
            <w:r w:rsidRPr="00325E43">
              <w:rPr>
                <w:rFonts w:ascii="Times New Roman" w:hAnsi="Times New Roman" w:cs="Times New Roman"/>
                <w:sz w:val="24"/>
                <w:szCs w:val="24"/>
              </w:rPr>
              <w:t xml:space="preserve">Текст правового акта может иметь также иные структурные элементы, предусмотренные законодательством либо обусловленные особенностями </w:t>
            </w:r>
            <w:r w:rsidRPr="00325E43">
              <w:rPr>
                <w:rFonts w:ascii="Times New Roman" w:hAnsi="Times New Roman" w:cs="Times New Roman"/>
                <w:sz w:val="24"/>
                <w:szCs w:val="24"/>
              </w:rPr>
              <w:lastRenderedPageBreak/>
              <w:t>оформления конкретного вида правовых актов.</w:t>
            </w:r>
          </w:p>
          <w:p w:rsidR="00325E43" w:rsidRPr="00325E43" w:rsidRDefault="00325E43" w:rsidP="00325E43">
            <w:pPr>
              <w:pStyle w:val="ad"/>
              <w:ind w:firstLine="720"/>
              <w:rPr>
                <w:rFonts w:ascii="Times New Roman" w:hAnsi="Times New Roman" w:cs="Times New Roman"/>
                <w:b/>
                <w:sz w:val="24"/>
                <w:szCs w:val="24"/>
              </w:rPr>
            </w:pPr>
            <w:bookmarkStart w:id="0" w:name="_GoBack"/>
            <w:r w:rsidRPr="00325E43">
              <w:rPr>
                <w:rFonts w:ascii="Times New Roman" w:hAnsi="Times New Roman" w:cs="Times New Roman"/>
                <w:b/>
                <w:sz w:val="24"/>
                <w:szCs w:val="24"/>
              </w:rPr>
              <w:t xml:space="preserve">Статьи Особенной части Уголовного кодекса Приднестровской Молдавской Республики подразделяются на части, имеющие нумерацию, </w:t>
            </w:r>
            <w:r>
              <w:rPr>
                <w:rFonts w:ascii="Times New Roman" w:hAnsi="Times New Roman" w:cs="Times New Roman"/>
                <w:b/>
                <w:sz w:val="24"/>
                <w:szCs w:val="24"/>
              </w:rPr>
              <w:t>которые</w:t>
            </w:r>
            <w:r w:rsidRPr="00325E43">
              <w:rPr>
                <w:rFonts w:ascii="Times New Roman" w:hAnsi="Times New Roman" w:cs="Times New Roman"/>
                <w:b/>
                <w:sz w:val="24"/>
                <w:szCs w:val="24"/>
              </w:rPr>
              <w:t xml:space="preserve"> могут подразделяться на подпункты (части, имеющие буквен</w:t>
            </w:r>
            <w:r w:rsidR="00834BE0">
              <w:rPr>
                <w:rFonts w:ascii="Times New Roman" w:hAnsi="Times New Roman" w:cs="Times New Roman"/>
                <w:b/>
                <w:sz w:val="24"/>
                <w:szCs w:val="24"/>
              </w:rPr>
              <w:t>ное или цифровое обозначение).</w:t>
            </w:r>
          </w:p>
          <w:bookmarkEnd w:id="0"/>
          <w:p w:rsidR="00325E43" w:rsidRPr="00325E43" w:rsidRDefault="00325E43" w:rsidP="00325E43">
            <w:pPr>
              <w:spacing w:line="240" w:lineRule="auto"/>
              <w:ind w:firstLine="709"/>
              <w:rPr>
                <w:rFonts w:ascii="Times New Roman" w:hAnsi="Times New Roman" w:cs="Times New Roman"/>
                <w:b/>
                <w:sz w:val="24"/>
                <w:szCs w:val="28"/>
              </w:rPr>
            </w:pPr>
            <w:r>
              <w:rPr>
                <w:rFonts w:ascii="Times New Roman" w:hAnsi="Times New Roman" w:cs="Times New Roman"/>
                <w:sz w:val="24"/>
                <w:szCs w:val="24"/>
              </w:rPr>
              <w:t>…</w:t>
            </w:r>
          </w:p>
        </w:tc>
      </w:tr>
    </w:tbl>
    <w:p w:rsidR="005F4D88" w:rsidRDefault="005F4D88" w:rsidP="002261FB">
      <w:pPr>
        <w:pStyle w:val="ad"/>
        <w:jc w:val="both"/>
        <w:rPr>
          <w:rFonts w:ascii="Times New Roman" w:hAnsi="Times New Roman" w:cs="Times New Roman"/>
          <w:sz w:val="24"/>
          <w:szCs w:val="24"/>
        </w:rPr>
      </w:pPr>
    </w:p>
    <w:p w:rsidR="00325E43" w:rsidRDefault="00325E43" w:rsidP="002261FB">
      <w:pPr>
        <w:pStyle w:val="ad"/>
        <w:jc w:val="both"/>
        <w:rPr>
          <w:rFonts w:ascii="Times New Roman" w:hAnsi="Times New Roman" w:cs="Times New Roman"/>
          <w:sz w:val="24"/>
          <w:szCs w:val="24"/>
        </w:rPr>
      </w:pPr>
    </w:p>
    <w:p w:rsidR="00325E43" w:rsidRDefault="00325E43" w:rsidP="002261FB">
      <w:pPr>
        <w:pStyle w:val="ad"/>
        <w:jc w:val="both"/>
        <w:rPr>
          <w:rFonts w:ascii="Times New Roman" w:hAnsi="Times New Roman" w:cs="Times New Roman"/>
          <w:sz w:val="24"/>
          <w:szCs w:val="24"/>
        </w:rPr>
      </w:pPr>
    </w:p>
    <w:sectPr w:rsidR="00325E43"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25E43"/>
    <w:rsid w:val="00356D19"/>
    <w:rsid w:val="003B30EB"/>
    <w:rsid w:val="004308CE"/>
    <w:rsid w:val="00467F84"/>
    <w:rsid w:val="004C4B57"/>
    <w:rsid w:val="004C6E75"/>
    <w:rsid w:val="004E03D6"/>
    <w:rsid w:val="00502D21"/>
    <w:rsid w:val="00546D95"/>
    <w:rsid w:val="00555F81"/>
    <w:rsid w:val="00573F30"/>
    <w:rsid w:val="00587D34"/>
    <w:rsid w:val="005B6C1C"/>
    <w:rsid w:val="005F4766"/>
    <w:rsid w:val="005F4D88"/>
    <w:rsid w:val="0060140F"/>
    <w:rsid w:val="006022CC"/>
    <w:rsid w:val="0061577D"/>
    <w:rsid w:val="006256B4"/>
    <w:rsid w:val="00692127"/>
    <w:rsid w:val="006A37BD"/>
    <w:rsid w:val="006D0359"/>
    <w:rsid w:val="006F3749"/>
    <w:rsid w:val="007521F8"/>
    <w:rsid w:val="007E751E"/>
    <w:rsid w:val="00834BE0"/>
    <w:rsid w:val="00853A18"/>
    <w:rsid w:val="008805D6"/>
    <w:rsid w:val="00884A14"/>
    <w:rsid w:val="008B61E1"/>
    <w:rsid w:val="00973BB2"/>
    <w:rsid w:val="009B782D"/>
    <w:rsid w:val="00A23BB5"/>
    <w:rsid w:val="00A33C6C"/>
    <w:rsid w:val="00A63215"/>
    <w:rsid w:val="00B07E46"/>
    <w:rsid w:val="00B61F49"/>
    <w:rsid w:val="00B749FC"/>
    <w:rsid w:val="00BA6EFB"/>
    <w:rsid w:val="00BD257E"/>
    <w:rsid w:val="00BE434D"/>
    <w:rsid w:val="00BE5A1E"/>
    <w:rsid w:val="00BF1785"/>
    <w:rsid w:val="00C31E51"/>
    <w:rsid w:val="00C439D2"/>
    <w:rsid w:val="00C63086"/>
    <w:rsid w:val="00C95094"/>
    <w:rsid w:val="00CD0144"/>
    <w:rsid w:val="00CE486F"/>
    <w:rsid w:val="00CF6F90"/>
    <w:rsid w:val="00D15010"/>
    <w:rsid w:val="00D21EAD"/>
    <w:rsid w:val="00D400AC"/>
    <w:rsid w:val="00D62B27"/>
    <w:rsid w:val="00E80F8C"/>
    <w:rsid w:val="00EC6E2B"/>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32B1"/>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uiPriority w:val="99"/>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 Знак Знак1 Знак Знак,Текст Знак1 Знак Знак Знак Знак Знак"/>
    <w:basedOn w:val="a0"/>
    <w:uiPriority w:val="99"/>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420D-8B53-4FD4-AB65-8EA2FA82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3</cp:revision>
  <cp:lastPrinted>2023-09-13T12:16:00Z</cp:lastPrinted>
  <dcterms:created xsi:type="dcterms:W3CDTF">2025-07-16T11:44:00Z</dcterms:created>
  <dcterms:modified xsi:type="dcterms:W3CDTF">2025-07-22T09:01:00Z</dcterms:modified>
</cp:coreProperties>
</file>