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BF8B" w14:textId="03C44084" w:rsidR="0092530C" w:rsidRPr="00C6654C" w:rsidRDefault="007C3388" w:rsidP="007C3388">
      <w:pPr>
        <w:spacing w:after="0" w:line="240" w:lineRule="auto"/>
        <w:jc w:val="center"/>
        <w:rPr>
          <w:rFonts w:ascii="Times New Roman" w:hAnsi="Times New Roman" w:cs="Times New Roman"/>
          <w:sz w:val="28"/>
          <w:szCs w:val="28"/>
        </w:rPr>
      </w:pPr>
      <w:bookmarkStart w:id="0" w:name="_GoBack"/>
      <w:bookmarkEnd w:id="0"/>
      <w:r w:rsidRPr="00C6654C">
        <w:rPr>
          <w:rFonts w:ascii="Times New Roman" w:hAnsi="Times New Roman" w:cs="Times New Roman"/>
          <w:sz w:val="28"/>
          <w:szCs w:val="28"/>
        </w:rPr>
        <w:t>СРАВНИТЕ</w:t>
      </w:r>
      <w:r w:rsidR="00640EF2" w:rsidRPr="00C6654C">
        <w:rPr>
          <w:rFonts w:ascii="Times New Roman" w:hAnsi="Times New Roman" w:cs="Times New Roman"/>
          <w:sz w:val="28"/>
          <w:szCs w:val="28"/>
        </w:rPr>
        <w:t>Л</w:t>
      </w:r>
      <w:r w:rsidRPr="00C6654C">
        <w:rPr>
          <w:rFonts w:ascii="Times New Roman" w:hAnsi="Times New Roman" w:cs="Times New Roman"/>
          <w:sz w:val="28"/>
          <w:szCs w:val="28"/>
        </w:rPr>
        <w:t>ЬНАЯ ТАБЛИЦА</w:t>
      </w:r>
    </w:p>
    <w:p w14:paraId="22EE655A" w14:textId="77777777" w:rsidR="00C550C1" w:rsidRPr="00C6654C" w:rsidRDefault="00C550C1" w:rsidP="000F4DDA">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t xml:space="preserve">к проекту закона Приднестровской Молдавской Республики </w:t>
      </w:r>
    </w:p>
    <w:p w14:paraId="2EB30404" w14:textId="75B219AB" w:rsidR="00C550C1" w:rsidRPr="00C6654C" w:rsidRDefault="00C550C1" w:rsidP="00C550C1">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t xml:space="preserve"> «О внесении изменений и дополнени</w:t>
      </w:r>
      <w:r w:rsidR="00640EF2" w:rsidRPr="00C6654C">
        <w:rPr>
          <w:rFonts w:ascii="Times New Roman" w:hAnsi="Times New Roman" w:cs="Times New Roman"/>
          <w:sz w:val="28"/>
          <w:szCs w:val="28"/>
        </w:rPr>
        <w:t>я</w:t>
      </w:r>
      <w:r w:rsidRPr="00C6654C">
        <w:rPr>
          <w:rFonts w:ascii="Times New Roman" w:hAnsi="Times New Roman" w:cs="Times New Roman"/>
          <w:sz w:val="28"/>
          <w:szCs w:val="28"/>
        </w:rPr>
        <w:t xml:space="preserve"> в Закон Приднестровской Молдавской Республики «О питьевом водоснабжении в Приднестровской Молдавской Республик</w:t>
      </w:r>
      <w:r w:rsidR="00413C2C" w:rsidRPr="00C6654C">
        <w:rPr>
          <w:rFonts w:ascii="Times New Roman" w:hAnsi="Times New Roman" w:cs="Times New Roman"/>
          <w:sz w:val="28"/>
          <w:szCs w:val="28"/>
        </w:rPr>
        <w:t>е</w:t>
      </w:r>
      <w:r w:rsidRPr="00C6654C">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429"/>
        <w:gridCol w:w="4321"/>
      </w:tblGrid>
      <w:tr w:rsidR="007C3388" w:rsidRPr="00C6654C" w14:paraId="0E3A2616" w14:textId="77777777" w:rsidTr="00C550C1">
        <w:trPr>
          <w:tblHeader/>
        </w:trPr>
        <w:tc>
          <w:tcPr>
            <w:tcW w:w="304" w:type="pct"/>
            <w:vAlign w:val="center"/>
          </w:tcPr>
          <w:p w14:paraId="581934C9" w14:textId="77777777" w:rsidR="007C3388" w:rsidRPr="00C6654C" w:rsidRDefault="007C3388" w:rsidP="00381F79">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t xml:space="preserve">№ </w:t>
            </w:r>
          </w:p>
          <w:p w14:paraId="5A0AE7CD" w14:textId="77777777" w:rsidR="007C3388" w:rsidRPr="00C6654C" w:rsidRDefault="007C3388" w:rsidP="00381F79">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t>п/п</w:t>
            </w:r>
          </w:p>
        </w:tc>
        <w:tc>
          <w:tcPr>
            <w:tcW w:w="2377" w:type="pct"/>
            <w:vAlign w:val="center"/>
          </w:tcPr>
          <w:p w14:paraId="6F6B79B6" w14:textId="77777777" w:rsidR="007C3388" w:rsidRPr="00C6654C" w:rsidRDefault="007C3388" w:rsidP="00381F79">
            <w:pPr>
              <w:spacing w:after="0" w:line="240" w:lineRule="auto"/>
              <w:ind w:firstLine="744"/>
              <w:jc w:val="both"/>
              <w:rPr>
                <w:rFonts w:ascii="Times New Roman" w:hAnsi="Times New Roman" w:cs="Times New Roman"/>
                <w:b/>
                <w:sz w:val="28"/>
                <w:szCs w:val="28"/>
              </w:rPr>
            </w:pPr>
            <w:r w:rsidRPr="00C6654C">
              <w:rPr>
                <w:rFonts w:ascii="Times New Roman" w:hAnsi="Times New Roman" w:cs="Times New Roman"/>
                <w:b/>
                <w:sz w:val="28"/>
                <w:szCs w:val="28"/>
              </w:rPr>
              <w:t>Действующая редакция</w:t>
            </w:r>
          </w:p>
        </w:tc>
        <w:tc>
          <w:tcPr>
            <w:tcW w:w="2319" w:type="pct"/>
            <w:vAlign w:val="center"/>
          </w:tcPr>
          <w:p w14:paraId="09293DF2" w14:textId="77777777" w:rsidR="007C3388" w:rsidRPr="00C6654C" w:rsidRDefault="007C3388" w:rsidP="00381F79">
            <w:pPr>
              <w:spacing w:after="0" w:line="240" w:lineRule="auto"/>
              <w:ind w:firstLine="742"/>
              <w:jc w:val="both"/>
              <w:rPr>
                <w:rFonts w:ascii="Times New Roman" w:hAnsi="Times New Roman" w:cs="Times New Roman"/>
                <w:b/>
                <w:sz w:val="28"/>
                <w:szCs w:val="28"/>
              </w:rPr>
            </w:pPr>
            <w:r w:rsidRPr="00C6654C">
              <w:rPr>
                <w:rFonts w:ascii="Times New Roman" w:hAnsi="Times New Roman" w:cs="Times New Roman"/>
                <w:b/>
                <w:sz w:val="28"/>
                <w:szCs w:val="28"/>
              </w:rPr>
              <w:t>Предлагаемая редакция</w:t>
            </w:r>
          </w:p>
        </w:tc>
      </w:tr>
      <w:tr w:rsidR="00095BF5" w:rsidRPr="00C6654C" w14:paraId="0645BBF4" w14:textId="77777777" w:rsidTr="00C550C1">
        <w:tc>
          <w:tcPr>
            <w:tcW w:w="304" w:type="pct"/>
            <w:vAlign w:val="center"/>
          </w:tcPr>
          <w:p w14:paraId="67D3E42B" w14:textId="77777777" w:rsidR="00095BF5" w:rsidRPr="00C6654C" w:rsidRDefault="00095BF5" w:rsidP="00381F79">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t>1</w:t>
            </w:r>
          </w:p>
        </w:tc>
        <w:tc>
          <w:tcPr>
            <w:tcW w:w="2377" w:type="pct"/>
          </w:tcPr>
          <w:p w14:paraId="6FE899F4" w14:textId="77777777" w:rsidR="00740004" w:rsidRPr="00C6654C" w:rsidRDefault="00740004" w:rsidP="00740004">
            <w:pPr>
              <w:pStyle w:val="ac"/>
              <w:ind w:firstLine="720"/>
              <w:jc w:val="both"/>
              <w:outlineLvl w:val="0"/>
              <w:rPr>
                <w:rFonts w:ascii="Times New Roman" w:hAnsi="Times New Roman"/>
                <w:sz w:val="28"/>
                <w:szCs w:val="28"/>
              </w:rPr>
            </w:pPr>
            <w:r w:rsidRPr="00C6654C">
              <w:rPr>
                <w:rFonts w:ascii="Times New Roman" w:hAnsi="Times New Roman"/>
                <w:b/>
                <w:sz w:val="28"/>
                <w:szCs w:val="28"/>
              </w:rPr>
              <w:t>Статья 1.</w:t>
            </w:r>
            <w:r w:rsidRPr="00C6654C">
              <w:rPr>
                <w:rFonts w:ascii="Times New Roman" w:hAnsi="Times New Roman"/>
                <w:sz w:val="28"/>
                <w:szCs w:val="28"/>
              </w:rPr>
              <w:t xml:space="preserve"> Основные понятия</w:t>
            </w:r>
          </w:p>
          <w:p w14:paraId="15B91A7E" w14:textId="5DDDEC59" w:rsidR="00740004" w:rsidRPr="00C6654C" w:rsidRDefault="00740004" w:rsidP="00381F79">
            <w:pPr>
              <w:pStyle w:val="ac"/>
              <w:ind w:firstLine="847"/>
              <w:jc w:val="both"/>
              <w:rPr>
                <w:rFonts w:ascii="Times New Roman" w:hAnsi="Times New Roman"/>
                <w:sz w:val="28"/>
                <w:szCs w:val="28"/>
              </w:rPr>
            </w:pPr>
            <w:r w:rsidRPr="00C6654C">
              <w:rPr>
                <w:rFonts w:ascii="Times New Roman" w:hAnsi="Times New Roman"/>
                <w:sz w:val="28"/>
                <w:szCs w:val="28"/>
              </w:rPr>
              <w:t>В настоящем Законе применяются следующие основные понятия:</w:t>
            </w:r>
          </w:p>
          <w:p w14:paraId="25C0EF2C" w14:textId="6E8FC7E3" w:rsidR="00740004" w:rsidRPr="00C6654C" w:rsidRDefault="00740004" w:rsidP="00381F79">
            <w:pPr>
              <w:pStyle w:val="ac"/>
              <w:ind w:firstLine="847"/>
              <w:jc w:val="both"/>
              <w:rPr>
                <w:rFonts w:ascii="Times New Roman" w:hAnsi="Times New Roman"/>
                <w:sz w:val="28"/>
                <w:szCs w:val="28"/>
                <w:lang w:val="ru-RU"/>
              </w:rPr>
            </w:pPr>
            <w:r w:rsidRPr="00C6654C">
              <w:rPr>
                <w:rFonts w:ascii="Times New Roman" w:hAnsi="Times New Roman"/>
                <w:sz w:val="28"/>
                <w:szCs w:val="28"/>
                <w:lang w:val="ru-RU"/>
              </w:rPr>
              <w:t>…</w:t>
            </w:r>
          </w:p>
          <w:p w14:paraId="11527E84" w14:textId="77777777" w:rsidR="00095BF5" w:rsidRPr="00C6654C" w:rsidRDefault="00095BF5" w:rsidP="00381F79">
            <w:pPr>
              <w:pStyle w:val="ac"/>
              <w:ind w:firstLine="847"/>
              <w:jc w:val="both"/>
              <w:rPr>
                <w:rFonts w:ascii="Times New Roman" w:hAnsi="Times New Roman"/>
                <w:sz w:val="28"/>
                <w:szCs w:val="28"/>
                <w:lang w:val="ru-RU"/>
              </w:rPr>
            </w:pPr>
            <w:r w:rsidRPr="00C6654C">
              <w:rPr>
                <w:rFonts w:ascii="Times New Roman" w:hAnsi="Times New Roman"/>
                <w:sz w:val="28"/>
                <w:szCs w:val="28"/>
                <w:lang w:val="ru-RU"/>
              </w:rPr>
              <w:t>о) абонентское сервисное обслуживание приборов учета расхода питьевой воды для потребителей (физических лиц) – работы по техническому обслуживанию, государственной поверке и (или) ремонту приборов учета расхода питьевой воды, замене приборов учета расхода питьевой воды в связи с истечением сроков эксплуатации либо невозможностью проведения ремонта;</w:t>
            </w:r>
          </w:p>
          <w:p w14:paraId="3710EC62" w14:textId="6908B3B2" w:rsidR="00740004" w:rsidRPr="00C6654C" w:rsidRDefault="00740004" w:rsidP="00381F79">
            <w:pPr>
              <w:pStyle w:val="ac"/>
              <w:ind w:firstLine="847"/>
              <w:jc w:val="both"/>
              <w:rPr>
                <w:rFonts w:ascii="Times New Roman" w:hAnsi="Times New Roman"/>
                <w:sz w:val="28"/>
                <w:szCs w:val="28"/>
                <w:lang w:val="ru-RU"/>
              </w:rPr>
            </w:pPr>
            <w:r w:rsidRPr="00C6654C">
              <w:rPr>
                <w:rFonts w:ascii="Times New Roman" w:hAnsi="Times New Roman"/>
                <w:sz w:val="28"/>
                <w:szCs w:val="28"/>
                <w:lang w:val="ru-RU"/>
              </w:rPr>
              <w:t>…</w:t>
            </w:r>
          </w:p>
        </w:tc>
        <w:tc>
          <w:tcPr>
            <w:tcW w:w="2319" w:type="pct"/>
          </w:tcPr>
          <w:p w14:paraId="0CE7AC27" w14:textId="77777777" w:rsidR="00740004" w:rsidRPr="00C6654C" w:rsidRDefault="00740004" w:rsidP="00740004">
            <w:pPr>
              <w:pStyle w:val="ac"/>
              <w:ind w:firstLine="720"/>
              <w:jc w:val="both"/>
              <w:outlineLvl w:val="0"/>
              <w:rPr>
                <w:rFonts w:ascii="Times New Roman" w:hAnsi="Times New Roman"/>
                <w:sz w:val="28"/>
                <w:szCs w:val="28"/>
              </w:rPr>
            </w:pPr>
            <w:r w:rsidRPr="00C6654C">
              <w:rPr>
                <w:rFonts w:ascii="Times New Roman" w:hAnsi="Times New Roman"/>
                <w:b/>
                <w:sz w:val="28"/>
                <w:szCs w:val="28"/>
              </w:rPr>
              <w:t>Статья 1.</w:t>
            </w:r>
            <w:r w:rsidRPr="00C6654C">
              <w:rPr>
                <w:rFonts w:ascii="Times New Roman" w:hAnsi="Times New Roman"/>
                <w:sz w:val="28"/>
                <w:szCs w:val="28"/>
              </w:rPr>
              <w:t xml:space="preserve"> Основные понятия</w:t>
            </w:r>
          </w:p>
          <w:p w14:paraId="3BF62E7D" w14:textId="77777777" w:rsidR="00740004" w:rsidRPr="00C6654C" w:rsidRDefault="00740004" w:rsidP="00740004">
            <w:pPr>
              <w:pStyle w:val="ac"/>
              <w:ind w:firstLine="847"/>
              <w:jc w:val="both"/>
              <w:rPr>
                <w:rFonts w:ascii="Times New Roman" w:hAnsi="Times New Roman"/>
                <w:sz w:val="28"/>
                <w:szCs w:val="28"/>
              </w:rPr>
            </w:pPr>
            <w:r w:rsidRPr="00C6654C">
              <w:rPr>
                <w:rFonts w:ascii="Times New Roman" w:hAnsi="Times New Roman"/>
                <w:sz w:val="28"/>
                <w:szCs w:val="28"/>
              </w:rPr>
              <w:t>В настоящем Законе применяются следующие основные понятия:</w:t>
            </w:r>
          </w:p>
          <w:p w14:paraId="524AF776" w14:textId="77777777" w:rsidR="000F24DD" w:rsidRPr="00C6654C" w:rsidRDefault="00740004" w:rsidP="000F24DD">
            <w:pPr>
              <w:pStyle w:val="ac"/>
              <w:ind w:firstLine="847"/>
              <w:jc w:val="both"/>
              <w:rPr>
                <w:rFonts w:ascii="Times New Roman" w:hAnsi="Times New Roman"/>
                <w:sz w:val="28"/>
                <w:szCs w:val="28"/>
              </w:rPr>
            </w:pPr>
            <w:r w:rsidRPr="00C6654C">
              <w:rPr>
                <w:rFonts w:ascii="Times New Roman" w:hAnsi="Times New Roman"/>
                <w:sz w:val="28"/>
                <w:szCs w:val="28"/>
                <w:lang w:val="ru-RU"/>
              </w:rPr>
              <w:t>…</w:t>
            </w:r>
          </w:p>
          <w:p w14:paraId="6569DB8A" w14:textId="420855C7" w:rsidR="00095BF5" w:rsidRPr="00C6654C" w:rsidRDefault="00467ECA" w:rsidP="000F24DD">
            <w:pPr>
              <w:pStyle w:val="ac"/>
              <w:ind w:firstLine="847"/>
              <w:jc w:val="both"/>
              <w:rPr>
                <w:rFonts w:ascii="Times New Roman" w:hAnsi="Times New Roman"/>
                <w:sz w:val="28"/>
                <w:szCs w:val="28"/>
              </w:rPr>
            </w:pPr>
            <w:r w:rsidRPr="00C6654C">
              <w:rPr>
                <w:rFonts w:ascii="Times New Roman" w:hAnsi="Times New Roman"/>
                <w:sz w:val="28"/>
                <w:szCs w:val="28"/>
              </w:rPr>
              <w:t xml:space="preserve">о) абонентское сервисное обслуживание приборов учета расхода питьевой воды для потребителей (физических лиц) </w:t>
            </w:r>
            <w:r w:rsidR="00BA11B6" w:rsidRPr="00C6654C">
              <w:rPr>
                <w:rFonts w:ascii="Times New Roman" w:hAnsi="Times New Roman"/>
                <w:sz w:val="28"/>
                <w:szCs w:val="28"/>
              </w:rPr>
              <w:t>–</w:t>
            </w:r>
            <w:r w:rsidRPr="00C6654C">
              <w:rPr>
                <w:rFonts w:ascii="Times New Roman" w:hAnsi="Times New Roman"/>
                <w:sz w:val="28"/>
                <w:szCs w:val="28"/>
              </w:rPr>
              <w:t xml:space="preserve"> </w:t>
            </w:r>
            <w:r w:rsidRPr="00C6654C">
              <w:rPr>
                <w:rFonts w:ascii="Times New Roman" w:hAnsi="Times New Roman"/>
                <w:b/>
                <w:sz w:val="28"/>
                <w:szCs w:val="28"/>
              </w:rPr>
              <w:t>комплекс работ</w:t>
            </w:r>
            <w:r w:rsidRPr="00C6654C">
              <w:rPr>
                <w:rFonts w:ascii="Times New Roman" w:hAnsi="Times New Roman"/>
                <w:sz w:val="28"/>
                <w:szCs w:val="28"/>
              </w:rPr>
              <w:t xml:space="preserve"> по техническому обслуживанию</w:t>
            </w:r>
            <w:r w:rsidRPr="00C6654C">
              <w:rPr>
                <w:rFonts w:ascii="Times New Roman" w:hAnsi="Times New Roman"/>
                <w:b/>
                <w:sz w:val="28"/>
                <w:szCs w:val="28"/>
              </w:rPr>
              <w:t xml:space="preserve"> приборов учета расхода питьевой воды, в том числе интеллектуальной системы учета расхода питьевой воды</w:t>
            </w:r>
            <w:r w:rsidRPr="00C6654C">
              <w:rPr>
                <w:rFonts w:ascii="Times New Roman" w:hAnsi="Times New Roman"/>
                <w:sz w:val="28"/>
                <w:szCs w:val="28"/>
                <w:lang w:val="ru-RU"/>
              </w:rPr>
              <w:t>;</w:t>
            </w:r>
          </w:p>
          <w:p w14:paraId="3DD58F73" w14:textId="39EF1C96" w:rsidR="003B005B" w:rsidRPr="00C6654C" w:rsidRDefault="00740004" w:rsidP="00740004">
            <w:pPr>
              <w:pStyle w:val="ac"/>
              <w:ind w:firstLine="847"/>
              <w:jc w:val="both"/>
              <w:rPr>
                <w:rFonts w:ascii="Times New Roman" w:hAnsi="Times New Roman"/>
                <w:sz w:val="28"/>
                <w:szCs w:val="28"/>
              </w:rPr>
            </w:pPr>
            <w:r w:rsidRPr="00C6654C">
              <w:rPr>
                <w:rFonts w:ascii="Times New Roman" w:hAnsi="Times New Roman"/>
                <w:sz w:val="28"/>
                <w:szCs w:val="28"/>
                <w:lang w:val="ru-RU"/>
              </w:rPr>
              <w:t>…</w:t>
            </w:r>
          </w:p>
          <w:p w14:paraId="735B07C3" w14:textId="50573D40" w:rsidR="003B005B" w:rsidRPr="00C6654C" w:rsidRDefault="003B005B" w:rsidP="00381F79">
            <w:pPr>
              <w:pStyle w:val="ac"/>
              <w:ind w:firstLine="585"/>
              <w:jc w:val="both"/>
              <w:rPr>
                <w:rFonts w:ascii="Times New Roman" w:hAnsi="Times New Roman"/>
                <w:sz w:val="28"/>
                <w:szCs w:val="28"/>
                <w:lang w:val="ru-RU"/>
              </w:rPr>
            </w:pPr>
          </w:p>
        </w:tc>
      </w:tr>
      <w:tr w:rsidR="005240CC" w:rsidRPr="00C6654C" w14:paraId="1E02E742" w14:textId="77777777" w:rsidTr="00C550C1">
        <w:tc>
          <w:tcPr>
            <w:tcW w:w="304" w:type="pct"/>
            <w:vAlign w:val="center"/>
          </w:tcPr>
          <w:p w14:paraId="42761805" w14:textId="2B3C6767" w:rsidR="005240CC" w:rsidRPr="00C6654C" w:rsidRDefault="005240CC" w:rsidP="005240CC">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t>2</w:t>
            </w:r>
          </w:p>
        </w:tc>
        <w:tc>
          <w:tcPr>
            <w:tcW w:w="2377" w:type="pct"/>
          </w:tcPr>
          <w:p w14:paraId="77C9109C" w14:textId="77777777" w:rsidR="002D5BA4" w:rsidRPr="00C6654C" w:rsidRDefault="005240CC" w:rsidP="002D5BA4">
            <w:pPr>
              <w:pStyle w:val="ac"/>
              <w:ind w:firstLine="720"/>
              <w:jc w:val="both"/>
              <w:outlineLvl w:val="0"/>
              <w:rPr>
                <w:rFonts w:ascii="Times New Roman" w:hAnsi="Times New Roman"/>
                <w:bCs/>
                <w:sz w:val="28"/>
                <w:szCs w:val="28"/>
                <w:lang w:val="ru-RU"/>
              </w:rPr>
            </w:pPr>
            <w:r w:rsidRPr="00C6654C">
              <w:rPr>
                <w:rFonts w:ascii="Times New Roman" w:hAnsi="Times New Roman"/>
                <w:bCs/>
                <w:sz w:val="28"/>
                <w:szCs w:val="28"/>
                <w:lang w:val="ru-RU"/>
              </w:rPr>
              <w:t>с) отсутствует</w:t>
            </w:r>
            <w:r w:rsidR="003B005B" w:rsidRPr="00C6654C">
              <w:rPr>
                <w:rFonts w:ascii="Times New Roman" w:hAnsi="Times New Roman"/>
                <w:bCs/>
                <w:sz w:val="28"/>
                <w:szCs w:val="28"/>
                <w:lang w:val="ru-RU"/>
              </w:rPr>
              <w:t xml:space="preserve"> </w:t>
            </w:r>
          </w:p>
          <w:p w14:paraId="4A6CDD78"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39386984"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3708F370"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775948FE"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64709E8E"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6B304A1F"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1016C582"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2820D806"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5E8C7A80"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33527EDA"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6DD07017"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0A882EE9"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2C7D88E7"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18AE424F"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602A5FCE"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270170FF" w14:textId="77777777" w:rsidR="002D5BA4" w:rsidRPr="00C6654C" w:rsidRDefault="002D5BA4" w:rsidP="002D5BA4">
            <w:pPr>
              <w:pStyle w:val="ac"/>
              <w:ind w:firstLine="720"/>
              <w:jc w:val="both"/>
              <w:outlineLvl w:val="0"/>
              <w:rPr>
                <w:rFonts w:ascii="Times New Roman" w:hAnsi="Times New Roman"/>
                <w:bCs/>
                <w:sz w:val="28"/>
                <w:szCs w:val="28"/>
                <w:lang w:val="ru-RU"/>
              </w:rPr>
            </w:pPr>
          </w:p>
          <w:p w14:paraId="1A509062" w14:textId="1FBFB46E" w:rsidR="002D5BA4" w:rsidRPr="00C6654C" w:rsidRDefault="002D5BA4" w:rsidP="002D5BA4">
            <w:pPr>
              <w:pStyle w:val="ac"/>
              <w:jc w:val="both"/>
              <w:outlineLvl w:val="0"/>
              <w:rPr>
                <w:rFonts w:ascii="Times New Roman" w:hAnsi="Times New Roman"/>
                <w:bCs/>
                <w:sz w:val="28"/>
                <w:szCs w:val="28"/>
                <w:lang w:val="ru-RU"/>
              </w:rPr>
            </w:pPr>
          </w:p>
          <w:p w14:paraId="47846117" w14:textId="5F7B5AA0" w:rsidR="005240CC" w:rsidRPr="00C6654C" w:rsidRDefault="003B005B" w:rsidP="002D5BA4">
            <w:pPr>
              <w:pStyle w:val="ac"/>
              <w:ind w:firstLine="720"/>
              <w:jc w:val="both"/>
              <w:outlineLvl w:val="0"/>
              <w:rPr>
                <w:rFonts w:ascii="Times New Roman" w:hAnsi="Times New Roman"/>
                <w:bCs/>
                <w:sz w:val="28"/>
                <w:szCs w:val="28"/>
                <w:lang w:val="ru-RU"/>
              </w:rPr>
            </w:pPr>
            <w:r w:rsidRPr="00C6654C">
              <w:rPr>
                <w:rFonts w:ascii="Times New Roman" w:hAnsi="Times New Roman"/>
                <w:bCs/>
                <w:sz w:val="28"/>
                <w:szCs w:val="28"/>
                <w:lang w:val="ru-RU"/>
              </w:rPr>
              <w:t>т) отсутствует</w:t>
            </w:r>
          </w:p>
        </w:tc>
        <w:tc>
          <w:tcPr>
            <w:tcW w:w="2319" w:type="pct"/>
          </w:tcPr>
          <w:p w14:paraId="2E2E28A5" w14:textId="7607A118" w:rsidR="003B005B" w:rsidRPr="00C6654C" w:rsidRDefault="003B005B" w:rsidP="003B005B">
            <w:pPr>
              <w:spacing w:after="0" w:line="240" w:lineRule="auto"/>
              <w:ind w:firstLine="567"/>
              <w:jc w:val="both"/>
              <w:rPr>
                <w:rFonts w:ascii="Times New Roman" w:hAnsi="Times New Roman"/>
                <w:b/>
                <w:sz w:val="28"/>
                <w:szCs w:val="28"/>
              </w:rPr>
            </w:pPr>
            <w:r w:rsidRPr="00C6654C">
              <w:rPr>
                <w:rFonts w:ascii="Times New Roman" w:hAnsi="Times New Roman"/>
                <w:b/>
                <w:sz w:val="28"/>
                <w:szCs w:val="28"/>
              </w:rPr>
              <w:t xml:space="preserve">с) интеллектуальная система учета расхода питьевой воды </w:t>
            </w:r>
            <w:r w:rsidR="00BA11B6" w:rsidRPr="00C6654C">
              <w:rPr>
                <w:rFonts w:ascii="Times New Roman" w:hAnsi="Times New Roman"/>
                <w:b/>
                <w:sz w:val="28"/>
                <w:szCs w:val="28"/>
              </w:rPr>
              <w:t>–</w:t>
            </w:r>
            <w:r w:rsidRPr="00C6654C">
              <w:rPr>
                <w:rFonts w:ascii="Times New Roman" w:hAnsi="Times New Roman"/>
                <w:b/>
                <w:sz w:val="28"/>
                <w:szCs w:val="28"/>
              </w:rPr>
              <w:t xml:space="preserve"> совокупность функционально объединенных компонентов и устройств (в том числе интеллектуальных приборов учета расхода питьевой воды), предназначенная для удаленного сбора, обработки, передачи показаний приборов учета расхода питьевой воды, обеспечивающая информационный обмен, хранение показаний приборов учета расхода питьевой воды, не влияющих на результаты измерений, выполняемых приборами учета расхода питьевой воды. </w:t>
            </w:r>
            <w:r w:rsidR="00096CF9" w:rsidRPr="00C6654C">
              <w:rPr>
                <w:rFonts w:ascii="Times New Roman" w:hAnsi="Times New Roman"/>
                <w:sz w:val="28"/>
                <w:szCs w:val="28"/>
              </w:rPr>
              <w:t xml:space="preserve">Порядок </w:t>
            </w:r>
            <w:r w:rsidR="00096CF9" w:rsidRPr="00C6654C">
              <w:rPr>
                <w:rFonts w:ascii="Times New Roman" w:hAnsi="Times New Roman"/>
                <w:sz w:val="28"/>
                <w:szCs w:val="28"/>
              </w:rPr>
              <w:lastRenderedPageBreak/>
              <w:t xml:space="preserve">использования и перечень функций </w:t>
            </w:r>
            <w:r w:rsidRPr="00C6654C">
              <w:rPr>
                <w:rFonts w:ascii="Times New Roman" w:hAnsi="Times New Roman"/>
                <w:b/>
                <w:sz w:val="28"/>
                <w:szCs w:val="28"/>
              </w:rPr>
              <w:t>интеллектуальной системы учета расхода питьевой воды утверждается нормативным правовым актом Правительства Приднестровской Молдавской Республики;</w:t>
            </w:r>
          </w:p>
          <w:p w14:paraId="3C8D9110" w14:textId="36B721EF" w:rsidR="005240CC" w:rsidRPr="00C6654C" w:rsidRDefault="003B005B" w:rsidP="003B005B">
            <w:pPr>
              <w:pStyle w:val="ac"/>
              <w:ind w:firstLine="720"/>
              <w:jc w:val="both"/>
              <w:outlineLvl w:val="0"/>
              <w:rPr>
                <w:rFonts w:ascii="Times New Roman" w:hAnsi="Times New Roman"/>
                <w:b/>
                <w:bCs/>
                <w:sz w:val="28"/>
                <w:szCs w:val="28"/>
                <w:lang w:val="ru-RU"/>
              </w:rPr>
            </w:pPr>
            <w:r w:rsidRPr="00C6654C">
              <w:rPr>
                <w:rFonts w:ascii="Times New Roman" w:hAnsi="Times New Roman"/>
                <w:b/>
                <w:sz w:val="28"/>
                <w:szCs w:val="28"/>
              </w:rPr>
              <w:t xml:space="preserve">т) техническое обслуживание приборов учета расхода питьевой воды </w:t>
            </w:r>
            <w:r w:rsidR="00BA11B6" w:rsidRPr="00C6654C">
              <w:rPr>
                <w:rFonts w:ascii="Times New Roman" w:hAnsi="Times New Roman"/>
                <w:b/>
                <w:sz w:val="28"/>
                <w:szCs w:val="28"/>
              </w:rPr>
              <w:t>–</w:t>
            </w:r>
            <w:r w:rsidRPr="00C6654C">
              <w:rPr>
                <w:rFonts w:ascii="Times New Roman" w:hAnsi="Times New Roman"/>
                <w:b/>
                <w:sz w:val="28"/>
                <w:szCs w:val="28"/>
              </w:rPr>
              <w:t xml:space="preserve"> комплекс организационных и технических операций, направленных на поддержание работоспособности и эксплуатации приборов учета расхода питьевой воды, включающих проведение государственной поверки, ремонта и замены прибора учета расхода питьевой воды либо его структурных составляющих, о</w:t>
            </w:r>
            <w:r w:rsidR="00740004" w:rsidRPr="00C6654C">
              <w:rPr>
                <w:rFonts w:ascii="Times New Roman" w:hAnsi="Times New Roman"/>
                <w:b/>
                <w:sz w:val="28"/>
                <w:szCs w:val="28"/>
              </w:rPr>
              <w:t xml:space="preserve">беспечивающих </w:t>
            </w:r>
            <w:r w:rsidRPr="00C6654C">
              <w:rPr>
                <w:rFonts w:ascii="Times New Roman" w:hAnsi="Times New Roman"/>
                <w:b/>
                <w:sz w:val="28"/>
                <w:szCs w:val="28"/>
              </w:rPr>
              <w:t>работоспособность</w:t>
            </w:r>
            <w:r w:rsidRPr="00C6654C">
              <w:rPr>
                <w:rFonts w:ascii="Times New Roman" w:hAnsi="Times New Roman"/>
                <w:b/>
                <w:sz w:val="28"/>
                <w:szCs w:val="28"/>
                <w:lang w:val="ru-RU"/>
              </w:rPr>
              <w:t>.</w:t>
            </w:r>
          </w:p>
        </w:tc>
      </w:tr>
      <w:tr w:rsidR="005240CC" w:rsidRPr="00C6654C" w14:paraId="2F3F3EF1" w14:textId="77777777" w:rsidTr="00546799">
        <w:trPr>
          <w:trHeight w:val="1233"/>
        </w:trPr>
        <w:tc>
          <w:tcPr>
            <w:tcW w:w="304" w:type="pct"/>
            <w:vAlign w:val="center"/>
          </w:tcPr>
          <w:p w14:paraId="5086BA44" w14:textId="4F103487" w:rsidR="005240CC" w:rsidRPr="00C6654C" w:rsidRDefault="00546799" w:rsidP="005240CC">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t>3</w:t>
            </w:r>
          </w:p>
        </w:tc>
        <w:tc>
          <w:tcPr>
            <w:tcW w:w="2377" w:type="pct"/>
          </w:tcPr>
          <w:p w14:paraId="63CF0366" w14:textId="34D6A3E6" w:rsidR="005240CC" w:rsidRPr="00C6654C" w:rsidRDefault="005240CC" w:rsidP="00BD6DB9">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Статья 10-1. Организация учета потребленной физическими лицами питьевой воды, подаваемой через сети централизованного водоснабжения</w:t>
            </w:r>
          </w:p>
          <w:p w14:paraId="69EA728F" w14:textId="77777777" w:rsidR="005C606B" w:rsidRPr="00C6654C" w:rsidRDefault="005240CC" w:rsidP="005C606B">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w:t>
            </w:r>
          </w:p>
          <w:p w14:paraId="5AE2C63F" w14:textId="60AD0D77" w:rsidR="004A3C99" w:rsidRPr="00C6654C" w:rsidRDefault="004A3C99" w:rsidP="005C606B">
            <w:pPr>
              <w:pStyle w:val="HTML"/>
              <w:ind w:firstLine="720"/>
              <w:jc w:val="both"/>
              <w:rPr>
                <w:rFonts w:ascii="Times New Roman" w:hAnsi="Times New Roman" w:cs="Times New Roman"/>
                <w:color w:val="auto"/>
                <w:sz w:val="28"/>
                <w:szCs w:val="28"/>
              </w:rPr>
            </w:pPr>
            <w:r w:rsidRPr="00C6654C">
              <w:rPr>
                <w:rFonts w:ascii="Times New Roman" w:hAnsi="Times New Roman" w:cs="Times New Roman"/>
                <w:sz w:val="28"/>
                <w:szCs w:val="28"/>
              </w:rPr>
              <w:t>3. Работы по абонентскому сервисному обслуживанию приборов учета осуществляются за счет средств собственника приборов учета расхода питьевой воды.</w:t>
            </w:r>
          </w:p>
          <w:p w14:paraId="279F49C6" w14:textId="2517FDDA" w:rsidR="004A3C99" w:rsidRPr="00C6654C" w:rsidRDefault="004A3C99" w:rsidP="005240CC">
            <w:pPr>
              <w:pStyle w:val="HTML"/>
              <w:ind w:firstLine="720"/>
              <w:jc w:val="both"/>
              <w:rPr>
                <w:rFonts w:ascii="Times New Roman" w:hAnsi="Times New Roman" w:cs="Times New Roman"/>
                <w:color w:val="auto"/>
                <w:sz w:val="28"/>
                <w:szCs w:val="28"/>
              </w:rPr>
            </w:pPr>
          </w:p>
          <w:p w14:paraId="5BA49041" w14:textId="673E0B35" w:rsidR="005240CC" w:rsidRPr="00C6654C" w:rsidRDefault="005240CC" w:rsidP="005240CC">
            <w:pPr>
              <w:pStyle w:val="HTML"/>
              <w:ind w:firstLine="720"/>
              <w:jc w:val="both"/>
              <w:rPr>
                <w:rFonts w:ascii="Times New Roman" w:hAnsi="Times New Roman" w:cs="Times New Roman"/>
                <w:color w:val="auto"/>
                <w:sz w:val="28"/>
                <w:szCs w:val="28"/>
              </w:rPr>
            </w:pPr>
          </w:p>
        </w:tc>
        <w:tc>
          <w:tcPr>
            <w:tcW w:w="2319" w:type="pct"/>
          </w:tcPr>
          <w:p w14:paraId="31AAC1EA" w14:textId="77777777" w:rsidR="005240CC" w:rsidRPr="00C6654C" w:rsidRDefault="005240CC" w:rsidP="005240CC">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Статья 10-1. Организация учета потребленной физическими лицами питьевой воды, подаваемой через сети централизованного водоснабжения</w:t>
            </w:r>
          </w:p>
          <w:p w14:paraId="46214028" w14:textId="77777777" w:rsidR="005C606B" w:rsidRPr="00C6654C" w:rsidRDefault="005240CC" w:rsidP="005C606B">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w:t>
            </w:r>
          </w:p>
          <w:p w14:paraId="533EE760" w14:textId="456585ED" w:rsidR="005240CC" w:rsidRPr="00C6654C" w:rsidRDefault="00BD6DB9" w:rsidP="005C606B">
            <w:pPr>
              <w:pStyle w:val="HTML"/>
              <w:ind w:firstLine="720"/>
              <w:jc w:val="both"/>
              <w:rPr>
                <w:rFonts w:ascii="Times New Roman" w:hAnsi="Times New Roman"/>
                <w:b/>
                <w:bCs/>
                <w:sz w:val="28"/>
                <w:szCs w:val="28"/>
              </w:rPr>
            </w:pPr>
            <w:r w:rsidRPr="00C6654C">
              <w:rPr>
                <w:rFonts w:ascii="Times New Roman" w:hAnsi="Times New Roman"/>
                <w:sz w:val="28"/>
                <w:szCs w:val="28"/>
              </w:rPr>
              <w:t xml:space="preserve">3. Работы по абонентскому сервисному обслуживанию приборов учета, </w:t>
            </w:r>
            <w:r w:rsidRPr="00C6654C">
              <w:rPr>
                <w:rFonts w:ascii="Times New Roman" w:hAnsi="Times New Roman"/>
                <w:b/>
                <w:sz w:val="28"/>
                <w:szCs w:val="28"/>
              </w:rPr>
              <w:t>в том числе интеллектуальной системы учета расхода питьевой воды,</w:t>
            </w:r>
            <w:r w:rsidRPr="00C6654C">
              <w:rPr>
                <w:rFonts w:ascii="Times New Roman" w:hAnsi="Times New Roman"/>
                <w:sz w:val="28"/>
                <w:szCs w:val="28"/>
              </w:rPr>
              <w:t xml:space="preserve"> осуществляются за счет средств собственника приборов учета, </w:t>
            </w:r>
            <w:r w:rsidRPr="00C6654C">
              <w:rPr>
                <w:rFonts w:ascii="Times New Roman" w:hAnsi="Times New Roman"/>
                <w:b/>
                <w:sz w:val="28"/>
                <w:szCs w:val="28"/>
              </w:rPr>
              <w:t>в том числе интеллектуальной системы учета расхода питьевой воды, в рамках внесения абонентской платы.</w:t>
            </w:r>
          </w:p>
        </w:tc>
      </w:tr>
      <w:tr w:rsidR="00546799" w:rsidRPr="00C6654C" w14:paraId="5C2A6CAE" w14:textId="77777777" w:rsidTr="00C550C1">
        <w:trPr>
          <w:trHeight w:val="7131"/>
        </w:trPr>
        <w:tc>
          <w:tcPr>
            <w:tcW w:w="304" w:type="pct"/>
            <w:vAlign w:val="center"/>
          </w:tcPr>
          <w:p w14:paraId="460D6236" w14:textId="55D7894B" w:rsidR="00546799" w:rsidRPr="00C6654C" w:rsidRDefault="00546799" w:rsidP="005240CC">
            <w:pPr>
              <w:spacing w:after="0" w:line="240" w:lineRule="auto"/>
              <w:jc w:val="center"/>
              <w:rPr>
                <w:rFonts w:ascii="Times New Roman" w:hAnsi="Times New Roman" w:cs="Times New Roman"/>
                <w:sz w:val="28"/>
                <w:szCs w:val="28"/>
              </w:rPr>
            </w:pPr>
            <w:r w:rsidRPr="00C6654C">
              <w:rPr>
                <w:rFonts w:ascii="Times New Roman" w:hAnsi="Times New Roman" w:cs="Times New Roman"/>
                <w:sz w:val="28"/>
                <w:szCs w:val="28"/>
              </w:rPr>
              <w:lastRenderedPageBreak/>
              <w:t>4</w:t>
            </w:r>
          </w:p>
        </w:tc>
        <w:tc>
          <w:tcPr>
            <w:tcW w:w="2377" w:type="pct"/>
          </w:tcPr>
          <w:p w14:paraId="13CBF745" w14:textId="33FEED04" w:rsidR="00546799" w:rsidRPr="00C6654C" w:rsidRDefault="00546799" w:rsidP="00546799">
            <w:pPr>
              <w:pStyle w:val="HTML"/>
              <w:jc w:val="both"/>
              <w:rPr>
                <w:rFonts w:ascii="Times New Roman" w:hAnsi="Times New Roman" w:cs="Times New Roman"/>
                <w:color w:val="auto"/>
                <w:sz w:val="28"/>
                <w:szCs w:val="28"/>
              </w:rPr>
            </w:pPr>
          </w:p>
          <w:p w14:paraId="12D9D85A" w14:textId="77777777" w:rsidR="00546799" w:rsidRPr="00C6654C" w:rsidRDefault="00546799" w:rsidP="00546799">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4. В случае передачи установленного прибора учета на абонентское сервисное обслуживание абонентской организации в момент допуска прибора учета к эксплуатации работы по абонентскому сервисному обслуживанию осуществляются абонентской организацией.</w:t>
            </w:r>
          </w:p>
          <w:p w14:paraId="4A4DB6B5" w14:textId="77777777" w:rsidR="00546799" w:rsidRPr="00C6654C" w:rsidRDefault="00546799" w:rsidP="00546799">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В качестве абонентской организации могут выступать:</w:t>
            </w:r>
          </w:p>
          <w:p w14:paraId="22671892" w14:textId="77777777" w:rsidR="00546799" w:rsidRPr="00C6654C" w:rsidRDefault="00546799" w:rsidP="00546799">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 xml:space="preserve">а) </w:t>
            </w:r>
            <w:proofErr w:type="spellStart"/>
            <w:r w:rsidRPr="00C6654C">
              <w:rPr>
                <w:rFonts w:ascii="Times New Roman" w:hAnsi="Times New Roman" w:cs="Times New Roman"/>
                <w:color w:val="auto"/>
                <w:sz w:val="28"/>
                <w:szCs w:val="28"/>
              </w:rPr>
              <w:t>водоснабжающая</w:t>
            </w:r>
            <w:proofErr w:type="spellEnd"/>
            <w:r w:rsidRPr="00C6654C">
              <w:rPr>
                <w:rFonts w:ascii="Times New Roman" w:hAnsi="Times New Roman" w:cs="Times New Roman"/>
                <w:color w:val="auto"/>
                <w:sz w:val="28"/>
                <w:szCs w:val="28"/>
              </w:rPr>
              <w:t xml:space="preserve"> организация, осуществляющая централизованное водоснабжение в данном населенном пункте либо его части; </w:t>
            </w:r>
          </w:p>
          <w:p w14:paraId="68265235" w14:textId="77777777" w:rsidR="00546799" w:rsidRPr="00C6654C" w:rsidRDefault="00546799" w:rsidP="00546799">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 xml:space="preserve">б) организация, осуществляющая абонентское сервисное обслуживание приборов учета на основании договора с организацией водоснабжения, указанной в </w:t>
            </w:r>
            <w:proofErr w:type="gramStart"/>
            <w:r w:rsidRPr="00C6654C">
              <w:rPr>
                <w:rFonts w:ascii="Times New Roman" w:hAnsi="Times New Roman" w:cs="Times New Roman"/>
                <w:color w:val="auto"/>
                <w:sz w:val="28"/>
                <w:szCs w:val="28"/>
              </w:rPr>
              <w:t>подпункте</w:t>
            </w:r>
            <w:proofErr w:type="gramEnd"/>
            <w:r w:rsidRPr="00C6654C">
              <w:rPr>
                <w:rFonts w:ascii="Times New Roman" w:hAnsi="Times New Roman" w:cs="Times New Roman"/>
                <w:color w:val="auto"/>
                <w:sz w:val="28"/>
                <w:szCs w:val="28"/>
              </w:rPr>
              <w:t xml:space="preserve"> а) настоящей части.</w:t>
            </w:r>
          </w:p>
          <w:p w14:paraId="1E1429CA" w14:textId="77777777" w:rsidR="00684296" w:rsidRPr="00C6654C" w:rsidRDefault="00546799" w:rsidP="00684296">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В случае, предусмотренном частью первой настоящего пункта, физические лица, являющиеся потребителями питьевой воды, ежемесячно вносят абонентскую плату в качестве платы за услуги по абонентскому сервисному обслуживанию.</w:t>
            </w:r>
          </w:p>
          <w:p w14:paraId="6D159818" w14:textId="23982019" w:rsidR="00546799" w:rsidRPr="00C6654C" w:rsidRDefault="00546799" w:rsidP="00684296">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Абонентская плата за абонентское сервисное обслуживание приборов учета для физических лиц включается отдельной строкой в платежный документ по оплате услуг водоснабжения, если указанные услуги осуществляет абонентская организация.</w:t>
            </w:r>
          </w:p>
          <w:p w14:paraId="7078CCDF" w14:textId="77777777" w:rsidR="00546799" w:rsidRPr="00C6654C" w:rsidRDefault="00546799" w:rsidP="00546799">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 xml:space="preserve">Абонентская плата устанавливается абонентской </w:t>
            </w:r>
            <w:r w:rsidRPr="00C6654C">
              <w:rPr>
                <w:rFonts w:ascii="Times New Roman" w:hAnsi="Times New Roman" w:cs="Times New Roman"/>
                <w:color w:val="auto"/>
                <w:sz w:val="28"/>
                <w:szCs w:val="28"/>
              </w:rPr>
              <w:lastRenderedPageBreak/>
              <w:t>организацией в зависимости от количества и типа приборов учета в соответствии с требованиями законодательства Приднестровской Молдавской Республики о ценах (тарифах) и ценообразовании.</w:t>
            </w:r>
          </w:p>
          <w:p w14:paraId="0A7D9BF2" w14:textId="0B9EEC22" w:rsidR="00546799" w:rsidRPr="00C6654C" w:rsidRDefault="00684296" w:rsidP="005240CC">
            <w:pPr>
              <w:pStyle w:val="HTML"/>
              <w:ind w:firstLine="720"/>
              <w:jc w:val="both"/>
              <w:rPr>
                <w:rFonts w:ascii="Times New Roman" w:hAnsi="Times New Roman" w:cs="Times New Roman"/>
                <w:color w:val="auto"/>
                <w:sz w:val="28"/>
                <w:szCs w:val="28"/>
              </w:rPr>
            </w:pPr>
            <w:r w:rsidRPr="00C6654C">
              <w:rPr>
                <w:rFonts w:ascii="Times New Roman" w:hAnsi="Times New Roman" w:cs="Times New Roman"/>
                <w:color w:val="auto"/>
                <w:sz w:val="28"/>
                <w:szCs w:val="28"/>
              </w:rPr>
              <w:t>…</w:t>
            </w:r>
          </w:p>
        </w:tc>
        <w:tc>
          <w:tcPr>
            <w:tcW w:w="2319" w:type="pct"/>
          </w:tcPr>
          <w:p w14:paraId="2CD52AEB" w14:textId="77777777" w:rsidR="00546799" w:rsidRPr="00C6654C" w:rsidRDefault="00546799" w:rsidP="00546799">
            <w:pPr>
              <w:pStyle w:val="ac"/>
              <w:jc w:val="both"/>
              <w:outlineLvl w:val="0"/>
              <w:rPr>
                <w:rFonts w:ascii="Times New Roman" w:hAnsi="Times New Roman"/>
                <w:sz w:val="28"/>
                <w:szCs w:val="28"/>
              </w:rPr>
            </w:pPr>
          </w:p>
          <w:p w14:paraId="5AD02912" w14:textId="77777777" w:rsidR="00955752" w:rsidRPr="00C6654C" w:rsidRDefault="00955752" w:rsidP="00955752">
            <w:pPr>
              <w:spacing w:after="0" w:line="240" w:lineRule="auto"/>
              <w:ind w:firstLine="567"/>
              <w:jc w:val="both"/>
              <w:rPr>
                <w:rFonts w:ascii="Times New Roman" w:hAnsi="Times New Roman"/>
                <w:sz w:val="28"/>
                <w:szCs w:val="28"/>
              </w:rPr>
            </w:pPr>
            <w:r w:rsidRPr="00C6654C">
              <w:rPr>
                <w:rFonts w:ascii="Times New Roman" w:hAnsi="Times New Roman"/>
                <w:sz w:val="28"/>
                <w:szCs w:val="28"/>
              </w:rPr>
              <w:t xml:space="preserve">4. В случае передачи установленного прибора учета на абонентское сервисное обслуживание </w:t>
            </w:r>
            <w:r w:rsidRPr="00C6654C">
              <w:rPr>
                <w:rFonts w:ascii="Times New Roman" w:hAnsi="Times New Roman"/>
                <w:b/>
                <w:sz w:val="28"/>
                <w:szCs w:val="28"/>
              </w:rPr>
              <w:t>прибора учета</w:t>
            </w:r>
            <w:r w:rsidRPr="00C6654C">
              <w:rPr>
                <w:rFonts w:ascii="Times New Roman" w:hAnsi="Times New Roman"/>
                <w:sz w:val="28"/>
                <w:szCs w:val="28"/>
              </w:rPr>
              <w:t xml:space="preserve"> абонентской организации в момент допуска прибора учета к эксплуатации работы по абонентскому сервисному обслуживанию </w:t>
            </w:r>
            <w:r w:rsidRPr="00C6654C">
              <w:rPr>
                <w:rFonts w:ascii="Times New Roman" w:hAnsi="Times New Roman"/>
                <w:b/>
                <w:sz w:val="28"/>
                <w:szCs w:val="28"/>
              </w:rPr>
              <w:t>прибора учета</w:t>
            </w:r>
            <w:r w:rsidRPr="00C6654C">
              <w:rPr>
                <w:rFonts w:ascii="Times New Roman" w:hAnsi="Times New Roman"/>
                <w:sz w:val="28"/>
                <w:szCs w:val="28"/>
              </w:rPr>
              <w:t xml:space="preserve"> осуществляются абонентской организацией.</w:t>
            </w:r>
          </w:p>
          <w:p w14:paraId="7EC48D53" w14:textId="77777777" w:rsidR="00955752" w:rsidRPr="00C6654C" w:rsidRDefault="00955752" w:rsidP="00955752">
            <w:pPr>
              <w:spacing w:after="0" w:line="240" w:lineRule="auto"/>
              <w:ind w:firstLine="567"/>
              <w:jc w:val="both"/>
              <w:rPr>
                <w:rFonts w:ascii="Times New Roman" w:hAnsi="Times New Roman"/>
                <w:sz w:val="28"/>
                <w:szCs w:val="28"/>
              </w:rPr>
            </w:pPr>
            <w:r w:rsidRPr="00C6654C">
              <w:rPr>
                <w:rFonts w:ascii="Times New Roman" w:hAnsi="Times New Roman"/>
                <w:sz w:val="28"/>
                <w:szCs w:val="28"/>
              </w:rPr>
              <w:t xml:space="preserve">В качестве абонентской организации </w:t>
            </w:r>
            <w:r w:rsidRPr="00C6654C">
              <w:rPr>
                <w:rFonts w:ascii="Times New Roman" w:hAnsi="Times New Roman"/>
                <w:b/>
                <w:sz w:val="28"/>
                <w:szCs w:val="28"/>
              </w:rPr>
              <w:t>может выступать организация, аккредитованная на право осуществления технического обслуживания приборов учета, на основании разрешения уполномоченного органа государственной власти.</w:t>
            </w:r>
          </w:p>
          <w:p w14:paraId="556E97AC" w14:textId="77777777" w:rsidR="00955752" w:rsidRPr="00C6654C" w:rsidRDefault="00955752" w:rsidP="00955752">
            <w:pPr>
              <w:spacing w:after="0" w:line="240" w:lineRule="auto"/>
              <w:ind w:firstLine="567"/>
              <w:jc w:val="both"/>
              <w:rPr>
                <w:rFonts w:ascii="Times New Roman" w:hAnsi="Times New Roman"/>
                <w:sz w:val="28"/>
                <w:szCs w:val="28"/>
              </w:rPr>
            </w:pPr>
            <w:r w:rsidRPr="00C6654C">
              <w:rPr>
                <w:rFonts w:ascii="Times New Roman" w:hAnsi="Times New Roman"/>
                <w:b/>
                <w:sz w:val="28"/>
                <w:szCs w:val="28"/>
              </w:rPr>
              <w:t>Физические лица, заключившие договор на абонентское сервисное обслуживание прибора(</w:t>
            </w:r>
            <w:proofErr w:type="spellStart"/>
            <w:r w:rsidRPr="00C6654C">
              <w:rPr>
                <w:rFonts w:ascii="Times New Roman" w:hAnsi="Times New Roman"/>
                <w:b/>
                <w:sz w:val="28"/>
                <w:szCs w:val="28"/>
              </w:rPr>
              <w:t>ов</w:t>
            </w:r>
            <w:proofErr w:type="spellEnd"/>
            <w:r w:rsidRPr="00C6654C">
              <w:rPr>
                <w:rFonts w:ascii="Times New Roman" w:hAnsi="Times New Roman"/>
                <w:b/>
                <w:sz w:val="28"/>
                <w:szCs w:val="28"/>
              </w:rPr>
              <w:t>) учета</w:t>
            </w:r>
            <w:r w:rsidRPr="00C6654C">
              <w:rPr>
                <w:rFonts w:ascii="Times New Roman" w:hAnsi="Times New Roman"/>
                <w:sz w:val="28"/>
                <w:szCs w:val="28"/>
              </w:rPr>
              <w:t xml:space="preserve"> ежемесячно вносят </w:t>
            </w:r>
            <w:r w:rsidRPr="00C6654C">
              <w:rPr>
                <w:rFonts w:ascii="Times New Roman" w:hAnsi="Times New Roman"/>
                <w:b/>
                <w:sz w:val="28"/>
                <w:szCs w:val="28"/>
              </w:rPr>
              <w:t>абонентскую плату.</w:t>
            </w:r>
            <w:r w:rsidRPr="00C6654C">
              <w:rPr>
                <w:rFonts w:ascii="Times New Roman" w:hAnsi="Times New Roman"/>
                <w:sz w:val="28"/>
                <w:szCs w:val="28"/>
              </w:rPr>
              <w:t xml:space="preserve"> </w:t>
            </w:r>
            <w:r w:rsidRPr="00C6654C">
              <w:rPr>
                <w:rFonts w:ascii="Times New Roman" w:hAnsi="Times New Roman"/>
                <w:b/>
                <w:sz w:val="28"/>
                <w:szCs w:val="28"/>
              </w:rPr>
              <w:t>Абонентская плата</w:t>
            </w:r>
            <w:r w:rsidRPr="00C6654C">
              <w:rPr>
                <w:rFonts w:ascii="Times New Roman" w:hAnsi="Times New Roman"/>
                <w:sz w:val="28"/>
                <w:szCs w:val="28"/>
              </w:rPr>
              <w:t xml:space="preserve"> включается отдельной строкой в платежный документ </w:t>
            </w:r>
            <w:r w:rsidRPr="00C6654C">
              <w:rPr>
                <w:rFonts w:ascii="Times New Roman" w:hAnsi="Times New Roman"/>
                <w:b/>
                <w:sz w:val="28"/>
                <w:szCs w:val="28"/>
              </w:rPr>
              <w:t>по оплате услуг водоснабжения.</w:t>
            </w:r>
          </w:p>
          <w:p w14:paraId="7C32C9D4" w14:textId="77777777" w:rsidR="00817FE6" w:rsidRPr="00C6654C" w:rsidRDefault="00817FE6" w:rsidP="00817FE6">
            <w:pPr>
              <w:pStyle w:val="ac"/>
              <w:ind w:firstLine="720"/>
              <w:jc w:val="both"/>
              <w:outlineLvl w:val="0"/>
              <w:rPr>
                <w:rFonts w:ascii="Times New Roman" w:hAnsi="Times New Roman"/>
                <w:sz w:val="28"/>
                <w:szCs w:val="28"/>
              </w:rPr>
            </w:pPr>
            <w:r w:rsidRPr="00C6654C">
              <w:rPr>
                <w:rFonts w:ascii="Times New Roman" w:hAnsi="Times New Roman"/>
                <w:sz w:val="28"/>
                <w:szCs w:val="28"/>
              </w:rPr>
              <w:t xml:space="preserve">Абонентская плата устанавливается абонентской организацией </w:t>
            </w:r>
            <w:r w:rsidRPr="00C6654C">
              <w:rPr>
                <w:rFonts w:ascii="Times New Roman" w:hAnsi="Times New Roman"/>
                <w:b/>
                <w:sz w:val="28"/>
                <w:szCs w:val="28"/>
              </w:rPr>
              <w:t>в соответствии с требованиями законодательства Приднестровской Молдавской Республики о ценах (тарифах) и ценообразовании</w:t>
            </w:r>
            <w:r w:rsidRPr="00C6654C">
              <w:rPr>
                <w:rFonts w:ascii="Times New Roman" w:hAnsi="Times New Roman"/>
                <w:sz w:val="28"/>
                <w:szCs w:val="28"/>
              </w:rPr>
              <w:t xml:space="preserve"> в зависимости от количества и типа приборов учета </w:t>
            </w:r>
            <w:r w:rsidRPr="00C6654C">
              <w:rPr>
                <w:rFonts w:ascii="Times New Roman" w:hAnsi="Times New Roman"/>
                <w:b/>
                <w:sz w:val="28"/>
                <w:szCs w:val="28"/>
              </w:rPr>
              <w:t xml:space="preserve">и включает совокупность затрат по техническому обслуживаю приборов учета, в том числе интеллектуальной </w:t>
            </w:r>
            <w:r w:rsidRPr="00C6654C">
              <w:rPr>
                <w:rFonts w:ascii="Times New Roman" w:hAnsi="Times New Roman"/>
                <w:b/>
                <w:sz w:val="28"/>
                <w:szCs w:val="28"/>
              </w:rPr>
              <w:lastRenderedPageBreak/>
              <w:t>системы учета расхода питьевой воды.</w:t>
            </w:r>
          </w:p>
          <w:p w14:paraId="0FD43CBA" w14:textId="15328241" w:rsidR="00684296" w:rsidRPr="00C6654C" w:rsidRDefault="00684296" w:rsidP="00955752">
            <w:pPr>
              <w:pStyle w:val="ac"/>
              <w:ind w:firstLine="720"/>
              <w:jc w:val="both"/>
              <w:outlineLvl w:val="0"/>
              <w:rPr>
                <w:rFonts w:ascii="Times New Roman" w:hAnsi="Times New Roman"/>
                <w:sz w:val="28"/>
                <w:szCs w:val="28"/>
                <w:lang w:val="ru-RU"/>
              </w:rPr>
            </w:pPr>
            <w:r w:rsidRPr="00C6654C">
              <w:rPr>
                <w:rFonts w:ascii="Times New Roman" w:hAnsi="Times New Roman"/>
                <w:sz w:val="28"/>
                <w:szCs w:val="28"/>
                <w:lang w:val="ru-RU"/>
              </w:rPr>
              <w:t>…</w:t>
            </w:r>
          </w:p>
        </w:tc>
      </w:tr>
    </w:tbl>
    <w:p w14:paraId="4A1CF0C6" w14:textId="77777777" w:rsidR="007C3388" w:rsidRPr="00C6654C" w:rsidRDefault="007C3388" w:rsidP="007C3388">
      <w:pPr>
        <w:spacing w:after="0" w:line="240" w:lineRule="auto"/>
        <w:jc w:val="center"/>
        <w:rPr>
          <w:rFonts w:ascii="Times New Roman" w:hAnsi="Times New Roman" w:cs="Times New Roman"/>
        </w:rPr>
      </w:pPr>
    </w:p>
    <w:p w14:paraId="03B52622" w14:textId="77777777" w:rsidR="007C3388" w:rsidRPr="00C6654C" w:rsidRDefault="007C3388" w:rsidP="007C3388">
      <w:pPr>
        <w:spacing w:after="0" w:line="240" w:lineRule="auto"/>
        <w:rPr>
          <w:rFonts w:ascii="Times New Roman" w:hAnsi="Times New Roman" w:cs="Times New Roman"/>
        </w:rPr>
      </w:pPr>
    </w:p>
    <w:p w14:paraId="55004152" w14:textId="77777777" w:rsidR="00D404F7" w:rsidRPr="00C6654C" w:rsidRDefault="00D404F7" w:rsidP="007C3388">
      <w:pPr>
        <w:spacing w:after="0" w:line="240" w:lineRule="auto"/>
        <w:rPr>
          <w:rFonts w:ascii="Times New Roman" w:hAnsi="Times New Roman" w:cs="Times New Roman"/>
        </w:rPr>
      </w:pPr>
    </w:p>
    <w:p w14:paraId="1CC519D9" w14:textId="77777777" w:rsidR="00D404F7" w:rsidRPr="00C6654C" w:rsidRDefault="00D404F7" w:rsidP="007C3388">
      <w:pPr>
        <w:spacing w:after="0" w:line="240" w:lineRule="auto"/>
        <w:rPr>
          <w:rFonts w:ascii="Times New Roman" w:hAnsi="Times New Roman" w:cs="Times New Roman"/>
        </w:rPr>
      </w:pPr>
    </w:p>
    <w:p w14:paraId="769AACDD" w14:textId="26E68283" w:rsidR="00D404F7" w:rsidRPr="00C6654C" w:rsidRDefault="00D404F7">
      <w:pPr>
        <w:rPr>
          <w:rFonts w:ascii="Times New Roman" w:hAnsi="Times New Roman" w:cs="Times New Roman"/>
        </w:rPr>
      </w:pPr>
      <w:r w:rsidRPr="00C6654C">
        <w:rPr>
          <w:rFonts w:ascii="Times New Roman" w:hAnsi="Times New Roman" w:cs="Times New Roman"/>
        </w:rPr>
        <w:br w:type="page"/>
      </w:r>
    </w:p>
    <w:p w14:paraId="62A1067C" w14:textId="77777777" w:rsidR="00AE6317" w:rsidRPr="00F102DD" w:rsidRDefault="00AE6317" w:rsidP="00F52173">
      <w:pPr>
        <w:spacing w:after="0" w:line="240" w:lineRule="auto"/>
        <w:jc w:val="center"/>
        <w:rPr>
          <w:rFonts w:ascii="Times New Roman" w:hAnsi="Times New Roman" w:cs="Times New Roman"/>
          <w:sz w:val="24"/>
          <w:szCs w:val="24"/>
        </w:rPr>
      </w:pPr>
    </w:p>
    <w:sectPr w:rsidR="00AE6317" w:rsidRPr="00F102DD" w:rsidSect="001C5601">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D7D4B"/>
    <w:multiLevelType w:val="hybridMultilevel"/>
    <w:tmpl w:val="B68454B6"/>
    <w:lvl w:ilvl="0" w:tplc="B0F648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88"/>
    <w:rsid w:val="000001D3"/>
    <w:rsid w:val="00033D75"/>
    <w:rsid w:val="00095BF5"/>
    <w:rsid w:val="00096CF9"/>
    <w:rsid w:val="000A367B"/>
    <w:rsid w:val="000C5DE3"/>
    <w:rsid w:val="000D4AE1"/>
    <w:rsid w:val="000F24DD"/>
    <w:rsid w:val="00142450"/>
    <w:rsid w:val="00150199"/>
    <w:rsid w:val="00150CDC"/>
    <w:rsid w:val="001C5601"/>
    <w:rsid w:val="001E2197"/>
    <w:rsid w:val="001F0837"/>
    <w:rsid w:val="001F3394"/>
    <w:rsid w:val="001F3E8D"/>
    <w:rsid w:val="002358EE"/>
    <w:rsid w:val="00275DD6"/>
    <w:rsid w:val="00285F10"/>
    <w:rsid w:val="00295635"/>
    <w:rsid w:val="002B716D"/>
    <w:rsid w:val="002C53FE"/>
    <w:rsid w:val="002D5BA4"/>
    <w:rsid w:val="00381F79"/>
    <w:rsid w:val="003954DC"/>
    <w:rsid w:val="003A4508"/>
    <w:rsid w:val="003B005B"/>
    <w:rsid w:val="003F1297"/>
    <w:rsid w:val="00413105"/>
    <w:rsid w:val="00413C2C"/>
    <w:rsid w:val="00421E08"/>
    <w:rsid w:val="00460F61"/>
    <w:rsid w:val="00467ECA"/>
    <w:rsid w:val="00484E19"/>
    <w:rsid w:val="004A11D8"/>
    <w:rsid w:val="004A3C99"/>
    <w:rsid w:val="00507AC4"/>
    <w:rsid w:val="005240CC"/>
    <w:rsid w:val="00536442"/>
    <w:rsid w:val="00545060"/>
    <w:rsid w:val="00546799"/>
    <w:rsid w:val="00591475"/>
    <w:rsid w:val="005A218D"/>
    <w:rsid w:val="005C606B"/>
    <w:rsid w:val="00614C17"/>
    <w:rsid w:val="00615D0E"/>
    <w:rsid w:val="006174A3"/>
    <w:rsid w:val="006211C3"/>
    <w:rsid w:val="00640EF2"/>
    <w:rsid w:val="00673C68"/>
    <w:rsid w:val="00684296"/>
    <w:rsid w:val="00686950"/>
    <w:rsid w:val="006A4150"/>
    <w:rsid w:val="006D5093"/>
    <w:rsid w:val="0070720C"/>
    <w:rsid w:val="007111DC"/>
    <w:rsid w:val="007129CD"/>
    <w:rsid w:val="00720677"/>
    <w:rsid w:val="00740004"/>
    <w:rsid w:val="00740DB2"/>
    <w:rsid w:val="00792B6B"/>
    <w:rsid w:val="007C2416"/>
    <w:rsid w:val="007C3388"/>
    <w:rsid w:val="007C76BA"/>
    <w:rsid w:val="007D5BFF"/>
    <w:rsid w:val="007F0B9A"/>
    <w:rsid w:val="00817FE6"/>
    <w:rsid w:val="00861731"/>
    <w:rsid w:val="00891F5B"/>
    <w:rsid w:val="008955A7"/>
    <w:rsid w:val="008C3211"/>
    <w:rsid w:val="00900472"/>
    <w:rsid w:val="009005A9"/>
    <w:rsid w:val="00900B1E"/>
    <w:rsid w:val="00912F5C"/>
    <w:rsid w:val="00922B10"/>
    <w:rsid w:val="00923F5B"/>
    <w:rsid w:val="0092530C"/>
    <w:rsid w:val="009411E8"/>
    <w:rsid w:val="00955752"/>
    <w:rsid w:val="00972B1F"/>
    <w:rsid w:val="00984FB5"/>
    <w:rsid w:val="00991AD6"/>
    <w:rsid w:val="009C5307"/>
    <w:rsid w:val="009E3A00"/>
    <w:rsid w:val="009E62EE"/>
    <w:rsid w:val="009E70DB"/>
    <w:rsid w:val="00A0208B"/>
    <w:rsid w:val="00A3703B"/>
    <w:rsid w:val="00A449D2"/>
    <w:rsid w:val="00A44DAB"/>
    <w:rsid w:val="00A544C9"/>
    <w:rsid w:val="00A57B06"/>
    <w:rsid w:val="00A7245D"/>
    <w:rsid w:val="00A77CF3"/>
    <w:rsid w:val="00A913A8"/>
    <w:rsid w:val="00AC1785"/>
    <w:rsid w:val="00AE1A9D"/>
    <w:rsid w:val="00AE6317"/>
    <w:rsid w:val="00B2351F"/>
    <w:rsid w:val="00B32BA9"/>
    <w:rsid w:val="00B707BC"/>
    <w:rsid w:val="00B73494"/>
    <w:rsid w:val="00B75C8C"/>
    <w:rsid w:val="00B859CD"/>
    <w:rsid w:val="00BA11B6"/>
    <w:rsid w:val="00BC31D3"/>
    <w:rsid w:val="00BD6DB9"/>
    <w:rsid w:val="00C550C1"/>
    <w:rsid w:val="00C6654C"/>
    <w:rsid w:val="00C71A37"/>
    <w:rsid w:val="00CA010F"/>
    <w:rsid w:val="00CA4ABD"/>
    <w:rsid w:val="00CD1F87"/>
    <w:rsid w:val="00D11EDC"/>
    <w:rsid w:val="00D14437"/>
    <w:rsid w:val="00D176E8"/>
    <w:rsid w:val="00D2515C"/>
    <w:rsid w:val="00D34BD7"/>
    <w:rsid w:val="00D404F7"/>
    <w:rsid w:val="00D413BF"/>
    <w:rsid w:val="00D52DB8"/>
    <w:rsid w:val="00D96965"/>
    <w:rsid w:val="00D97785"/>
    <w:rsid w:val="00DC13DE"/>
    <w:rsid w:val="00DE2CDF"/>
    <w:rsid w:val="00E11C7E"/>
    <w:rsid w:val="00E42870"/>
    <w:rsid w:val="00E50B53"/>
    <w:rsid w:val="00E614EB"/>
    <w:rsid w:val="00EF58FD"/>
    <w:rsid w:val="00F102DD"/>
    <w:rsid w:val="00F259E6"/>
    <w:rsid w:val="00F35AA2"/>
    <w:rsid w:val="00F52173"/>
    <w:rsid w:val="00F66183"/>
    <w:rsid w:val="00F976A5"/>
    <w:rsid w:val="00FA366C"/>
    <w:rsid w:val="00FA3798"/>
    <w:rsid w:val="00FA6F3D"/>
    <w:rsid w:val="00FB2AEA"/>
    <w:rsid w:val="00FC293B"/>
    <w:rsid w:val="00FD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836E"/>
  <w15:chartTrackingRefBased/>
  <w15:docId w15:val="{C041CBC5-AA1A-4E9A-8C70-1BEFF002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AD6"/>
  </w:style>
  <w:style w:type="paragraph" w:styleId="1">
    <w:name w:val="heading 1"/>
    <w:basedOn w:val="a"/>
    <w:next w:val="a"/>
    <w:link w:val="10"/>
    <w:uiPriority w:val="9"/>
    <w:qFormat/>
    <w:rsid w:val="007C3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C33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C33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C33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C33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C33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33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33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33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3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C33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C33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C338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C338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C33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3388"/>
    <w:rPr>
      <w:rFonts w:eastAsiaTheme="majorEastAsia" w:cstheme="majorBidi"/>
      <w:color w:val="595959" w:themeColor="text1" w:themeTint="A6"/>
    </w:rPr>
  </w:style>
  <w:style w:type="character" w:customStyle="1" w:styleId="80">
    <w:name w:val="Заголовок 8 Знак"/>
    <w:basedOn w:val="a0"/>
    <w:link w:val="8"/>
    <w:uiPriority w:val="9"/>
    <w:semiHidden/>
    <w:rsid w:val="007C33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3388"/>
    <w:rPr>
      <w:rFonts w:eastAsiaTheme="majorEastAsia" w:cstheme="majorBidi"/>
      <w:color w:val="272727" w:themeColor="text1" w:themeTint="D8"/>
    </w:rPr>
  </w:style>
  <w:style w:type="paragraph" w:styleId="a3">
    <w:name w:val="Title"/>
    <w:basedOn w:val="a"/>
    <w:next w:val="a"/>
    <w:link w:val="a4"/>
    <w:uiPriority w:val="10"/>
    <w:qFormat/>
    <w:rsid w:val="007C3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3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3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33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3388"/>
    <w:pPr>
      <w:spacing w:before="160"/>
      <w:jc w:val="center"/>
    </w:pPr>
    <w:rPr>
      <w:i/>
      <w:iCs/>
      <w:color w:val="404040" w:themeColor="text1" w:themeTint="BF"/>
    </w:rPr>
  </w:style>
  <w:style w:type="character" w:customStyle="1" w:styleId="22">
    <w:name w:val="Цитата 2 Знак"/>
    <w:basedOn w:val="a0"/>
    <w:link w:val="21"/>
    <w:uiPriority w:val="29"/>
    <w:rsid w:val="007C3388"/>
    <w:rPr>
      <w:i/>
      <w:iCs/>
      <w:color w:val="404040" w:themeColor="text1" w:themeTint="BF"/>
    </w:rPr>
  </w:style>
  <w:style w:type="paragraph" w:styleId="a7">
    <w:name w:val="List Paragraph"/>
    <w:basedOn w:val="a"/>
    <w:uiPriority w:val="34"/>
    <w:qFormat/>
    <w:rsid w:val="007C3388"/>
    <w:pPr>
      <w:ind w:left="720"/>
      <w:contextualSpacing/>
    </w:pPr>
  </w:style>
  <w:style w:type="character" w:styleId="a8">
    <w:name w:val="Intense Emphasis"/>
    <w:basedOn w:val="a0"/>
    <w:uiPriority w:val="21"/>
    <w:qFormat/>
    <w:rsid w:val="007C3388"/>
    <w:rPr>
      <w:i/>
      <w:iCs/>
      <w:color w:val="2F5496" w:themeColor="accent1" w:themeShade="BF"/>
    </w:rPr>
  </w:style>
  <w:style w:type="paragraph" w:styleId="a9">
    <w:name w:val="Intense Quote"/>
    <w:basedOn w:val="a"/>
    <w:next w:val="a"/>
    <w:link w:val="aa"/>
    <w:uiPriority w:val="30"/>
    <w:qFormat/>
    <w:rsid w:val="007C3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C3388"/>
    <w:rPr>
      <w:i/>
      <w:iCs/>
      <w:color w:val="2F5496" w:themeColor="accent1" w:themeShade="BF"/>
    </w:rPr>
  </w:style>
  <w:style w:type="character" w:styleId="ab">
    <w:name w:val="Intense Reference"/>
    <w:basedOn w:val="a0"/>
    <w:uiPriority w:val="32"/>
    <w:qFormat/>
    <w:rsid w:val="007C3388"/>
    <w:rPr>
      <w:b/>
      <w:bCs/>
      <w:smallCaps/>
      <w:color w:val="2F5496" w:themeColor="accent1" w:themeShade="BF"/>
      <w:spacing w:val="5"/>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1"/>
    <w:rsid w:val="007C3388"/>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ad">
    <w:name w:val="Текст Знак"/>
    <w:basedOn w:val="a0"/>
    <w:uiPriority w:val="99"/>
    <w:semiHidden/>
    <w:rsid w:val="007C3388"/>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c"/>
    <w:rsid w:val="007C3388"/>
    <w:rPr>
      <w:rFonts w:ascii="Courier New" w:eastAsia="Times New Roman" w:hAnsi="Courier New" w:cs="Times New Roman"/>
      <w:kern w:val="0"/>
      <w:sz w:val="20"/>
      <w:szCs w:val="20"/>
      <w:lang w:val="x-none" w:eastAsia="x-none"/>
      <w14:ligatures w14:val="none"/>
    </w:rPr>
  </w:style>
  <w:style w:type="paragraph" w:styleId="HTML">
    <w:name w:val="HTML Preformatted"/>
    <w:basedOn w:val="a"/>
    <w:link w:val="HTML0"/>
    <w:rsid w:val="0038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13"/>
      <w:szCs w:val="13"/>
      <w:lang w:eastAsia="ru-RU"/>
      <w14:ligatures w14:val="none"/>
    </w:rPr>
  </w:style>
  <w:style w:type="character" w:customStyle="1" w:styleId="HTML0">
    <w:name w:val="Стандартный HTML Знак"/>
    <w:basedOn w:val="a0"/>
    <w:link w:val="HTML"/>
    <w:rsid w:val="00381F79"/>
    <w:rPr>
      <w:rFonts w:ascii="Courier New" w:eastAsia="Times New Roman" w:hAnsi="Courier New" w:cs="Courier New"/>
      <w:color w:val="000000"/>
      <w:kern w:val="0"/>
      <w:sz w:val="13"/>
      <w:szCs w:val="13"/>
      <w:lang w:eastAsia="ru-RU"/>
      <w14:ligatures w14:val="none"/>
    </w:rPr>
  </w:style>
  <w:style w:type="character" w:styleId="ae">
    <w:name w:val="Hyperlink"/>
    <w:basedOn w:val="a0"/>
    <w:uiPriority w:val="99"/>
    <w:unhideWhenUsed/>
    <w:rsid w:val="00984FB5"/>
    <w:rPr>
      <w:color w:val="0563C1" w:themeColor="hyperlink"/>
      <w:u w:val="single"/>
    </w:rPr>
  </w:style>
  <w:style w:type="character" w:customStyle="1" w:styleId="UnresolvedMention">
    <w:name w:val="Unresolved Mention"/>
    <w:basedOn w:val="a0"/>
    <w:uiPriority w:val="99"/>
    <w:semiHidden/>
    <w:unhideWhenUsed/>
    <w:rsid w:val="00984FB5"/>
    <w:rPr>
      <w:color w:val="605E5C"/>
      <w:shd w:val="clear" w:color="auto" w:fill="E1DFDD"/>
    </w:rPr>
  </w:style>
  <w:style w:type="character" w:styleId="af">
    <w:name w:val="annotation reference"/>
    <w:basedOn w:val="a0"/>
    <w:uiPriority w:val="99"/>
    <w:semiHidden/>
    <w:unhideWhenUsed/>
    <w:rsid w:val="005240CC"/>
    <w:rPr>
      <w:sz w:val="16"/>
      <w:szCs w:val="16"/>
    </w:rPr>
  </w:style>
  <w:style w:type="paragraph" w:styleId="af0">
    <w:name w:val="annotation text"/>
    <w:basedOn w:val="a"/>
    <w:link w:val="af1"/>
    <w:uiPriority w:val="99"/>
    <w:semiHidden/>
    <w:unhideWhenUsed/>
    <w:rsid w:val="005240CC"/>
    <w:pPr>
      <w:spacing w:line="240" w:lineRule="auto"/>
    </w:pPr>
    <w:rPr>
      <w:sz w:val="20"/>
      <w:szCs w:val="20"/>
    </w:rPr>
  </w:style>
  <w:style w:type="character" w:customStyle="1" w:styleId="af1">
    <w:name w:val="Текст примечания Знак"/>
    <w:basedOn w:val="a0"/>
    <w:link w:val="af0"/>
    <w:uiPriority w:val="99"/>
    <w:semiHidden/>
    <w:rsid w:val="005240CC"/>
    <w:rPr>
      <w:sz w:val="20"/>
      <w:szCs w:val="20"/>
    </w:rPr>
  </w:style>
  <w:style w:type="paragraph" w:styleId="af2">
    <w:name w:val="annotation subject"/>
    <w:basedOn w:val="af0"/>
    <w:next w:val="af0"/>
    <w:link w:val="af3"/>
    <w:uiPriority w:val="99"/>
    <w:semiHidden/>
    <w:unhideWhenUsed/>
    <w:rsid w:val="005240CC"/>
    <w:rPr>
      <w:b/>
      <w:bCs/>
    </w:rPr>
  </w:style>
  <w:style w:type="character" w:customStyle="1" w:styleId="af3">
    <w:name w:val="Тема примечания Знак"/>
    <w:basedOn w:val="af1"/>
    <w:link w:val="af2"/>
    <w:uiPriority w:val="99"/>
    <w:semiHidden/>
    <w:rsid w:val="00524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59423">
      <w:bodyDiv w:val="1"/>
      <w:marLeft w:val="0"/>
      <w:marRight w:val="0"/>
      <w:marTop w:val="0"/>
      <w:marBottom w:val="0"/>
      <w:divBdr>
        <w:top w:val="none" w:sz="0" w:space="0" w:color="auto"/>
        <w:left w:val="none" w:sz="0" w:space="0" w:color="auto"/>
        <w:bottom w:val="none" w:sz="0" w:space="0" w:color="auto"/>
        <w:right w:val="none" w:sz="0" w:space="0" w:color="auto"/>
      </w:divBdr>
    </w:div>
    <w:div w:id="820930589">
      <w:bodyDiv w:val="1"/>
      <w:marLeft w:val="0"/>
      <w:marRight w:val="0"/>
      <w:marTop w:val="0"/>
      <w:marBottom w:val="0"/>
      <w:divBdr>
        <w:top w:val="none" w:sz="0" w:space="0" w:color="auto"/>
        <w:left w:val="none" w:sz="0" w:space="0" w:color="auto"/>
        <w:bottom w:val="none" w:sz="0" w:space="0" w:color="auto"/>
        <w:right w:val="none" w:sz="0" w:space="0" w:color="auto"/>
      </w:divBdr>
    </w:div>
    <w:div w:id="1244560926">
      <w:bodyDiv w:val="1"/>
      <w:marLeft w:val="0"/>
      <w:marRight w:val="0"/>
      <w:marTop w:val="0"/>
      <w:marBottom w:val="0"/>
      <w:divBdr>
        <w:top w:val="none" w:sz="0" w:space="0" w:color="auto"/>
        <w:left w:val="none" w:sz="0" w:space="0" w:color="auto"/>
        <w:bottom w:val="none" w:sz="0" w:space="0" w:color="auto"/>
        <w:right w:val="none" w:sz="0" w:space="0" w:color="auto"/>
      </w:divBdr>
    </w:div>
    <w:div w:id="1286740453">
      <w:bodyDiv w:val="1"/>
      <w:marLeft w:val="0"/>
      <w:marRight w:val="0"/>
      <w:marTop w:val="0"/>
      <w:marBottom w:val="0"/>
      <w:divBdr>
        <w:top w:val="none" w:sz="0" w:space="0" w:color="auto"/>
        <w:left w:val="none" w:sz="0" w:space="0" w:color="auto"/>
        <w:bottom w:val="none" w:sz="0" w:space="0" w:color="auto"/>
        <w:right w:val="none" w:sz="0" w:space="0" w:color="auto"/>
      </w:divBdr>
    </w:div>
    <w:div w:id="17494242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511">
          <w:marLeft w:val="-3660"/>
          <w:marRight w:val="420"/>
          <w:marTop w:val="120"/>
          <w:marBottom w:val="300"/>
          <w:divBdr>
            <w:top w:val="none" w:sz="0" w:space="0" w:color="auto"/>
            <w:left w:val="none" w:sz="0" w:space="0" w:color="auto"/>
            <w:bottom w:val="none" w:sz="0" w:space="0" w:color="auto"/>
            <w:right w:val="none" w:sz="0" w:space="0" w:color="auto"/>
          </w:divBdr>
          <w:divsChild>
            <w:div w:id="1053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239">
      <w:bodyDiv w:val="1"/>
      <w:marLeft w:val="0"/>
      <w:marRight w:val="0"/>
      <w:marTop w:val="0"/>
      <w:marBottom w:val="0"/>
      <w:divBdr>
        <w:top w:val="none" w:sz="0" w:space="0" w:color="auto"/>
        <w:left w:val="none" w:sz="0" w:space="0" w:color="auto"/>
        <w:bottom w:val="none" w:sz="0" w:space="0" w:color="auto"/>
        <w:right w:val="none" w:sz="0" w:space="0" w:color="auto"/>
      </w:divBdr>
      <w:divsChild>
        <w:div w:id="1689991538">
          <w:marLeft w:val="-3660"/>
          <w:marRight w:val="420"/>
          <w:marTop w:val="120"/>
          <w:marBottom w:val="300"/>
          <w:divBdr>
            <w:top w:val="none" w:sz="0" w:space="0" w:color="auto"/>
            <w:left w:val="none" w:sz="0" w:space="0" w:color="auto"/>
            <w:bottom w:val="none" w:sz="0" w:space="0" w:color="auto"/>
            <w:right w:val="none" w:sz="0" w:space="0" w:color="auto"/>
          </w:divBdr>
          <w:divsChild>
            <w:div w:id="1221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Елена Александровна</dc:creator>
  <cp:keywords/>
  <dc:description/>
  <cp:lastModifiedBy>Погребная Анастасия Владиславовна</cp:lastModifiedBy>
  <cp:revision>100</cp:revision>
  <cp:lastPrinted>2025-06-30T10:02:00Z</cp:lastPrinted>
  <dcterms:created xsi:type="dcterms:W3CDTF">2025-07-02T13:22:00Z</dcterms:created>
  <dcterms:modified xsi:type="dcterms:W3CDTF">2025-08-05T12:41:00Z</dcterms:modified>
</cp:coreProperties>
</file>