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E76" w:rsidRDefault="00A80E76" w:rsidP="00A80E76">
      <w:pPr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Сравнительная таблица </w:t>
      </w:r>
    </w:p>
    <w:p w:rsidR="00A80E76" w:rsidRDefault="00A80E76" w:rsidP="00A80E76">
      <w:pPr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к проекту закона Приднестровской Молдавской Республики </w:t>
      </w:r>
    </w:p>
    <w:p w:rsidR="00A80E76" w:rsidRPr="00D33C20" w:rsidRDefault="00A80E76" w:rsidP="00A80E76">
      <w:pPr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«О внесении </w:t>
      </w:r>
      <w:r w:rsidRPr="00D33C20">
        <w:rPr>
          <w:b w:val="0"/>
          <w:color w:val="auto"/>
          <w:sz w:val="24"/>
          <w:szCs w:val="24"/>
        </w:rPr>
        <w:t xml:space="preserve">изменения в Закон Приднестровской Молдавской Республики </w:t>
      </w:r>
    </w:p>
    <w:p w:rsidR="00A80E76" w:rsidRDefault="00A80E76" w:rsidP="00A80E76">
      <w:pPr>
        <w:jc w:val="center"/>
        <w:rPr>
          <w:rFonts w:eastAsia="Calibri"/>
          <w:b w:val="0"/>
          <w:sz w:val="24"/>
          <w:szCs w:val="24"/>
        </w:rPr>
      </w:pPr>
      <w:r w:rsidRPr="00D33C20">
        <w:rPr>
          <w:b w:val="0"/>
          <w:color w:val="auto"/>
          <w:sz w:val="24"/>
          <w:szCs w:val="24"/>
        </w:rPr>
        <w:t>«</w:t>
      </w:r>
      <w:r w:rsidRPr="00D33C20">
        <w:rPr>
          <w:rFonts w:eastAsia="Calibri"/>
          <w:b w:val="0"/>
          <w:sz w:val="24"/>
          <w:szCs w:val="24"/>
        </w:rPr>
        <w:t>Об утверждении государствен</w:t>
      </w:r>
      <w:r>
        <w:rPr>
          <w:rFonts w:eastAsia="Calibri"/>
          <w:b w:val="0"/>
          <w:sz w:val="24"/>
          <w:szCs w:val="24"/>
        </w:rPr>
        <w:t xml:space="preserve">ной целевой программы «Развитие государственного образовательного учреждения «Приднестровский государственный университет </w:t>
      </w:r>
    </w:p>
    <w:p w:rsidR="00A80E76" w:rsidRDefault="00A80E76" w:rsidP="00A80E76">
      <w:pPr>
        <w:jc w:val="center"/>
        <w:rPr>
          <w:b w:val="0"/>
          <w:color w:val="auto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им. Т. Г. Шевченко» на 2025–2029 годы</w:t>
      </w:r>
      <w:r>
        <w:rPr>
          <w:b w:val="0"/>
          <w:color w:val="auto"/>
          <w:sz w:val="24"/>
          <w:szCs w:val="24"/>
        </w:rPr>
        <w:t>»</w:t>
      </w:r>
    </w:p>
    <w:p w:rsidR="00A80E76" w:rsidRDefault="00A80E76" w:rsidP="00A80E76">
      <w:pPr>
        <w:jc w:val="center"/>
        <w:rPr>
          <w:b w:val="0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0E76" w:rsidTr="007120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76" w:rsidRPr="00DB090C" w:rsidRDefault="00A80E76" w:rsidP="00712040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DB090C">
              <w:rPr>
                <w:color w:val="auto"/>
                <w:sz w:val="24"/>
                <w:szCs w:val="24"/>
                <w:lang w:eastAsia="en-US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76" w:rsidRPr="00DB090C" w:rsidRDefault="00A80E76" w:rsidP="00712040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DB090C">
              <w:rPr>
                <w:color w:val="auto"/>
                <w:sz w:val="24"/>
                <w:szCs w:val="24"/>
                <w:lang w:eastAsia="en-US"/>
              </w:rPr>
              <w:t>Предлагаемая редакция</w:t>
            </w:r>
          </w:p>
        </w:tc>
      </w:tr>
      <w:tr w:rsidR="00A80E76" w:rsidTr="007120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6" w:rsidRDefault="00A80E76" w:rsidP="00712040">
            <w:pPr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49.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представляются в порядке и в сроки, установленные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A80E76" w:rsidRDefault="00A80E76" w:rsidP="00712040">
            <w:pPr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76" w:rsidRDefault="00A80E76" w:rsidP="00712040">
            <w:pPr>
              <w:ind w:firstLine="708"/>
              <w:jc w:val="both"/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49. 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Отчеты об исполнении </w:t>
            </w:r>
            <w:r>
              <w:rPr>
                <w:b w:val="0"/>
                <w:color w:val="auto"/>
                <w:sz w:val="24"/>
                <w:szCs w:val="24"/>
                <w:lang w:eastAsia="en-US"/>
              </w:rPr>
              <w:t>Программы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</w:t>
            </w:r>
            <w:r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направляются </w:t>
            </w:r>
            <w:r>
              <w:rPr>
                <w:bCs w:val="0"/>
                <w:color w:val="auto"/>
                <w:sz w:val="24"/>
                <w:szCs w:val="24"/>
                <w:lang w:eastAsia="en-US"/>
              </w:rPr>
              <w:t>ответственным исполнителем Программы</w:t>
            </w:r>
            <w:r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на утверждение Верховному Совету Приднестровской Молдавской Республики до 15 марта текущего бюджетного года.</w:t>
            </w:r>
          </w:p>
          <w:p w:rsidR="00A80E76" w:rsidRDefault="00A80E76" w:rsidP="00712040">
            <w:pPr>
              <w:ind w:firstLine="708"/>
              <w:jc w:val="both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Отчеты об исполнении </w:t>
            </w:r>
            <w:r>
              <w:rPr>
                <w:color w:val="auto"/>
                <w:sz w:val="24"/>
                <w:szCs w:val="24"/>
                <w:lang w:eastAsia="en-US"/>
              </w:rPr>
              <w:t>Программы</w:t>
            </w:r>
            <w:r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</w:t>
            </w:r>
            <w:r>
              <w:rPr>
                <w:bCs w:val="0"/>
                <w:color w:val="auto"/>
                <w:sz w:val="24"/>
                <w:szCs w:val="24"/>
                <w:lang w:eastAsia="en-US"/>
              </w:rPr>
              <w:t>должны содержать информацию, установленную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Республики.</w:t>
            </w:r>
          </w:p>
        </w:tc>
      </w:tr>
      <w:tr w:rsidR="00A80E76" w:rsidTr="007120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6" w:rsidRDefault="00A80E76" w:rsidP="00712040">
            <w:pPr>
              <w:autoSpaceDE w:val="0"/>
              <w:autoSpaceDN w:val="0"/>
              <w:adjustRightInd w:val="0"/>
              <w:ind w:firstLine="708"/>
              <w:jc w:val="both"/>
              <w:textAlignment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50.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В целях реализации пункта 49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отчеты об исполнении Программы </w:t>
            </w:r>
            <w:r>
              <w:rPr>
                <w:b w:val="0"/>
                <w:sz w:val="24"/>
                <w:szCs w:val="24"/>
                <w:lang w:eastAsia="en-US"/>
              </w:rPr>
              <w:br/>
            </w:r>
            <w:r>
              <w:rPr>
                <w:b w:val="0"/>
                <w:i/>
                <w:sz w:val="24"/>
                <w:szCs w:val="24"/>
                <w:lang w:eastAsia="en-US"/>
              </w:rPr>
              <w:t>за истекший год и конечных результатах исполнения мероприятий Программы и эффективности использования финансовых средств за весь период ее реализации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предоставляются Президенту Приднестровской Молдавской Республики (как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учредителю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ПГУ) и в Правительство Приднестровской Молдавской Республики.</w:t>
            </w:r>
          </w:p>
          <w:p w:rsidR="00A80E76" w:rsidRDefault="00A80E76" w:rsidP="00712040">
            <w:pPr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76" w:rsidRDefault="00A80E76" w:rsidP="00712040">
            <w:pPr>
              <w:ind w:firstLine="747"/>
              <w:jc w:val="both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50. Отчеты об исполнении Программы, </w:t>
            </w:r>
            <w:r>
              <w:rPr>
                <w:bCs w:val="0"/>
                <w:color w:val="auto"/>
                <w:sz w:val="24"/>
                <w:szCs w:val="24"/>
                <w:lang w:eastAsia="en-US"/>
              </w:rPr>
              <w:t>указанные в пункте 49 Программы</w:t>
            </w:r>
            <w:r>
              <w:rPr>
                <w:b w:val="0"/>
                <w:bCs w:val="0"/>
                <w:color w:val="auto"/>
                <w:sz w:val="24"/>
                <w:szCs w:val="24"/>
                <w:lang w:eastAsia="en-US"/>
              </w:rPr>
              <w:t>, предоставляются ответственным исполнителем Программы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Президенту Приднестровской Молдавской Республики (как </w:t>
            </w:r>
            <w:r>
              <w:rPr>
                <w:bCs w:val="0"/>
                <w:color w:val="auto"/>
                <w:sz w:val="24"/>
                <w:szCs w:val="24"/>
                <w:lang w:eastAsia="en-US"/>
              </w:rPr>
              <w:t>субъекту, осуществляющему полномочия учредителя</w:t>
            </w:r>
            <w:r>
              <w:rPr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ПГУ) и в Правительство Приднестровской Молдавской Республики</w:t>
            </w:r>
            <w:bookmarkStart w:id="0" w:name="_GoBack"/>
            <w:bookmarkEnd w:id="0"/>
            <w:r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до 15 марта текущего бюджетного года.</w:t>
            </w:r>
          </w:p>
        </w:tc>
      </w:tr>
    </w:tbl>
    <w:p w:rsidR="00A80E76" w:rsidRDefault="00A80E76" w:rsidP="00A80E76">
      <w:pPr>
        <w:jc w:val="right"/>
        <w:rPr>
          <w:b w:val="0"/>
          <w:color w:val="auto"/>
          <w:sz w:val="24"/>
          <w:szCs w:val="24"/>
        </w:rPr>
      </w:pPr>
    </w:p>
    <w:p w:rsidR="009A542C" w:rsidRDefault="009A542C"/>
    <w:sectPr w:rsidR="009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76"/>
    <w:rsid w:val="009A542C"/>
    <w:rsid w:val="00A80E76"/>
    <w:rsid w:val="00D3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F8E8"/>
  <w15:chartTrackingRefBased/>
  <w15:docId w15:val="{20E5D331-72D9-44FB-BDA0-675C7FD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E7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2025-08-18T12:36:00Z</dcterms:created>
  <dcterms:modified xsi:type="dcterms:W3CDTF">2025-08-18T13:36:00Z</dcterms:modified>
</cp:coreProperties>
</file>