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D3F9D" w14:textId="77777777" w:rsidR="00A352C1" w:rsidRPr="00A352C1" w:rsidRDefault="00A352C1" w:rsidP="00A352C1">
      <w:pPr>
        <w:spacing w:after="0" w:line="240" w:lineRule="auto"/>
        <w:jc w:val="center"/>
        <w:rPr>
          <w:rFonts w:ascii="Times New Roman" w:eastAsia="Times New Roman" w:hAnsi="Times New Roman" w:cs="Times New Roman"/>
          <w:sz w:val="24"/>
          <w:szCs w:val="24"/>
          <w:lang w:eastAsia="ru-RU"/>
        </w:rPr>
      </w:pPr>
      <w:r w:rsidRPr="00A352C1">
        <w:rPr>
          <w:rFonts w:ascii="Times New Roman" w:eastAsia="Times New Roman" w:hAnsi="Times New Roman" w:cs="Times New Roman"/>
          <w:sz w:val="24"/>
          <w:szCs w:val="24"/>
          <w:lang w:eastAsia="ru-RU"/>
        </w:rPr>
        <w:t>Сравнительная таблица</w:t>
      </w:r>
    </w:p>
    <w:p w14:paraId="209E5316" w14:textId="77777777" w:rsidR="00A352C1" w:rsidRPr="00A352C1" w:rsidRDefault="00A352C1" w:rsidP="00A352C1">
      <w:pPr>
        <w:spacing w:after="0" w:line="240" w:lineRule="auto"/>
        <w:jc w:val="center"/>
        <w:rPr>
          <w:rFonts w:ascii="Times New Roman" w:eastAsia="Times New Roman" w:hAnsi="Times New Roman" w:cs="Times New Roman"/>
          <w:sz w:val="24"/>
          <w:szCs w:val="24"/>
          <w:lang w:eastAsia="ru-RU"/>
        </w:rPr>
      </w:pPr>
      <w:r w:rsidRPr="00A352C1">
        <w:rPr>
          <w:rFonts w:ascii="Times New Roman" w:eastAsia="Times New Roman" w:hAnsi="Times New Roman" w:cs="Times New Roman"/>
          <w:sz w:val="24"/>
          <w:szCs w:val="24"/>
          <w:lang w:eastAsia="ru-RU"/>
        </w:rPr>
        <w:t xml:space="preserve">к проекту закона Приднестровской Молдавской Республики  </w:t>
      </w:r>
    </w:p>
    <w:p w14:paraId="74E63FF1" w14:textId="77777777" w:rsidR="00A352C1" w:rsidRPr="00A352C1" w:rsidRDefault="00A352C1" w:rsidP="00A352C1">
      <w:pPr>
        <w:spacing w:after="0" w:line="240" w:lineRule="auto"/>
        <w:jc w:val="center"/>
        <w:rPr>
          <w:rFonts w:ascii="Times New Roman" w:eastAsia="Times New Roman" w:hAnsi="Times New Roman" w:cs="Times New Roman"/>
          <w:sz w:val="24"/>
          <w:szCs w:val="24"/>
          <w:lang w:eastAsia="ru-RU"/>
        </w:rPr>
      </w:pPr>
      <w:r w:rsidRPr="00A352C1">
        <w:rPr>
          <w:rFonts w:ascii="Times New Roman" w:eastAsia="Times New Roman" w:hAnsi="Times New Roman" w:cs="Times New Roman"/>
          <w:sz w:val="24"/>
          <w:szCs w:val="24"/>
          <w:lang w:eastAsia="ru-RU"/>
        </w:rPr>
        <w:t xml:space="preserve">«О внесении изменений в Закон Приднестровской Молдавской Республики </w:t>
      </w:r>
    </w:p>
    <w:p w14:paraId="402FEF4C" w14:textId="1EDEDBE9" w:rsidR="00A352C1" w:rsidRDefault="00A352C1" w:rsidP="00A352C1">
      <w:pPr>
        <w:spacing w:after="0" w:line="240" w:lineRule="auto"/>
        <w:jc w:val="center"/>
        <w:rPr>
          <w:rFonts w:ascii="Times New Roman" w:eastAsia="Times New Roman" w:hAnsi="Times New Roman" w:cs="Times New Roman"/>
          <w:sz w:val="24"/>
          <w:szCs w:val="24"/>
          <w:lang w:eastAsia="ru-RU"/>
        </w:rPr>
      </w:pPr>
      <w:r w:rsidRPr="00A352C1">
        <w:rPr>
          <w:rFonts w:ascii="Times New Roman" w:eastAsia="Times New Roman" w:hAnsi="Times New Roman" w:cs="Times New Roman"/>
          <w:sz w:val="24"/>
          <w:szCs w:val="24"/>
          <w:lang w:eastAsia="ru-RU"/>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p>
    <w:p w14:paraId="4D6E5383" w14:textId="77777777" w:rsidR="00A352C1" w:rsidRPr="00A352C1" w:rsidRDefault="00A352C1" w:rsidP="00A352C1">
      <w:pPr>
        <w:spacing w:after="0" w:line="240" w:lineRule="auto"/>
        <w:jc w:val="center"/>
        <w:rPr>
          <w:rFonts w:ascii="Times New Roman" w:eastAsia="Times New Roman" w:hAnsi="Times New Roman" w:cs="Times New Roman"/>
          <w:sz w:val="24"/>
          <w:szCs w:val="24"/>
          <w:lang w:eastAsia="ru-RU"/>
        </w:rPr>
      </w:pPr>
    </w:p>
    <w:tbl>
      <w:tblPr>
        <w:tblStyle w:val="1"/>
        <w:tblW w:w="10491" w:type="dxa"/>
        <w:tblInd w:w="-998" w:type="dxa"/>
        <w:tblLook w:val="04A0" w:firstRow="1" w:lastRow="0" w:firstColumn="1" w:lastColumn="0" w:noHBand="0" w:noVBand="1"/>
      </w:tblPr>
      <w:tblGrid>
        <w:gridCol w:w="851"/>
        <w:gridCol w:w="4820"/>
        <w:gridCol w:w="4820"/>
      </w:tblGrid>
      <w:tr w:rsidR="00A352C1" w:rsidRPr="00A352C1" w14:paraId="36F4B2D9" w14:textId="77777777" w:rsidTr="002D0659">
        <w:tc>
          <w:tcPr>
            <w:tcW w:w="851" w:type="dxa"/>
          </w:tcPr>
          <w:p w14:paraId="2C56B640" w14:textId="77777777" w:rsidR="00A352C1" w:rsidRPr="00A352C1" w:rsidRDefault="00A352C1" w:rsidP="00A352C1">
            <w:pPr>
              <w:spacing w:line="240" w:lineRule="auto"/>
              <w:jc w:val="center"/>
              <w:rPr>
                <w:b/>
                <w:sz w:val="24"/>
                <w:szCs w:val="24"/>
              </w:rPr>
            </w:pPr>
            <w:r w:rsidRPr="00A352C1">
              <w:rPr>
                <w:b/>
                <w:sz w:val="24"/>
                <w:szCs w:val="24"/>
              </w:rPr>
              <w:t>№ п/п</w:t>
            </w:r>
          </w:p>
        </w:tc>
        <w:tc>
          <w:tcPr>
            <w:tcW w:w="4820" w:type="dxa"/>
          </w:tcPr>
          <w:p w14:paraId="159A7EC2" w14:textId="77777777" w:rsidR="00A352C1" w:rsidRPr="00A352C1" w:rsidRDefault="00A352C1" w:rsidP="00A352C1">
            <w:pPr>
              <w:spacing w:line="240" w:lineRule="auto"/>
              <w:jc w:val="center"/>
              <w:rPr>
                <w:b/>
                <w:sz w:val="24"/>
                <w:szCs w:val="24"/>
              </w:rPr>
            </w:pPr>
            <w:r w:rsidRPr="00A352C1">
              <w:rPr>
                <w:b/>
                <w:sz w:val="24"/>
                <w:szCs w:val="24"/>
              </w:rPr>
              <w:t>Действующая редакция</w:t>
            </w:r>
          </w:p>
          <w:p w14:paraId="62FD9338" w14:textId="77777777" w:rsidR="00A352C1" w:rsidRPr="00A352C1" w:rsidRDefault="00A352C1" w:rsidP="00A352C1">
            <w:pPr>
              <w:spacing w:line="240" w:lineRule="auto"/>
              <w:jc w:val="center"/>
              <w:rPr>
                <w:b/>
                <w:sz w:val="24"/>
                <w:szCs w:val="24"/>
              </w:rPr>
            </w:pPr>
          </w:p>
        </w:tc>
        <w:tc>
          <w:tcPr>
            <w:tcW w:w="4820" w:type="dxa"/>
          </w:tcPr>
          <w:p w14:paraId="3505B4C5" w14:textId="77777777" w:rsidR="00A352C1" w:rsidRPr="00A352C1" w:rsidRDefault="00A352C1" w:rsidP="00A352C1">
            <w:pPr>
              <w:spacing w:line="240" w:lineRule="auto"/>
              <w:jc w:val="center"/>
              <w:rPr>
                <w:b/>
                <w:sz w:val="24"/>
                <w:szCs w:val="24"/>
              </w:rPr>
            </w:pPr>
            <w:r w:rsidRPr="00A352C1">
              <w:rPr>
                <w:b/>
                <w:sz w:val="24"/>
                <w:szCs w:val="24"/>
              </w:rPr>
              <w:t>Предлагаемая редакция</w:t>
            </w:r>
          </w:p>
        </w:tc>
      </w:tr>
      <w:tr w:rsidR="00A352C1" w:rsidRPr="00A352C1" w14:paraId="13ECC10B" w14:textId="77777777" w:rsidTr="002D0659">
        <w:tc>
          <w:tcPr>
            <w:tcW w:w="851" w:type="dxa"/>
          </w:tcPr>
          <w:p w14:paraId="647DFB08" w14:textId="77777777" w:rsidR="00A352C1" w:rsidRPr="00A352C1" w:rsidRDefault="00A352C1" w:rsidP="00A352C1">
            <w:pPr>
              <w:spacing w:line="240" w:lineRule="auto"/>
              <w:jc w:val="center"/>
              <w:rPr>
                <w:bCs/>
                <w:sz w:val="24"/>
                <w:szCs w:val="24"/>
              </w:rPr>
            </w:pPr>
            <w:r w:rsidRPr="00A352C1">
              <w:rPr>
                <w:bCs/>
                <w:sz w:val="24"/>
                <w:szCs w:val="24"/>
              </w:rPr>
              <w:t>1.</w:t>
            </w:r>
          </w:p>
        </w:tc>
        <w:tc>
          <w:tcPr>
            <w:tcW w:w="4820" w:type="dxa"/>
          </w:tcPr>
          <w:p w14:paraId="501457B1" w14:textId="77777777" w:rsidR="00A352C1" w:rsidRPr="00A352C1" w:rsidRDefault="00A352C1" w:rsidP="00A352C1">
            <w:pPr>
              <w:autoSpaceDE w:val="0"/>
              <w:autoSpaceDN w:val="0"/>
              <w:adjustRightInd w:val="0"/>
              <w:spacing w:line="240" w:lineRule="auto"/>
              <w:ind w:firstLine="709"/>
              <w:jc w:val="both"/>
              <w:rPr>
                <w:b/>
                <w:sz w:val="24"/>
                <w:szCs w:val="24"/>
              </w:rPr>
            </w:pPr>
            <w:r w:rsidRPr="00A352C1">
              <w:rPr>
                <w:b/>
                <w:sz w:val="24"/>
                <w:szCs w:val="24"/>
              </w:rPr>
              <w:t>Статья 11.</w:t>
            </w:r>
          </w:p>
          <w:p w14:paraId="37750FD2" w14:textId="77777777" w:rsidR="00A352C1" w:rsidRPr="00A352C1" w:rsidRDefault="00A352C1" w:rsidP="00A352C1">
            <w:pPr>
              <w:spacing w:line="240" w:lineRule="auto"/>
              <w:ind w:firstLine="709"/>
              <w:contextualSpacing/>
              <w:jc w:val="both"/>
              <w:rPr>
                <w:sz w:val="24"/>
                <w:szCs w:val="24"/>
              </w:rPr>
            </w:pPr>
            <w:r w:rsidRPr="00A352C1">
              <w:rPr>
                <w:sz w:val="24"/>
                <w:szCs w:val="24"/>
              </w:rPr>
              <w:t>На период с 1 января 2025 года по 31 декабря 2025 года Правительство Приднестровской Молдавской Республики вправе своим нормативным правовым актом установить:</w:t>
            </w:r>
          </w:p>
          <w:p w14:paraId="20ECC20F" w14:textId="77777777" w:rsidR="00A352C1" w:rsidRPr="00A352C1" w:rsidRDefault="00A352C1" w:rsidP="00A352C1">
            <w:pPr>
              <w:spacing w:line="240" w:lineRule="auto"/>
              <w:ind w:firstLine="709"/>
              <w:contextualSpacing/>
              <w:jc w:val="both"/>
              <w:rPr>
                <w:sz w:val="24"/>
                <w:szCs w:val="24"/>
              </w:rPr>
            </w:pPr>
            <w:r w:rsidRPr="00A352C1">
              <w:rPr>
                <w:sz w:val="24"/>
                <w:szCs w:val="24"/>
              </w:rPr>
              <w:t>а) порядок ограничения принятия главными распорядителями бюджетных средств новых бюджетных обязательств;</w:t>
            </w:r>
          </w:p>
          <w:p w14:paraId="35DD79F7" w14:textId="77777777" w:rsidR="00A352C1" w:rsidRPr="00A352C1" w:rsidRDefault="00A352C1" w:rsidP="00A352C1">
            <w:pPr>
              <w:spacing w:line="240" w:lineRule="auto"/>
              <w:ind w:firstLine="709"/>
              <w:contextualSpacing/>
              <w:jc w:val="both"/>
              <w:rPr>
                <w:sz w:val="24"/>
                <w:szCs w:val="24"/>
              </w:rPr>
            </w:pPr>
            <w:r w:rsidRPr="00A352C1">
              <w:rPr>
                <w:sz w:val="24"/>
                <w:szCs w:val="24"/>
              </w:rPr>
              <w:t>б) порядок исполнения или изменения принятых бюджетных обязательств главными распорядителями бюджетных средств;</w:t>
            </w:r>
          </w:p>
          <w:p w14:paraId="0C9CBB45" w14:textId="77777777" w:rsidR="00A352C1" w:rsidRPr="00A352C1" w:rsidRDefault="00A352C1" w:rsidP="00A352C1">
            <w:pPr>
              <w:spacing w:line="240" w:lineRule="auto"/>
              <w:ind w:firstLine="740"/>
              <w:jc w:val="both"/>
              <w:rPr>
                <w:bCs/>
                <w:sz w:val="24"/>
                <w:szCs w:val="24"/>
              </w:rPr>
            </w:pPr>
            <w:r w:rsidRPr="00A352C1">
              <w:rPr>
                <w:sz w:val="24"/>
                <w:szCs w:val="24"/>
              </w:rPr>
              <w:t>в) порядок ограничения финансирования расходов бюджетов различных уровней, за исключением социально защищенных статей (направлений).</w:t>
            </w:r>
          </w:p>
        </w:tc>
        <w:tc>
          <w:tcPr>
            <w:tcW w:w="4820" w:type="dxa"/>
          </w:tcPr>
          <w:p w14:paraId="73C904EE" w14:textId="77777777" w:rsidR="00A352C1" w:rsidRPr="00A352C1" w:rsidRDefault="00A352C1" w:rsidP="00A352C1">
            <w:pPr>
              <w:autoSpaceDE w:val="0"/>
              <w:autoSpaceDN w:val="0"/>
              <w:adjustRightInd w:val="0"/>
              <w:spacing w:line="240" w:lineRule="auto"/>
              <w:ind w:firstLine="709"/>
              <w:jc w:val="both"/>
              <w:rPr>
                <w:b/>
                <w:sz w:val="24"/>
                <w:szCs w:val="24"/>
              </w:rPr>
            </w:pPr>
            <w:r w:rsidRPr="00A352C1">
              <w:rPr>
                <w:b/>
                <w:sz w:val="24"/>
                <w:szCs w:val="24"/>
              </w:rPr>
              <w:t>Статья 11.</w:t>
            </w:r>
          </w:p>
          <w:p w14:paraId="01CF0784" w14:textId="77777777" w:rsidR="00A352C1" w:rsidRPr="00A352C1" w:rsidRDefault="00A352C1" w:rsidP="00A352C1">
            <w:pPr>
              <w:spacing w:line="240" w:lineRule="auto"/>
              <w:ind w:firstLine="709"/>
              <w:contextualSpacing/>
              <w:jc w:val="both"/>
              <w:rPr>
                <w:sz w:val="24"/>
                <w:szCs w:val="24"/>
              </w:rPr>
            </w:pPr>
            <w:r w:rsidRPr="00A352C1">
              <w:rPr>
                <w:sz w:val="24"/>
                <w:szCs w:val="24"/>
              </w:rPr>
              <w:t>На период с 1 января 2025 года по 31 декабря 2025 года Правительство Приднестровской Молдавской Республики вправе своим нормативным правовым актом установить:</w:t>
            </w:r>
          </w:p>
          <w:p w14:paraId="7E5FF98A" w14:textId="77777777" w:rsidR="00A352C1" w:rsidRPr="00A352C1" w:rsidRDefault="00A352C1" w:rsidP="00A352C1">
            <w:pPr>
              <w:spacing w:line="240" w:lineRule="auto"/>
              <w:ind w:firstLine="709"/>
              <w:contextualSpacing/>
              <w:jc w:val="both"/>
              <w:rPr>
                <w:sz w:val="24"/>
                <w:szCs w:val="24"/>
              </w:rPr>
            </w:pPr>
            <w:r w:rsidRPr="00A352C1">
              <w:rPr>
                <w:sz w:val="24"/>
                <w:szCs w:val="24"/>
              </w:rPr>
              <w:t xml:space="preserve">а) порядок </w:t>
            </w:r>
            <w:r w:rsidRPr="00A352C1">
              <w:rPr>
                <w:bCs/>
                <w:sz w:val="24"/>
                <w:szCs w:val="24"/>
              </w:rPr>
              <w:t>и с</w:t>
            </w:r>
            <w:bookmarkStart w:id="0" w:name="_GoBack"/>
            <w:bookmarkEnd w:id="0"/>
            <w:r w:rsidRPr="00A352C1">
              <w:rPr>
                <w:bCs/>
                <w:sz w:val="24"/>
                <w:szCs w:val="24"/>
              </w:rPr>
              <w:t>роки</w:t>
            </w:r>
            <w:r w:rsidRPr="00A352C1">
              <w:rPr>
                <w:sz w:val="24"/>
                <w:szCs w:val="24"/>
              </w:rPr>
              <w:t xml:space="preserve"> ограничения принятия главными распорядителями бюджетных средств новых бюджетных обязательств;</w:t>
            </w:r>
          </w:p>
          <w:p w14:paraId="42F511E1" w14:textId="77777777" w:rsidR="00A352C1" w:rsidRPr="00A352C1" w:rsidRDefault="00A352C1" w:rsidP="00A352C1">
            <w:pPr>
              <w:spacing w:line="240" w:lineRule="auto"/>
              <w:ind w:firstLine="709"/>
              <w:contextualSpacing/>
              <w:jc w:val="both"/>
              <w:rPr>
                <w:sz w:val="24"/>
                <w:szCs w:val="24"/>
              </w:rPr>
            </w:pPr>
            <w:r w:rsidRPr="00A352C1">
              <w:rPr>
                <w:sz w:val="24"/>
                <w:szCs w:val="24"/>
              </w:rPr>
              <w:t>б) порядок исполнения или изменения принятых бюджетных обязательств главными распорядителями бюджетных средств;</w:t>
            </w:r>
          </w:p>
          <w:p w14:paraId="4EBBC120" w14:textId="77777777" w:rsidR="00A352C1" w:rsidRPr="00A352C1" w:rsidRDefault="00A352C1" w:rsidP="00A352C1">
            <w:pPr>
              <w:spacing w:line="240" w:lineRule="auto"/>
              <w:ind w:firstLine="709"/>
              <w:jc w:val="both"/>
              <w:rPr>
                <w:bCs/>
                <w:sz w:val="24"/>
                <w:szCs w:val="24"/>
              </w:rPr>
            </w:pPr>
            <w:r w:rsidRPr="00A352C1">
              <w:rPr>
                <w:sz w:val="24"/>
                <w:szCs w:val="24"/>
              </w:rPr>
              <w:t>в) порядок ограничения финансирования расходов бюджетов различных уровней, за исключением социально защищенных статей (направлений).</w:t>
            </w:r>
          </w:p>
        </w:tc>
      </w:tr>
      <w:tr w:rsidR="00A352C1" w:rsidRPr="00A352C1" w14:paraId="303C0875" w14:textId="77777777" w:rsidTr="002D0659">
        <w:tc>
          <w:tcPr>
            <w:tcW w:w="851" w:type="dxa"/>
          </w:tcPr>
          <w:p w14:paraId="7CB6835B" w14:textId="77777777" w:rsidR="00A352C1" w:rsidRPr="00A352C1" w:rsidRDefault="00A352C1" w:rsidP="00A352C1">
            <w:pPr>
              <w:spacing w:line="240" w:lineRule="auto"/>
              <w:jc w:val="center"/>
              <w:rPr>
                <w:sz w:val="24"/>
                <w:szCs w:val="24"/>
              </w:rPr>
            </w:pPr>
            <w:r w:rsidRPr="00A352C1">
              <w:rPr>
                <w:sz w:val="24"/>
                <w:szCs w:val="24"/>
              </w:rPr>
              <w:t>2.</w:t>
            </w:r>
          </w:p>
        </w:tc>
        <w:tc>
          <w:tcPr>
            <w:tcW w:w="4820" w:type="dxa"/>
          </w:tcPr>
          <w:p w14:paraId="00DA3B64" w14:textId="77777777" w:rsidR="00A352C1" w:rsidRPr="00A352C1" w:rsidRDefault="00A352C1" w:rsidP="00A352C1">
            <w:pPr>
              <w:spacing w:line="240" w:lineRule="auto"/>
              <w:ind w:firstLine="709"/>
              <w:jc w:val="both"/>
              <w:rPr>
                <w:b/>
                <w:sz w:val="24"/>
                <w:szCs w:val="24"/>
              </w:rPr>
            </w:pPr>
            <w:r w:rsidRPr="00A352C1">
              <w:rPr>
                <w:b/>
                <w:sz w:val="24"/>
                <w:szCs w:val="24"/>
              </w:rPr>
              <w:t>Статья 11-1.</w:t>
            </w:r>
          </w:p>
          <w:p w14:paraId="4F250C39"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 xml:space="preserve">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Тирасполя, направить часть остатка средств, не имеющих целевого назначения, на счетах местного бюджета города Тирасполя по состоянию на 20 июня 2025 года в сумме 75 000 000 рублей Приднестровской Молдавской Республики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w:t>
            </w:r>
            <w:r w:rsidRPr="00A352C1">
              <w:rPr>
                <w:sz w:val="24"/>
                <w:szCs w:val="24"/>
              </w:rPr>
              <w:br/>
              <w:t>«О республиканском бюджете на 2025 год».</w:t>
            </w:r>
          </w:p>
          <w:p w14:paraId="5B52B695"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 xml:space="preserve">В целях обеспечения сбалансированности местного бюджета города Тирасполя предоставить право исполнительному органу государственной </w:t>
            </w:r>
            <w:r w:rsidRPr="00A352C1">
              <w:rPr>
                <w:sz w:val="24"/>
                <w:szCs w:val="24"/>
              </w:rPr>
              <w:lastRenderedPageBreak/>
              <w:t xml:space="preserve">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w:t>
            </w:r>
            <w:r w:rsidRPr="00A352C1">
              <w:rPr>
                <w:sz w:val="24"/>
                <w:szCs w:val="24"/>
              </w:rPr>
              <w:br/>
              <w:t xml:space="preserve">«О республиканском бюджете на 2025 год». </w:t>
            </w:r>
          </w:p>
          <w:p w14:paraId="0F334933" w14:textId="77777777" w:rsidR="00A352C1" w:rsidRPr="00A352C1" w:rsidRDefault="00A352C1" w:rsidP="00A352C1">
            <w:pPr>
              <w:spacing w:line="240" w:lineRule="auto"/>
              <w:ind w:firstLine="709"/>
              <w:jc w:val="both"/>
              <w:rPr>
                <w:sz w:val="24"/>
                <w:szCs w:val="24"/>
              </w:rPr>
            </w:pPr>
            <w:r w:rsidRPr="00A352C1">
              <w:rPr>
                <w:sz w:val="24"/>
                <w:szCs w:val="24"/>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w:t>
            </w:r>
            <w:r w:rsidRPr="00A352C1">
              <w:rPr>
                <w:sz w:val="24"/>
                <w:szCs w:val="24"/>
              </w:rPr>
              <w:br/>
              <w:t xml:space="preserve">в 2009–2010 годах из республиканского бюджета посредством субсидий, </w:t>
            </w:r>
            <w:r w:rsidRPr="00A352C1">
              <w:rPr>
                <w:sz w:val="24"/>
                <w:szCs w:val="24"/>
              </w:rPr>
              <w:br/>
              <w:t xml:space="preserve">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субсидий из республиканского бюджета, а также средств, необходимых для исполнения ранее принятых бюджетных обязательств за счет средств, имеющих целевое назначение, на счетах местных бюджетов по состоянию на 1 июля 2025 года, в сумме 31 771 897 рублей </w:t>
            </w:r>
            <w:bookmarkStart w:id="1" w:name="_Hlk203403133"/>
            <w:r w:rsidRPr="00A352C1">
              <w:rPr>
                <w:sz w:val="24"/>
                <w:szCs w:val="24"/>
              </w:rPr>
              <w:t>Приднестровской Молдавской Республики</w:t>
            </w:r>
            <w:bookmarkEnd w:id="1"/>
            <w:r w:rsidRPr="00A352C1">
              <w:rPr>
                <w:sz w:val="24"/>
                <w:szCs w:val="24"/>
              </w:rPr>
              <w:t xml:space="preserve">, в том числе: </w:t>
            </w:r>
          </w:p>
          <w:p w14:paraId="3D8BDF8D"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а) городу Тирасполю – 16 746 527 рублей Приднестровской Молдавской Республики;</w:t>
            </w:r>
          </w:p>
          <w:p w14:paraId="3A0BFCA4"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 xml:space="preserve">б) городу </w:t>
            </w:r>
            <w:proofErr w:type="spellStart"/>
            <w:r w:rsidRPr="00A352C1">
              <w:rPr>
                <w:sz w:val="24"/>
                <w:szCs w:val="24"/>
              </w:rPr>
              <w:t>Днестровску</w:t>
            </w:r>
            <w:proofErr w:type="spellEnd"/>
            <w:r w:rsidRPr="00A352C1">
              <w:rPr>
                <w:sz w:val="24"/>
                <w:szCs w:val="24"/>
              </w:rPr>
              <w:t xml:space="preserve"> – 9 614 376 рублей Приднестровской Молдавской Республики;</w:t>
            </w:r>
          </w:p>
          <w:p w14:paraId="78E7DFF0"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в) городу Бендеры – 1 669 334 рубля Приднестровской Молдавской Республики;</w:t>
            </w:r>
          </w:p>
          <w:p w14:paraId="7286FB83"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 xml:space="preserve">г) городу Рыбнице и </w:t>
            </w:r>
            <w:proofErr w:type="spellStart"/>
            <w:r w:rsidRPr="00A352C1">
              <w:rPr>
                <w:sz w:val="24"/>
                <w:szCs w:val="24"/>
              </w:rPr>
              <w:t>Рыбницкому</w:t>
            </w:r>
            <w:proofErr w:type="spellEnd"/>
            <w:r w:rsidRPr="00A352C1">
              <w:rPr>
                <w:sz w:val="24"/>
                <w:szCs w:val="24"/>
              </w:rPr>
              <w:t xml:space="preserve"> району – 764 961 рубль Приднестровской Молдавской Республики; </w:t>
            </w:r>
          </w:p>
          <w:p w14:paraId="3F6BBE36"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lastRenderedPageBreak/>
              <w:t xml:space="preserve">д) городу Дубоссары и </w:t>
            </w:r>
            <w:proofErr w:type="spellStart"/>
            <w:r w:rsidRPr="00A352C1">
              <w:rPr>
                <w:sz w:val="24"/>
                <w:szCs w:val="24"/>
              </w:rPr>
              <w:t>Дубоссарскому</w:t>
            </w:r>
            <w:proofErr w:type="spellEnd"/>
            <w:r w:rsidRPr="00A352C1">
              <w:rPr>
                <w:sz w:val="24"/>
                <w:szCs w:val="24"/>
              </w:rPr>
              <w:t xml:space="preserve"> району – 53 524 рубля Приднестровской Молдавской Республики;</w:t>
            </w:r>
          </w:p>
          <w:p w14:paraId="236CED91"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 xml:space="preserve">е) городу </w:t>
            </w:r>
            <w:proofErr w:type="spellStart"/>
            <w:r w:rsidRPr="00A352C1">
              <w:rPr>
                <w:sz w:val="24"/>
                <w:szCs w:val="24"/>
              </w:rPr>
              <w:t>Слободзее</w:t>
            </w:r>
            <w:proofErr w:type="spellEnd"/>
            <w:r w:rsidRPr="00A352C1">
              <w:rPr>
                <w:sz w:val="24"/>
                <w:szCs w:val="24"/>
              </w:rPr>
              <w:t xml:space="preserve"> и </w:t>
            </w:r>
            <w:proofErr w:type="spellStart"/>
            <w:r w:rsidRPr="00A352C1">
              <w:rPr>
                <w:sz w:val="24"/>
                <w:szCs w:val="24"/>
              </w:rPr>
              <w:t>Слободзейскому</w:t>
            </w:r>
            <w:proofErr w:type="spellEnd"/>
            <w:r w:rsidRPr="00A352C1">
              <w:rPr>
                <w:sz w:val="24"/>
                <w:szCs w:val="24"/>
              </w:rPr>
              <w:t xml:space="preserve"> району – 1 608 643 рубля Приднестровской Молдавской Республики;</w:t>
            </w:r>
          </w:p>
          <w:p w14:paraId="24E2A640"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 xml:space="preserve">ж) городу Григориополю и </w:t>
            </w:r>
            <w:proofErr w:type="spellStart"/>
            <w:r w:rsidRPr="00A352C1">
              <w:rPr>
                <w:sz w:val="24"/>
                <w:szCs w:val="24"/>
              </w:rPr>
              <w:t>Григориопольскому</w:t>
            </w:r>
            <w:proofErr w:type="spellEnd"/>
            <w:r w:rsidRPr="00A352C1">
              <w:rPr>
                <w:sz w:val="24"/>
                <w:szCs w:val="24"/>
              </w:rPr>
              <w:t xml:space="preserve"> району – 135 577 рублей Приднестровской Молдавской Республики;</w:t>
            </w:r>
          </w:p>
          <w:p w14:paraId="26109F2C" w14:textId="77777777" w:rsidR="00A352C1" w:rsidRPr="00A352C1" w:rsidRDefault="00A352C1" w:rsidP="00A352C1">
            <w:pPr>
              <w:tabs>
                <w:tab w:val="left" w:pos="1134"/>
              </w:tabs>
              <w:spacing w:line="240" w:lineRule="auto"/>
              <w:ind w:firstLine="709"/>
              <w:jc w:val="both"/>
              <w:rPr>
                <w:sz w:val="24"/>
                <w:szCs w:val="24"/>
              </w:rPr>
            </w:pPr>
            <w:r w:rsidRPr="00A352C1">
              <w:rPr>
                <w:sz w:val="24"/>
                <w:szCs w:val="24"/>
              </w:rPr>
              <w:t>з) городу Каменке и Каменскому району – 1 178 955 рублей Приднестровской Молдавской Республики, –</w:t>
            </w:r>
          </w:p>
          <w:p w14:paraId="66B71E1E" w14:textId="77777777" w:rsidR="00A352C1" w:rsidRPr="00A352C1" w:rsidRDefault="00A352C1" w:rsidP="00A352C1">
            <w:pPr>
              <w:spacing w:line="240" w:lineRule="auto"/>
              <w:ind w:firstLine="709"/>
              <w:jc w:val="both"/>
              <w:rPr>
                <w:sz w:val="24"/>
                <w:szCs w:val="24"/>
              </w:rPr>
            </w:pPr>
            <w:r w:rsidRPr="00A352C1">
              <w:rPr>
                <w:sz w:val="24"/>
                <w:szCs w:val="24"/>
              </w:rPr>
              <w:t xml:space="preserve">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w:t>
            </w:r>
            <w:r w:rsidRPr="00A352C1">
              <w:rPr>
                <w:sz w:val="24"/>
                <w:szCs w:val="24"/>
              </w:rPr>
              <w:br/>
              <w:t>а также на оплату принятых бюджетных обязательств за счет средств, имеющих целевое назначение, с последующим внесением изменений в Закон Приднестровской Молдавской Республики «О республиканском бюджете на 2025 год».</w:t>
            </w:r>
          </w:p>
          <w:p w14:paraId="1A0B5B83"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w:t>
            </w:r>
            <w:r w:rsidRPr="00A352C1">
              <w:rPr>
                <w:sz w:val="24"/>
                <w:szCs w:val="24"/>
              </w:rPr>
              <w:lastRenderedPageBreak/>
              <w:t>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а также на оплату принятых бюджетных обязательств за счет средств, имеющих соответствующий целевой источник финансирования, с последующим внесением изменений в Закон Приднестровской Молдавской Республики «О республиканском бюджете на 2025 год».</w:t>
            </w:r>
          </w:p>
          <w:p w14:paraId="40C278AC"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порядок обращения исполнительных органов государственной власти, ответственных за исполнение местных бюджетов городов (районов), по выделению средств из республиканского бюджета местным бюджетам городов (районов), а также порядок их финансирования устанавливаются правовым актом Правительства Приднестровской Молдавской Республики.</w:t>
            </w:r>
          </w:p>
          <w:p w14:paraId="7F9C2E48"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 xml:space="preserve">В целях обеспечения сбалансированности местного бюджета города </w:t>
            </w:r>
            <w:proofErr w:type="spellStart"/>
            <w:r w:rsidRPr="00A352C1">
              <w:rPr>
                <w:sz w:val="24"/>
                <w:szCs w:val="24"/>
              </w:rPr>
              <w:t>Днестровска</w:t>
            </w:r>
            <w:proofErr w:type="spellEnd"/>
            <w:r w:rsidRPr="00A352C1">
              <w:rPr>
                <w:sz w:val="24"/>
                <w:szCs w:val="24"/>
              </w:rPr>
              <w:t xml:space="preserve"> предоставить право </w:t>
            </w:r>
            <w:r w:rsidRPr="00A352C1">
              <w:rPr>
                <w:sz w:val="24"/>
                <w:szCs w:val="24"/>
              </w:rPr>
              <w:lastRenderedPageBreak/>
              <w:t xml:space="preserve">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A352C1">
              <w:rPr>
                <w:sz w:val="24"/>
                <w:szCs w:val="24"/>
              </w:rPr>
              <w:t>Днестровска</w:t>
            </w:r>
            <w:proofErr w:type="spellEnd"/>
            <w:r w:rsidRPr="00A352C1">
              <w:rPr>
                <w:sz w:val="24"/>
                <w:szCs w:val="24"/>
              </w:rPr>
              <w:t xml:space="preserve"> с последующим внесением изменений в Закон Приднестровской Молдавской Республики </w:t>
            </w:r>
            <w:r w:rsidRPr="00A352C1">
              <w:rPr>
                <w:sz w:val="24"/>
                <w:szCs w:val="24"/>
              </w:rPr>
              <w:br/>
              <w:t>«О республиканском бюджете на 2025 год».</w:t>
            </w:r>
          </w:p>
          <w:p w14:paraId="25A86B28" w14:textId="77777777" w:rsidR="00A352C1" w:rsidRPr="00A352C1" w:rsidRDefault="00A352C1" w:rsidP="00A352C1">
            <w:pPr>
              <w:autoSpaceDE w:val="0"/>
              <w:autoSpaceDN w:val="0"/>
              <w:adjustRightInd w:val="0"/>
              <w:spacing w:line="240" w:lineRule="auto"/>
              <w:ind w:firstLine="709"/>
              <w:jc w:val="both"/>
              <w:rPr>
                <w:sz w:val="24"/>
                <w:szCs w:val="24"/>
              </w:rPr>
            </w:pPr>
            <w:r w:rsidRPr="00A352C1">
              <w:rPr>
                <w:sz w:val="24"/>
                <w:szCs w:val="24"/>
              </w:rPr>
              <w:t xml:space="preserve">Правительству Приднестровской Молдавской Республики не позднее </w:t>
            </w:r>
            <w:r w:rsidRPr="00A352C1">
              <w:rPr>
                <w:sz w:val="24"/>
                <w:szCs w:val="24"/>
              </w:rPr>
              <w:br/>
              <w:t xml:space="preserve">1 октября 2025 года представить на рассмотрение Верховного Совета Приднестровской Молдавской Республики законодательную инициативу о внесении изменений в Закон Приднестровской Молдавской Республики </w:t>
            </w:r>
            <w:r w:rsidRPr="00A352C1">
              <w:rPr>
                <w:sz w:val="24"/>
                <w:szCs w:val="24"/>
              </w:rPr>
              <w:br/>
              <w:t>«О республиканском бюджете на 2025 год», направленную на исполнение норм, указанных в настоящей статье.</w:t>
            </w:r>
          </w:p>
          <w:p w14:paraId="49239FB1" w14:textId="77777777" w:rsidR="00A352C1" w:rsidRPr="00A352C1" w:rsidRDefault="00A352C1" w:rsidP="00A352C1">
            <w:pPr>
              <w:spacing w:line="240" w:lineRule="auto"/>
              <w:ind w:firstLine="709"/>
              <w:jc w:val="both"/>
              <w:rPr>
                <w:b/>
                <w:sz w:val="24"/>
                <w:szCs w:val="24"/>
              </w:rPr>
            </w:pPr>
          </w:p>
        </w:tc>
        <w:tc>
          <w:tcPr>
            <w:tcW w:w="4820" w:type="dxa"/>
          </w:tcPr>
          <w:p w14:paraId="76B2320C" w14:textId="77777777" w:rsidR="00A352C1" w:rsidRPr="00A352C1" w:rsidRDefault="00A352C1" w:rsidP="00A352C1">
            <w:pPr>
              <w:spacing w:line="240" w:lineRule="auto"/>
              <w:ind w:firstLine="709"/>
              <w:jc w:val="both"/>
              <w:rPr>
                <w:b/>
                <w:sz w:val="24"/>
                <w:szCs w:val="24"/>
              </w:rPr>
            </w:pPr>
            <w:r w:rsidRPr="00A352C1">
              <w:rPr>
                <w:b/>
                <w:sz w:val="24"/>
                <w:szCs w:val="24"/>
              </w:rPr>
              <w:lastRenderedPageBreak/>
              <w:t>Статья 11-1.</w:t>
            </w:r>
          </w:p>
          <w:p w14:paraId="2D36F404" w14:textId="77777777" w:rsidR="00A352C1" w:rsidRPr="00A352C1" w:rsidRDefault="00A352C1" w:rsidP="00A352C1">
            <w:pPr>
              <w:spacing w:line="240" w:lineRule="auto"/>
              <w:ind w:firstLine="742"/>
              <w:rPr>
                <w:b/>
                <w:sz w:val="24"/>
                <w:szCs w:val="24"/>
              </w:rPr>
            </w:pPr>
            <w:r w:rsidRPr="00A352C1">
              <w:rPr>
                <w:b/>
                <w:sz w:val="24"/>
                <w:szCs w:val="24"/>
              </w:rPr>
              <w:t>Исключить.</w:t>
            </w:r>
          </w:p>
        </w:tc>
      </w:tr>
    </w:tbl>
    <w:p w14:paraId="09FBFC12" w14:textId="77777777" w:rsidR="00A352C1" w:rsidRPr="00A352C1" w:rsidRDefault="00A352C1" w:rsidP="00A352C1">
      <w:pPr>
        <w:spacing w:after="0" w:line="240" w:lineRule="auto"/>
        <w:jc w:val="center"/>
        <w:rPr>
          <w:rFonts w:ascii="Calibri" w:eastAsia="Calibri" w:hAnsi="Calibri" w:cs="Times New Roman"/>
          <w:sz w:val="24"/>
          <w:szCs w:val="24"/>
        </w:rPr>
      </w:pPr>
    </w:p>
    <w:p w14:paraId="2F07D63D" w14:textId="77777777" w:rsidR="00A352C1" w:rsidRPr="00A03D05" w:rsidRDefault="00A352C1" w:rsidP="00A352C1">
      <w:pPr>
        <w:pStyle w:val="a3"/>
        <w:jc w:val="center"/>
      </w:pPr>
    </w:p>
    <w:p w14:paraId="2575D075" w14:textId="77777777" w:rsidR="00D01B28" w:rsidRDefault="00D01B28" w:rsidP="00D01B28">
      <w:pPr>
        <w:ind w:firstLine="567"/>
        <w:rPr>
          <w:rFonts w:ascii="Times New Roman" w:hAnsi="Times New Roman" w:cs="Times New Roman"/>
          <w:sz w:val="24"/>
          <w:szCs w:val="24"/>
        </w:rPr>
      </w:pPr>
    </w:p>
    <w:p w14:paraId="534EB87E" w14:textId="77777777" w:rsidR="009647F7" w:rsidRPr="00D01B28" w:rsidRDefault="009647F7">
      <w:pPr>
        <w:rPr>
          <w:rFonts w:ascii="Times New Roman" w:hAnsi="Times New Roman" w:cs="Times New Roman"/>
          <w:sz w:val="28"/>
          <w:szCs w:val="28"/>
        </w:rPr>
      </w:pPr>
    </w:p>
    <w:sectPr w:rsidR="009647F7" w:rsidRPr="00D0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7C"/>
    <w:rsid w:val="00087C7C"/>
    <w:rsid w:val="009647F7"/>
    <w:rsid w:val="00A352C1"/>
    <w:rsid w:val="00D0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00A1"/>
  <w15:chartTrackingRefBased/>
  <w15:docId w15:val="{3A13D6AE-2124-40DD-8E85-58E3780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B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1B28"/>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01B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A352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52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5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5</cp:revision>
  <cp:lastPrinted>2025-10-01T11:07:00Z</cp:lastPrinted>
  <dcterms:created xsi:type="dcterms:W3CDTF">2025-09-30T14:26:00Z</dcterms:created>
  <dcterms:modified xsi:type="dcterms:W3CDTF">2025-10-01T11:09:00Z</dcterms:modified>
</cp:coreProperties>
</file>