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8" w:rsidRPr="00304C31" w:rsidRDefault="002F4E48" w:rsidP="00304C31">
      <w:pPr>
        <w:pStyle w:val="af0"/>
        <w:jc w:val="both"/>
        <w:rPr>
          <w:rFonts w:ascii="Times New Roman" w:hAnsi="Times New Roman" w:cs="Times New Roman"/>
          <w:sz w:val="24"/>
          <w:szCs w:val="24"/>
        </w:rPr>
      </w:pPr>
    </w:p>
    <w:p w:rsidR="00283B28" w:rsidRPr="00304C31" w:rsidRDefault="0090073B" w:rsidP="00304C31">
      <w:pPr>
        <w:pStyle w:val="af0"/>
        <w:jc w:val="both"/>
        <w:rPr>
          <w:rFonts w:ascii="Times New Roman" w:hAnsi="Times New Roman" w:cs="Times New Roman"/>
          <w:sz w:val="24"/>
          <w:szCs w:val="24"/>
        </w:rPr>
      </w:pPr>
      <w:bookmarkStart w:id="0" w:name="_GoBack"/>
      <w:bookmarkEnd w:id="0"/>
      <w:r w:rsidRPr="00304C31">
        <w:rPr>
          <w:rFonts w:ascii="Times New Roman" w:hAnsi="Times New Roman" w:cs="Times New Roman"/>
          <w:sz w:val="24"/>
          <w:szCs w:val="24"/>
        </w:rPr>
        <w:t xml:space="preserve">СРАВНИТЕЛЬНАЯ ТАБЛИЦА </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к проекту закона Приднестровской Молдавской Республики </w:t>
      </w:r>
    </w:p>
    <w:p w:rsidR="003F7B36"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«О внесении изменения и дополнений в Закон </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Приднестровской Молдавской Республики </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«О Следственном комитете Приднестровской Молдавской Республики»</w:t>
      </w:r>
    </w:p>
    <w:p w:rsidR="002F4E48" w:rsidRPr="00304C31" w:rsidRDefault="002F4E48" w:rsidP="00304C31">
      <w:pPr>
        <w:pStyle w:val="af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672"/>
        <w:gridCol w:w="4673"/>
      </w:tblGrid>
      <w:tr w:rsidR="002F4E48" w:rsidRPr="00304C31" w:rsidTr="0037290C">
        <w:tc>
          <w:tcPr>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Действующая редакция</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Предлагаемая редакция</w:t>
            </w:r>
          </w:p>
        </w:tc>
      </w:tr>
      <w:tr w:rsidR="002F4E48" w:rsidRPr="00304C31" w:rsidTr="0037290C">
        <w:tc>
          <w:tcPr>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4E48" w:rsidRPr="00304C31" w:rsidRDefault="002F4E48" w:rsidP="00304C31">
            <w:pPr>
              <w:pStyle w:val="af0"/>
              <w:jc w:val="both"/>
              <w:rPr>
                <w:rFonts w:ascii="Times New Roman" w:hAnsi="Times New Roman" w:cs="Times New Roman"/>
                <w:sz w:val="24"/>
                <w:szCs w:val="24"/>
              </w:rPr>
            </w:pPr>
            <w:bookmarkStart w:id="1" w:name="_Hlk206425133"/>
            <w:r w:rsidRPr="00304C31">
              <w:rPr>
                <w:rFonts w:ascii="Times New Roman" w:hAnsi="Times New Roman" w:cs="Times New Roman"/>
                <w:sz w:val="24"/>
                <w:szCs w:val="24"/>
              </w:rPr>
              <w:t>Статья 16. Требования, предъявляемые к гражданам Приднестровской Молдавской Республики, принимаемым на службу в Следственный комитет</w:t>
            </w:r>
          </w:p>
          <w:p w:rsidR="0090073B" w:rsidRPr="00304C31" w:rsidRDefault="0090073B"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1. Сотрудниками Следственного комитета могут быть граждане Приднестровской Молдавской Республики (далее по тексту– граждане), имеющие высшее юридическое образование, полученное в имеющем государственную аккредитацию образовательном учреждении высшего профессионального образования или полученное в образовательном учреждении высшего профессионального образования СССР,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2F4E48" w:rsidRPr="00304C31" w:rsidRDefault="002F4E48"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 специальности в имеющих государственную аккредитацию образовательных учреждениях высшего профессионального образования и окончившие первый уровень высшего профессионального образования (</w:t>
            </w:r>
            <w:proofErr w:type="spellStart"/>
            <w:r w:rsidRPr="00304C31">
              <w:rPr>
                <w:rFonts w:ascii="Times New Roman" w:hAnsi="Times New Roman" w:cs="Times New Roman"/>
                <w:sz w:val="24"/>
                <w:szCs w:val="24"/>
              </w:rPr>
              <w:t>бакалавриат</w:t>
            </w:r>
            <w:proofErr w:type="spellEnd"/>
            <w:r w:rsidRPr="00304C31">
              <w:rPr>
                <w:rFonts w:ascii="Times New Roman" w:hAnsi="Times New Roman" w:cs="Times New Roman"/>
                <w:sz w:val="24"/>
                <w:szCs w:val="24"/>
              </w:rPr>
              <w:t>).</w:t>
            </w:r>
          </w:p>
          <w:p w:rsidR="002F4E48" w:rsidRPr="00304C31" w:rsidRDefault="002F4E48" w:rsidP="00304C31">
            <w:pPr>
              <w:pStyle w:val="af0"/>
              <w:jc w:val="both"/>
              <w:rPr>
                <w:rFonts w:ascii="Times New Roman" w:hAnsi="Times New Roman" w:cs="Times New Roman"/>
                <w:sz w:val="24"/>
                <w:szCs w:val="24"/>
              </w:rPr>
            </w:pPr>
          </w:p>
          <w:p w:rsidR="00013396" w:rsidRPr="00304C31" w:rsidRDefault="00013396" w:rsidP="00304C31">
            <w:pPr>
              <w:pStyle w:val="af0"/>
              <w:jc w:val="both"/>
              <w:rPr>
                <w:rFonts w:ascii="Times New Roman" w:hAnsi="Times New Roman" w:cs="Times New Roman"/>
                <w:sz w:val="24"/>
                <w:szCs w:val="24"/>
              </w:rPr>
            </w:pPr>
          </w:p>
          <w:p w:rsidR="00D804CD" w:rsidRPr="00304C31" w:rsidRDefault="00D804CD" w:rsidP="00304C31">
            <w:pPr>
              <w:pStyle w:val="af0"/>
              <w:jc w:val="both"/>
              <w:rPr>
                <w:rFonts w:ascii="Times New Roman" w:hAnsi="Times New Roman" w:cs="Times New Roman"/>
                <w:sz w:val="24"/>
                <w:szCs w:val="24"/>
              </w:rPr>
            </w:pPr>
          </w:p>
          <w:p w:rsidR="00013396" w:rsidRPr="00304C31" w:rsidRDefault="00013396" w:rsidP="00304C31">
            <w:pPr>
              <w:pStyle w:val="af0"/>
              <w:jc w:val="both"/>
              <w:rPr>
                <w:rFonts w:ascii="Times New Roman" w:hAnsi="Times New Roman" w:cs="Times New Roman"/>
                <w:sz w:val="24"/>
                <w:szCs w:val="24"/>
              </w:rPr>
            </w:pPr>
          </w:p>
          <w:p w:rsidR="002F4E48" w:rsidRPr="00304C31" w:rsidRDefault="00013396"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          </w:t>
            </w:r>
            <w:r w:rsidR="002F4E48" w:rsidRPr="00304C31">
              <w:rPr>
                <w:rFonts w:ascii="Times New Roman" w:hAnsi="Times New Roman" w:cs="Times New Roman"/>
                <w:sz w:val="24"/>
                <w:szCs w:val="24"/>
              </w:rPr>
              <w:t>…</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3. На отдельные должности государственной службы в Следственном </w:t>
            </w:r>
            <w:r w:rsidRPr="00304C31">
              <w:rPr>
                <w:rFonts w:ascii="Times New Roman" w:hAnsi="Times New Roman" w:cs="Times New Roman"/>
                <w:sz w:val="24"/>
                <w:szCs w:val="24"/>
              </w:rPr>
              <w:lastRenderedPageBreak/>
              <w:t>комитете могут назначаться граждане, не имеющие высшего юридического образования, при наличии у них иного высшего профессионального образования, полученного в имеющем государственную аккредитацию образовательном учреждении высшего профессионального образования или полученного в образовательном учреждении высшего профессионального образования СССР и соответствующего замещаемой должности.</w:t>
            </w:r>
          </w:p>
          <w:p w:rsidR="00013396"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        </w:t>
            </w:r>
          </w:p>
          <w:p w:rsidR="00013396" w:rsidRPr="00304C31" w:rsidRDefault="00013396" w:rsidP="00304C31">
            <w:pPr>
              <w:pStyle w:val="af0"/>
              <w:jc w:val="both"/>
              <w:rPr>
                <w:rFonts w:ascii="Times New Roman" w:hAnsi="Times New Roman" w:cs="Times New Roman"/>
                <w:sz w:val="24"/>
                <w:szCs w:val="24"/>
              </w:rPr>
            </w:pPr>
          </w:p>
          <w:p w:rsidR="00013396" w:rsidRPr="00304C31" w:rsidRDefault="00013396" w:rsidP="00304C31">
            <w:pPr>
              <w:pStyle w:val="af0"/>
              <w:jc w:val="both"/>
              <w:rPr>
                <w:rFonts w:ascii="Times New Roman" w:hAnsi="Times New Roman" w:cs="Times New Roman"/>
                <w:sz w:val="24"/>
                <w:szCs w:val="24"/>
              </w:rPr>
            </w:pPr>
          </w:p>
          <w:p w:rsidR="00013396" w:rsidRPr="00304C31" w:rsidRDefault="00013396" w:rsidP="00304C31">
            <w:pPr>
              <w:pStyle w:val="af0"/>
              <w:jc w:val="both"/>
              <w:rPr>
                <w:rFonts w:ascii="Times New Roman" w:hAnsi="Times New Roman" w:cs="Times New Roman"/>
                <w:sz w:val="24"/>
                <w:szCs w:val="24"/>
              </w:rPr>
            </w:pPr>
          </w:p>
          <w:p w:rsidR="002F4E48" w:rsidRPr="00304C31" w:rsidRDefault="00013396"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 </w:t>
            </w:r>
            <w:r w:rsidR="002F4E48" w:rsidRPr="00304C31">
              <w:rPr>
                <w:rFonts w:ascii="Times New Roman" w:hAnsi="Times New Roman" w:cs="Times New Roman"/>
                <w:sz w:val="24"/>
                <w:szCs w:val="24"/>
              </w:rPr>
              <w:t>…</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6. На должности руководителей следственных управлений и отделов по районам, городам Приднестровской Молдавской Республики назначаются граждане не моложе 25 (двадцати пяти) лет,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3 (трех) лет. </w:t>
            </w:r>
          </w:p>
          <w:p w:rsidR="002F4E48" w:rsidRPr="00304C31" w:rsidRDefault="002F4E48"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7. На должности руководителей подразделений центрального аппарата, Главного следственного управления назначаются граждане не моложе </w:t>
            </w:r>
            <w:r w:rsidRPr="00304C31">
              <w:rPr>
                <w:rFonts w:ascii="Times New Roman" w:hAnsi="Times New Roman" w:cs="Times New Roman"/>
                <w:sz w:val="24"/>
                <w:szCs w:val="24"/>
              </w:rPr>
              <w:br/>
              <w:t>30 (тридцати) лет,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5 (пяти) лет. Назначение на должность указанных руководителей производится на срок не более 5 (пяти) лет, пребывание в занимаемой должности более 2 (двух) сроков подряд не допускается.</w:t>
            </w:r>
          </w:p>
          <w:p w:rsidR="002F4E48" w:rsidRPr="00304C31" w:rsidRDefault="002F4E48" w:rsidP="00304C31">
            <w:pPr>
              <w:pStyle w:val="af0"/>
              <w:jc w:val="both"/>
              <w:rPr>
                <w:rFonts w:ascii="Times New Roman" w:hAnsi="Times New Roman" w:cs="Times New Roman"/>
                <w:sz w:val="24"/>
                <w:szCs w:val="24"/>
              </w:rPr>
            </w:pPr>
          </w:p>
          <w:p w:rsidR="00166C84" w:rsidRPr="00304C31" w:rsidRDefault="00166C84" w:rsidP="00304C31">
            <w:pPr>
              <w:pStyle w:val="af0"/>
              <w:jc w:val="both"/>
              <w:rPr>
                <w:rFonts w:ascii="Times New Roman" w:hAnsi="Times New Roman" w:cs="Times New Roman"/>
                <w:sz w:val="24"/>
                <w:szCs w:val="24"/>
              </w:rPr>
            </w:pPr>
          </w:p>
          <w:p w:rsidR="00166C84" w:rsidRPr="00304C31" w:rsidRDefault="00166C84"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lastRenderedPageBreak/>
              <w:t>Статья 16. Требования, предъявляемые к гражданам Приднестровской Молдавской Республики, принимаемым на службу в Следственный комитет</w:t>
            </w:r>
          </w:p>
          <w:p w:rsidR="0090073B" w:rsidRPr="00304C31" w:rsidRDefault="0090073B" w:rsidP="00304C31">
            <w:pPr>
              <w:pStyle w:val="af0"/>
              <w:jc w:val="both"/>
              <w:rPr>
                <w:rFonts w:ascii="Times New Roman" w:hAnsi="Times New Roman" w:cs="Times New Roman"/>
                <w:sz w:val="24"/>
                <w:szCs w:val="24"/>
              </w:rPr>
            </w:pP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1. Сотрудниками Следственного комитета могут быть граждане Приднестровской Молдавской Республики (далее по тексту– граждане), имеющие высшее юридическое образование, полученное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высшего профессионального образования или полученное в образовательном учреждении высшего профессионального образования СССР,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  специальности по имеющим государственную аккредитацию основным образовательным программам высшего профессионального образования не менее половины срока освоения основной образовательной программы высшего профессионального образования, установленного государственным образовательным стандартом, и не имеющие академической задолженности</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           …</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3. На отдельные должности государственной службы в Следственном комитете могут назначаться граждане, не </w:t>
            </w:r>
            <w:r w:rsidRPr="00304C31">
              <w:rPr>
                <w:rFonts w:ascii="Times New Roman" w:hAnsi="Times New Roman" w:cs="Times New Roman"/>
                <w:sz w:val="24"/>
                <w:szCs w:val="24"/>
              </w:rPr>
              <w:lastRenderedPageBreak/>
              <w:t>имеющие высшего юридического образования, при наличии у них иного высшего профессионального образования, полученного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высшего профессионального образования, или полученное в образовательном учреждении высшего профессионального образования СССР и соответствующего замещаемой должности».</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6. На должности руководителей следственных управлений и отделов </w:t>
            </w:r>
            <w:r w:rsidRPr="00304C31">
              <w:rPr>
                <w:rFonts w:ascii="Times New Roman" w:hAnsi="Times New Roman" w:cs="Times New Roman"/>
                <w:sz w:val="24"/>
                <w:szCs w:val="24"/>
              </w:rPr>
              <w:br/>
              <w:t xml:space="preserve">по районам, городам Приднестровской Молдавской Республики назначаются граждане не моложе 25 (двадцати пяти) лет, соответствующие требованиям к образованию, предусмотренным пунктом 1 настоящей статьи,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3 (трех) лет. </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 xml:space="preserve">7. На должности руководителей подразделений центрального аппарата, Главного следственного управления назначаются граждане не моложе </w:t>
            </w:r>
            <w:r w:rsidRPr="00304C31">
              <w:rPr>
                <w:rFonts w:ascii="Times New Roman" w:hAnsi="Times New Roman" w:cs="Times New Roman"/>
                <w:sz w:val="24"/>
                <w:szCs w:val="24"/>
              </w:rPr>
              <w:br/>
              <w:t>30 (тридцати) лет, соответствующие требованиям к образованию, предусмотренным пунктом 1 настоящей статьи,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5 (пяти) лет. Назначение на должность указанных руководителей производится на срок не более 5 (пяти) лет, пребывание в занимаемой должности более 2 (двух) сроков подряд не допускается.</w:t>
            </w:r>
          </w:p>
          <w:p w:rsidR="002F4E48" w:rsidRPr="00304C31" w:rsidRDefault="002F4E48" w:rsidP="00304C31">
            <w:pPr>
              <w:pStyle w:val="af0"/>
              <w:jc w:val="both"/>
              <w:rPr>
                <w:rFonts w:ascii="Times New Roman" w:hAnsi="Times New Roman" w:cs="Times New Roman"/>
                <w:sz w:val="24"/>
                <w:szCs w:val="24"/>
              </w:rPr>
            </w:pPr>
            <w:r w:rsidRPr="00304C31">
              <w:rPr>
                <w:rFonts w:ascii="Times New Roman" w:hAnsi="Times New Roman" w:cs="Times New Roman"/>
                <w:sz w:val="24"/>
                <w:szCs w:val="24"/>
              </w:rPr>
              <w:t>…</w:t>
            </w:r>
          </w:p>
        </w:tc>
      </w:tr>
      <w:bookmarkEnd w:id="1"/>
    </w:tbl>
    <w:p w:rsidR="002F4E48" w:rsidRPr="00304C31" w:rsidRDefault="002F4E48" w:rsidP="00304C31">
      <w:pPr>
        <w:pStyle w:val="af0"/>
        <w:jc w:val="both"/>
        <w:rPr>
          <w:rFonts w:ascii="Times New Roman" w:hAnsi="Times New Roman" w:cs="Times New Roman"/>
          <w:sz w:val="24"/>
          <w:szCs w:val="24"/>
        </w:rPr>
      </w:pPr>
    </w:p>
    <w:sectPr w:rsidR="002F4E48" w:rsidRPr="00304C31" w:rsidSect="00304C31">
      <w:headerReference w:type="default" r:id="rId8"/>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1C" w:rsidRDefault="002B261C" w:rsidP="00A35A9C">
      <w:pPr>
        <w:spacing w:after="0" w:line="240" w:lineRule="auto"/>
      </w:pPr>
      <w:r>
        <w:separator/>
      </w:r>
    </w:p>
  </w:endnote>
  <w:endnote w:type="continuationSeparator" w:id="0">
    <w:p w:rsidR="002B261C" w:rsidRDefault="002B261C" w:rsidP="00A3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1C" w:rsidRDefault="002B261C" w:rsidP="00A35A9C">
      <w:pPr>
        <w:spacing w:after="0" w:line="240" w:lineRule="auto"/>
      </w:pPr>
      <w:r>
        <w:separator/>
      </w:r>
    </w:p>
  </w:footnote>
  <w:footnote w:type="continuationSeparator" w:id="0">
    <w:p w:rsidR="002B261C" w:rsidRDefault="002B261C" w:rsidP="00A35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512367"/>
      <w:docPartObj>
        <w:docPartGallery w:val="Page Numbers (Top of Page)"/>
        <w:docPartUnique/>
      </w:docPartObj>
    </w:sdtPr>
    <w:sdtEndPr>
      <w:rPr>
        <w:rFonts w:ascii="Times New Roman" w:hAnsi="Times New Roman" w:cs="Times New Roman"/>
        <w:sz w:val="24"/>
        <w:szCs w:val="24"/>
      </w:rPr>
    </w:sdtEndPr>
    <w:sdtContent>
      <w:p w:rsidR="00A35A9C" w:rsidRPr="00A35A9C" w:rsidRDefault="00A35A9C">
        <w:pPr>
          <w:pStyle w:val="ac"/>
          <w:jc w:val="center"/>
          <w:rPr>
            <w:rFonts w:ascii="Times New Roman" w:hAnsi="Times New Roman" w:cs="Times New Roman"/>
            <w:sz w:val="24"/>
            <w:szCs w:val="24"/>
          </w:rPr>
        </w:pPr>
        <w:r w:rsidRPr="00A35A9C">
          <w:rPr>
            <w:rFonts w:ascii="Times New Roman" w:hAnsi="Times New Roman" w:cs="Times New Roman"/>
            <w:sz w:val="24"/>
            <w:szCs w:val="24"/>
          </w:rPr>
          <w:fldChar w:fldCharType="begin"/>
        </w:r>
        <w:r w:rsidRPr="00A35A9C">
          <w:rPr>
            <w:rFonts w:ascii="Times New Roman" w:hAnsi="Times New Roman" w:cs="Times New Roman"/>
            <w:sz w:val="24"/>
            <w:szCs w:val="24"/>
          </w:rPr>
          <w:instrText>PAGE   \* MERGEFORMAT</w:instrText>
        </w:r>
        <w:r w:rsidRPr="00A35A9C">
          <w:rPr>
            <w:rFonts w:ascii="Times New Roman" w:hAnsi="Times New Roman" w:cs="Times New Roman"/>
            <w:sz w:val="24"/>
            <w:szCs w:val="24"/>
          </w:rPr>
          <w:fldChar w:fldCharType="separate"/>
        </w:r>
        <w:r w:rsidR="00304C31">
          <w:rPr>
            <w:rFonts w:ascii="Times New Roman" w:hAnsi="Times New Roman" w:cs="Times New Roman"/>
            <w:noProof/>
            <w:sz w:val="24"/>
            <w:szCs w:val="24"/>
          </w:rPr>
          <w:t>- 2 -</w:t>
        </w:r>
        <w:r w:rsidRPr="00A35A9C">
          <w:rPr>
            <w:rFonts w:ascii="Times New Roman" w:hAnsi="Times New Roman" w:cs="Times New Roman"/>
            <w:sz w:val="24"/>
            <w:szCs w:val="24"/>
          </w:rPr>
          <w:fldChar w:fldCharType="end"/>
        </w:r>
      </w:p>
    </w:sdtContent>
  </w:sdt>
  <w:p w:rsidR="00A35A9C" w:rsidRDefault="00A35A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4598"/>
    <w:multiLevelType w:val="hybridMultilevel"/>
    <w:tmpl w:val="1A2C8460"/>
    <w:lvl w:ilvl="0" w:tplc="8E5A8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0C28C8"/>
    <w:multiLevelType w:val="hybridMultilevel"/>
    <w:tmpl w:val="12A0098E"/>
    <w:lvl w:ilvl="0" w:tplc="2D9891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5C"/>
    <w:rsid w:val="0000345C"/>
    <w:rsid w:val="00007E5C"/>
    <w:rsid w:val="00011D6C"/>
    <w:rsid w:val="00013396"/>
    <w:rsid w:val="00014B6F"/>
    <w:rsid w:val="000419D4"/>
    <w:rsid w:val="00043EB6"/>
    <w:rsid w:val="0004474C"/>
    <w:rsid w:val="000541F0"/>
    <w:rsid w:val="0007336B"/>
    <w:rsid w:val="0009542A"/>
    <w:rsid w:val="00095670"/>
    <w:rsid w:val="00096B65"/>
    <w:rsid w:val="0009789B"/>
    <w:rsid w:val="000A4D80"/>
    <w:rsid w:val="000E30D2"/>
    <w:rsid w:val="000F3263"/>
    <w:rsid w:val="000F3F6C"/>
    <w:rsid w:val="00122EC9"/>
    <w:rsid w:val="00125C00"/>
    <w:rsid w:val="00135CC4"/>
    <w:rsid w:val="00140E8D"/>
    <w:rsid w:val="0014187D"/>
    <w:rsid w:val="00147E14"/>
    <w:rsid w:val="0015557F"/>
    <w:rsid w:val="001630A0"/>
    <w:rsid w:val="00166C84"/>
    <w:rsid w:val="001829CB"/>
    <w:rsid w:val="00183234"/>
    <w:rsid w:val="001A7081"/>
    <w:rsid w:val="001A7572"/>
    <w:rsid w:val="001D1CCF"/>
    <w:rsid w:val="001E6652"/>
    <w:rsid w:val="001F3892"/>
    <w:rsid w:val="00200DFE"/>
    <w:rsid w:val="00205E88"/>
    <w:rsid w:val="0020692E"/>
    <w:rsid w:val="002166B0"/>
    <w:rsid w:val="00240CB4"/>
    <w:rsid w:val="00245BD8"/>
    <w:rsid w:val="00245E2D"/>
    <w:rsid w:val="002479F7"/>
    <w:rsid w:val="00247F0B"/>
    <w:rsid w:val="00250EC3"/>
    <w:rsid w:val="002726DC"/>
    <w:rsid w:val="00283B28"/>
    <w:rsid w:val="00286D01"/>
    <w:rsid w:val="002946FF"/>
    <w:rsid w:val="00297233"/>
    <w:rsid w:val="002A01C3"/>
    <w:rsid w:val="002A0AE8"/>
    <w:rsid w:val="002A2099"/>
    <w:rsid w:val="002A2782"/>
    <w:rsid w:val="002A334D"/>
    <w:rsid w:val="002A4E44"/>
    <w:rsid w:val="002A711B"/>
    <w:rsid w:val="002B261C"/>
    <w:rsid w:val="002E38FD"/>
    <w:rsid w:val="002E6250"/>
    <w:rsid w:val="002F4A55"/>
    <w:rsid w:val="002F4E48"/>
    <w:rsid w:val="002F76CD"/>
    <w:rsid w:val="00300C84"/>
    <w:rsid w:val="00304C31"/>
    <w:rsid w:val="003156E5"/>
    <w:rsid w:val="0032061A"/>
    <w:rsid w:val="003216AB"/>
    <w:rsid w:val="00322D25"/>
    <w:rsid w:val="00326FB2"/>
    <w:rsid w:val="00341BF8"/>
    <w:rsid w:val="003477F1"/>
    <w:rsid w:val="00350F1D"/>
    <w:rsid w:val="003609E7"/>
    <w:rsid w:val="00363130"/>
    <w:rsid w:val="0036564F"/>
    <w:rsid w:val="00367FF7"/>
    <w:rsid w:val="0037290C"/>
    <w:rsid w:val="00373246"/>
    <w:rsid w:val="003A6191"/>
    <w:rsid w:val="003B3401"/>
    <w:rsid w:val="003B4AA4"/>
    <w:rsid w:val="003B788F"/>
    <w:rsid w:val="003C466A"/>
    <w:rsid w:val="003C7526"/>
    <w:rsid w:val="003E5229"/>
    <w:rsid w:val="003F38C6"/>
    <w:rsid w:val="003F4D66"/>
    <w:rsid w:val="003F60CB"/>
    <w:rsid w:val="003F7B36"/>
    <w:rsid w:val="004008D1"/>
    <w:rsid w:val="0041444B"/>
    <w:rsid w:val="0041532B"/>
    <w:rsid w:val="00417364"/>
    <w:rsid w:val="00420077"/>
    <w:rsid w:val="00421F27"/>
    <w:rsid w:val="0043021F"/>
    <w:rsid w:val="00430DDF"/>
    <w:rsid w:val="004375B6"/>
    <w:rsid w:val="00440F9C"/>
    <w:rsid w:val="00441AC8"/>
    <w:rsid w:val="00444F43"/>
    <w:rsid w:val="0046263B"/>
    <w:rsid w:val="0046742B"/>
    <w:rsid w:val="00486398"/>
    <w:rsid w:val="00491A02"/>
    <w:rsid w:val="004A4919"/>
    <w:rsid w:val="004A7767"/>
    <w:rsid w:val="004B32B9"/>
    <w:rsid w:val="004B574F"/>
    <w:rsid w:val="004B5E4D"/>
    <w:rsid w:val="004C2441"/>
    <w:rsid w:val="004D1E88"/>
    <w:rsid w:val="004D24F7"/>
    <w:rsid w:val="004E51F0"/>
    <w:rsid w:val="00512980"/>
    <w:rsid w:val="00525535"/>
    <w:rsid w:val="00545C85"/>
    <w:rsid w:val="0055532D"/>
    <w:rsid w:val="005609EA"/>
    <w:rsid w:val="005624BF"/>
    <w:rsid w:val="005662C6"/>
    <w:rsid w:val="005734EB"/>
    <w:rsid w:val="0057354B"/>
    <w:rsid w:val="00573D7D"/>
    <w:rsid w:val="0057750C"/>
    <w:rsid w:val="0059139B"/>
    <w:rsid w:val="00591F48"/>
    <w:rsid w:val="00595B18"/>
    <w:rsid w:val="00597D03"/>
    <w:rsid w:val="005A4B31"/>
    <w:rsid w:val="005B4339"/>
    <w:rsid w:val="005D54E3"/>
    <w:rsid w:val="005D5DF4"/>
    <w:rsid w:val="005D60FF"/>
    <w:rsid w:val="0061048E"/>
    <w:rsid w:val="00624DED"/>
    <w:rsid w:val="00627DED"/>
    <w:rsid w:val="00664E5D"/>
    <w:rsid w:val="00667841"/>
    <w:rsid w:val="00692E74"/>
    <w:rsid w:val="006A1798"/>
    <w:rsid w:val="006B51BE"/>
    <w:rsid w:val="006C14D6"/>
    <w:rsid w:val="006C2E91"/>
    <w:rsid w:val="006D6F5B"/>
    <w:rsid w:val="00702E6A"/>
    <w:rsid w:val="00711E93"/>
    <w:rsid w:val="00721F21"/>
    <w:rsid w:val="00722008"/>
    <w:rsid w:val="00722044"/>
    <w:rsid w:val="007244AE"/>
    <w:rsid w:val="00731FEF"/>
    <w:rsid w:val="00746152"/>
    <w:rsid w:val="00754A13"/>
    <w:rsid w:val="007607C6"/>
    <w:rsid w:val="00763A74"/>
    <w:rsid w:val="00767F38"/>
    <w:rsid w:val="0077326A"/>
    <w:rsid w:val="00774F84"/>
    <w:rsid w:val="007767A3"/>
    <w:rsid w:val="00784A30"/>
    <w:rsid w:val="00790789"/>
    <w:rsid w:val="007914DB"/>
    <w:rsid w:val="007925B1"/>
    <w:rsid w:val="007A0F73"/>
    <w:rsid w:val="007A3CF9"/>
    <w:rsid w:val="007B7E5C"/>
    <w:rsid w:val="007D545A"/>
    <w:rsid w:val="007D65C9"/>
    <w:rsid w:val="007E3649"/>
    <w:rsid w:val="008006DF"/>
    <w:rsid w:val="008168C9"/>
    <w:rsid w:val="00822CF6"/>
    <w:rsid w:val="008235D3"/>
    <w:rsid w:val="0083033B"/>
    <w:rsid w:val="008334BF"/>
    <w:rsid w:val="00833D01"/>
    <w:rsid w:val="008541FE"/>
    <w:rsid w:val="00873E18"/>
    <w:rsid w:val="00883AB6"/>
    <w:rsid w:val="008A354A"/>
    <w:rsid w:val="008B7E68"/>
    <w:rsid w:val="008D31B6"/>
    <w:rsid w:val="008E01B6"/>
    <w:rsid w:val="008E3CA5"/>
    <w:rsid w:val="008F2799"/>
    <w:rsid w:val="008F4548"/>
    <w:rsid w:val="008F612B"/>
    <w:rsid w:val="008F7D17"/>
    <w:rsid w:val="0090073B"/>
    <w:rsid w:val="009120B1"/>
    <w:rsid w:val="00950FEF"/>
    <w:rsid w:val="00955AA3"/>
    <w:rsid w:val="00964B1F"/>
    <w:rsid w:val="00970CD5"/>
    <w:rsid w:val="00984B53"/>
    <w:rsid w:val="00987E24"/>
    <w:rsid w:val="00996566"/>
    <w:rsid w:val="009C1C7F"/>
    <w:rsid w:val="009C20FD"/>
    <w:rsid w:val="009C53A6"/>
    <w:rsid w:val="009D0CC9"/>
    <w:rsid w:val="009D542E"/>
    <w:rsid w:val="009E7355"/>
    <w:rsid w:val="00A01098"/>
    <w:rsid w:val="00A01396"/>
    <w:rsid w:val="00A02EA2"/>
    <w:rsid w:val="00A26515"/>
    <w:rsid w:val="00A35A9C"/>
    <w:rsid w:val="00A41927"/>
    <w:rsid w:val="00A41977"/>
    <w:rsid w:val="00A4457F"/>
    <w:rsid w:val="00A67855"/>
    <w:rsid w:val="00A71BBC"/>
    <w:rsid w:val="00A73A3A"/>
    <w:rsid w:val="00A7461E"/>
    <w:rsid w:val="00A7783B"/>
    <w:rsid w:val="00A81A5F"/>
    <w:rsid w:val="00A84EEF"/>
    <w:rsid w:val="00AA1E03"/>
    <w:rsid w:val="00AA39D8"/>
    <w:rsid w:val="00AC0CB0"/>
    <w:rsid w:val="00AC5BC7"/>
    <w:rsid w:val="00AE75F8"/>
    <w:rsid w:val="00AF183A"/>
    <w:rsid w:val="00B007DF"/>
    <w:rsid w:val="00B1302B"/>
    <w:rsid w:val="00B25FC2"/>
    <w:rsid w:val="00B35DA0"/>
    <w:rsid w:val="00B454CB"/>
    <w:rsid w:val="00B478C9"/>
    <w:rsid w:val="00B74DAE"/>
    <w:rsid w:val="00B82005"/>
    <w:rsid w:val="00B87A70"/>
    <w:rsid w:val="00BA31BF"/>
    <w:rsid w:val="00BC525E"/>
    <w:rsid w:val="00BD17A9"/>
    <w:rsid w:val="00C0541B"/>
    <w:rsid w:val="00C11CCD"/>
    <w:rsid w:val="00C24F94"/>
    <w:rsid w:val="00C27C0C"/>
    <w:rsid w:val="00C30CB1"/>
    <w:rsid w:val="00C36389"/>
    <w:rsid w:val="00C40300"/>
    <w:rsid w:val="00C451C8"/>
    <w:rsid w:val="00C46A2B"/>
    <w:rsid w:val="00C52EFE"/>
    <w:rsid w:val="00C637A1"/>
    <w:rsid w:val="00C87E6D"/>
    <w:rsid w:val="00C96764"/>
    <w:rsid w:val="00CA29BF"/>
    <w:rsid w:val="00CB554C"/>
    <w:rsid w:val="00CC083B"/>
    <w:rsid w:val="00CC15E9"/>
    <w:rsid w:val="00CC2BD7"/>
    <w:rsid w:val="00CD3CC2"/>
    <w:rsid w:val="00CD7F87"/>
    <w:rsid w:val="00CF3A67"/>
    <w:rsid w:val="00D1258D"/>
    <w:rsid w:val="00D146D4"/>
    <w:rsid w:val="00D20E7F"/>
    <w:rsid w:val="00D2106D"/>
    <w:rsid w:val="00D210FB"/>
    <w:rsid w:val="00D30266"/>
    <w:rsid w:val="00D469E9"/>
    <w:rsid w:val="00D637AD"/>
    <w:rsid w:val="00D65A70"/>
    <w:rsid w:val="00D804CD"/>
    <w:rsid w:val="00D84284"/>
    <w:rsid w:val="00D86782"/>
    <w:rsid w:val="00DB3BCC"/>
    <w:rsid w:val="00DB6D80"/>
    <w:rsid w:val="00DE6D5D"/>
    <w:rsid w:val="00DF6A4C"/>
    <w:rsid w:val="00E057EF"/>
    <w:rsid w:val="00E10413"/>
    <w:rsid w:val="00E16BAC"/>
    <w:rsid w:val="00E200B2"/>
    <w:rsid w:val="00E22A01"/>
    <w:rsid w:val="00E22F1C"/>
    <w:rsid w:val="00E26FB7"/>
    <w:rsid w:val="00E30C1D"/>
    <w:rsid w:val="00E332F7"/>
    <w:rsid w:val="00E36ECC"/>
    <w:rsid w:val="00E455AA"/>
    <w:rsid w:val="00E577C2"/>
    <w:rsid w:val="00E72F51"/>
    <w:rsid w:val="00E77A7F"/>
    <w:rsid w:val="00E806BB"/>
    <w:rsid w:val="00E82D8A"/>
    <w:rsid w:val="00E83774"/>
    <w:rsid w:val="00EA1A15"/>
    <w:rsid w:val="00EA6961"/>
    <w:rsid w:val="00EA7F0F"/>
    <w:rsid w:val="00EB733A"/>
    <w:rsid w:val="00EC07C5"/>
    <w:rsid w:val="00ED6AE7"/>
    <w:rsid w:val="00EF73EB"/>
    <w:rsid w:val="00F003E6"/>
    <w:rsid w:val="00F00C2E"/>
    <w:rsid w:val="00F11077"/>
    <w:rsid w:val="00F15AC2"/>
    <w:rsid w:val="00F22875"/>
    <w:rsid w:val="00F3212C"/>
    <w:rsid w:val="00F34F1F"/>
    <w:rsid w:val="00F43EBE"/>
    <w:rsid w:val="00F44A4C"/>
    <w:rsid w:val="00F50A66"/>
    <w:rsid w:val="00F81949"/>
    <w:rsid w:val="00F848A7"/>
    <w:rsid w:val="00F879A6"/>
    <w:rsid w:val="00FB1E4E"/>
    <w:rsid w:val="00FC7847"/>
    <w:rsid w:val="00FD11C4"/>
    <w:rsid w:val="00FE1DF3"/>
    <w:rsid w:val="00FE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E24B"/>
  <w15:docId w15:val="{0D2DE90A-69A6-49D3-8869-590C28B7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 Знак3, Зн"/>
    <w:basedOn w:val="a"/>
    <w:link w:val="3"/>
    <w:rsid w:val="0000345C"/>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00345C"/>
    <w:rPr>
      <w:rFonts w:ascii="Consolas" w:hAnsi="Consolas"/>
      <w:sz w:val="21"/>
      <w:szCs w:val="21"/>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3"/>
    <w:rsid w:val="0000345C"/>
    <w:rPr>
      <w:rFonts w:ascii="Courier New" w:eastAsia="Times New Roman" w:hAnsi="Courier New" w:cs="Courier New"/>
      <w:sz w:val="20"/>
      <w:szCs w:val="20"/>
      <w:lang w:eastAsia="ru-RU"/>
    </w:rPr>
  </w:style>
  <w:style w:type="paragraph" w:styleId="a5">
    <w:name w:val="Normal (Web)"/>
    <w:basedOn w:val="a"/>
    <w:uiPriority w:val="99"/>
    <w:unhideWhenUsed/>
    <w:rsid w:val="00DB6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6D80"/>
  </w:style>
  <w:style w:type="character" w:customStyle="1" w:styleId="text-small">
    <w:name w:val="text-small"/>
    <w:basedOn w:val="a0"/>
    <w:rsid w:val="00DB6D80"/>
  </w:style>
  <w:style w:type="character" w:styleId="a6">
    <w:name w:val="Strong"/>
    <w:basedOn w:val="a0"/>
    <w:uiPriority w:val="22"/>
    <w:qFormat/>
    <w:rsid w:val="00DB6D80"/>
    <w:rPr>
      <w:b/>
      <w:bCs/>
    </w:rPr>
  </w:style>
  <w:style w:type="table" w:styleId="a7">
    <w:name w:val="Table Grid"/>
    <w:basedOn w:val="a1"/>
    <w:uiPriority w:val="59"/>
    <w:rsid w:val="00DB6D8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gin">
    <w:name w:val="margin"/>
    <w:basedOn w:val="a0"/>
    <w:rsid w:val="00DB6D80"/>
  </w:style>
  <w:style w:type="paragraph" w:styleId="a8">
    <w:name w:val="List Paragraph"/>
    <w:basedOn w:val="a"/>
    <w:uiPriority w:val="34"/>
    <w:qFormat/>
    <w:rsid w:val="0014187D"/>
    <w:pPr>
      <w:ind w:left="720"/>
      <w:contextualSpacing/>
    </w:pPr>
  </w:style>
  <w:style w:type="paragraph" w:styleId="a9">
    <w:name w:val="Balloon Text"/>
    <w:basedOn w:val="a"/>
    <w:link w:val="aa"/>
    <w:uiPriority w:val="99"/>
    <w:semiHidden/>
    <w:unhideWhenUsed/>
    <w:rsid w:val="00EA1A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1A15"/>
    <w:rPr>
      <w:rFonts w:ascii="Segoe UI" w:hAnsi="Segoe UI" w:cs="Segoe UI"/>
      <w:sz w:val="18"/>
      <w:szCs w:val="18"/>
    </w:rPr>
  </w:style>
  <w:style w:type="character" w:styleId="ab">
    <w:name w:val="Hyperlink"/>
    <w:basedOn w:val="a0"/>
    <w:uiPriority w:val="99"/>
    <w:unhideWhenUsed/>
    <w:rsid w:val="00722008"/>
    <w:rPr>
      <w:color w:val="0000FF" w:themeColor="hyperlink"/>
      <w:u w:val="single"/>
    </w:rPr>
  </w:style>
  <w:style w:type="paragraph" w:styleId="ac">
    <w:name w:val="header"/>
    <w:basedOn w:val="a"/>
    <w:link w:val="ad"/>
    <w:uiPriority w:val="99"/>
    <w:unhideWhenUsed/>
    <w:rsid w:val="00A35A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35A9C"/>
  </w:style>
  <w:style w:type="paragraph" w:styleId="ae">
    <w:name w:val="footer"/>
    <w:basedOn w:val="a"/>
    <w:link w:val="af"/>
    <w:uiPriority w:val="99"/>
    <w:unhideWhenUsed/>
    <w:rsid w:val="00A35A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5A9C"/>
  </w:style>
  <w:style w:type="paragraph" w:styleId="af0">
    <w:name w:val="No Spacing"/>
    <w:uiPriority w:val="1"/>
    <w:qFormat/>
    <w:rsid w:val="00304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6409">
      <w:bodyDiv w:val="1"/>
      <w:marLeft w:val="0"/>
      <w:marRight w:val="0"/>
      <w:marTop w:val="0"/>
      <w:marBottom w:val="0"/>
      <w:divBdr>
        <w:top w:val="none" w:sz="0" w:space="0" w:color="auto"/>
        <w:left w:val="none" w:sz="0" w:space="0" w:color="auto"/>
        <w:bottom w:val="none" w:sz="0" w:space="0" w:color="auto"/>
        <w:right w:val="none" w:sz="0" w:space="0" w:color="auto"/>
      </w:divBdr>
    </w:div>
    <w:div w:id="538005970">
      <w:bodyDiv w:val="1"/>
      <w:marLeft w:val="0"/>
      <w:marRight w:val="0"/>
      <w:marTop w:val="0"/>
      <w:marBottom w:val="0"/>
      <w:divBdr>
        <w:top w:val="none" w:sz="0" w:space="0" w:color="auto"/>
        <w:left w:val="none" w:sz="0" w:space="0" w:color="auto"/>
        <w:bottom w:val="none" w:sz="0" w:space="0" w:color="auto"/>
        <w:right w:val="none" w:sz="0" w:space="0" w:color="auto"/>
      </w:divBdr>
    </w:div>
    <w:div w:id="649941783">
      <w:bodyDiv w:val="1"/>
      <w:marLeft w:val="0"/>
      <w:marRight w:val="0"/>
      <w:marTop w:val="0"/>
      <w:marBottom w:val="0"/>
      <w:divBdr>
        <w:top w:val="none" w:sz="0" w:space="0" w:color="auto"/>
        <w:left w:val="none" w:sz="0" w:space="0" w:color="auto"/>
        <w:bottom w:val="none" w:sz="0" w:space="0" w:color="auto"/>
        <w:right w:val="none" w:sz="0" w:space="0" w:color="auto"/>
      </w:divBdr>
    </w:div>
    <w:div w:id="988703101">
      <w:bodyDiv w:val="1"/>
      <w:marLeft w:val="0"/>
      <w:marRight w:val="0"/>
      <w:marTop w:val="0"/>
      <w:marBottom w:val="0"/>
      <w:divBdr>
        <w:top w:val="none" w:sz="0" w:space="0" w:color="auto"/>
        <w:left w:val="none" w:sz="0" w:space="0" w:color="auto"/>
        <w:bottom w:val="none" w:sz="0" w:space="0" w:color="auto"/>
        <w:right w:val="none" w:sz="0" w:space="0" w:color="auto"/>
      </w:divBdr>
    </w:div>
    <w:div w:id="1662663351">
      <w:bodyDiv w:val="1"/>
      <w:marLeft w:val="0"/>
      <w:marRight w:val="0"/>
      <w:marTop w:val="0"/>
      <w:marBottom w:val="0"/>
      <w:divBdr>
        <w:top w:val="none" w:sz="0" w:space="0" w:color="auto"/>
        <w:left w:val="none" w:sz="0" w:space="0" w:color="auto"/>
        <w:bottom w:val="none" w:sz="0" w:space="0" w:color="auto"/>
        <w:right w:val="none" w:sz="0" w:space="0" w:color="auto"/>
      </w:divBdr>
    </w:div>
    <w:div w:id="20703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37D4F-CDE4-4F1D-868F-A5E3BF68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Чечельницкая Алина Петровна</dc:creator>
  <cp:lastModifiedBy>Гончар Елена Дмитриевна</cp:lastModifiedBy>
  <cp:revision>35</cp:revision>
  <cp:lastPrinted>2025-10-13T12:07:00Z</cp:lastPrinted>
  <dcterms:created xsi:type="dcterms:W3CDTF">2025-10-02T13:27:00Z</dcterms:created>
  <dcterms:modified xsi:type="dcterms:W3CDTF">2025-10-24T07:02:00Z</dcterms:modified>
</cp:coreProperties>
</file>