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2EAB7" w14:textId="382CEA9B" w:rsidR="00354BA4" w:rsidRPr="00BE387E" w:rsidRDefault="00354BA4" w:rsidP="00BE387E">
      <w:pPr>
        <w:pStyle w:val="a8"/>
        <w:jc w:val="both"/>
        <w:rPr>
          <w:rFonts w:ascii="Times New Roman" w:hAnsi="Times New Roman"/>
          <w:sz w:val="24"/>
          <w:szCs w:val="24"/>
        </w:rPr>
      </w:pPr>
      <w:bookmarkStart w:id="0" w:name="_GoBack"/>
      <w:bookmarkEnd w:id="0"/>
      <w:r w:rsidRPr="00BE387E">
        <w:rPr>
          <w:rFonts w:ascii="Times New Roman" w:hAnsi="Times New Roman"/>
          <w:sz w:val="24"/>
          <w:szCs w:val="24"/>
        </w:rPr>
        <w:t>СРАВНИТЕЛЬНАЯ ТАБЛИЦА</w:t>
      </w:r>
    </w:p>
    <w:p w14:paraId="5C737187"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к проекту закона Приднестровской Молдавской Республики</w:t>
      </w:r>
    </w:p>
    <w:p w14:paraId="777C77A2" w14:textId="77777777" w:rsidR="00956A41"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 xml:space="preserve">«О внесении изменений в Закон Приднестровской Молдавской Республики </w:t>
      </w:r>
    </w:p>
    <w:p w14:paraId="53D73C68" w14:textId="01411FCE"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«О государственной пошлине»</w:t>
      </w:r>
    </w:p>
    <w:p w14:paraId="03353EFF" w14:textId="77777777" w:rsidR="00354BA4" w:rsidRPr="00BE387E" w:rsidRDefault="00354BA4" w:rsidP="00BE387E">
      <w:pPr>
        <w:pStyle w:val="a8"/>
        <w:jc w:val="both"/>
        <w:rPr>
          <w:rFonts w:ascii="Times New Roman" w:hAnsi="Times New Roman"/>
          <w:sz w:val="24"/>
          <w:szCs w:val="24"/>
        </w:rPr>
      </w:pPr>
    </w:p>
    <w:tbl>
      <w:tblPr>
        <w:tblStyle w:val="a5"/>
        <w:tblW w:w="9918" w:type="dxa"/>
        <w:tblLook w:val="04A0" w:firstRow="1" w:lastRow="0" w:firstColumn="1" w:lastColumn="0" w:noHBand="0" w:noVBand="1"/>
      </w:tblPr>
      <w:tblGrid>
        <w:gridCol w:w="4957"/>
        <w:gridCol w:w="4961"/>
      </w:tblGrid>
      <w:tr w:rsidR="00354BA4" w:rsidRPr="00BE387E" w14:paraId="4AE9AA6D" w14:textId="77777777" w:rsidTr="00BC464A">
        <w:tc>
          <w:tcPr>
            <w:tcW w:w="4957" w:type="dxa"/>
          </w:tcPr>
          <w:p w14:paraId="2942CDD6"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 xml:space="preserve">Действующая редакция </w:t>
            </w:r>
          </w:p>
        </w:tc>
        <w:tc>
          <w:tcPr>
            <w:tcW w:w="4961" w:type="dxa"/>
          </w:tcPr>
          <w:p w14:paraId="02DF486A"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 xml:space="preserve">Предлагаемая редакция </w:t>
            </w:r>
          </w:p>
        </w:tc>
      </w:tr>
      <w:tr w:rsidR="00354BA4" w:rsidRPr="00BE387E" w14:paraId="177FB933" w14:textId="77777777" w:rsidTr="00BC464A">
        <w:tc>
          <w:tcPr>
            <w:tcW w:w="4957" w:type="dxa"/>
          </w:tcPr>
          <w:p w14:paraId="013BFFFB"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Статья 5. Льготы по уплате государственной пошлины</w:t>
            </w:r>
          </w:p>
          <w:p w14:paraId="75D7E545" w14:textId="0F266A4F"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1. От уплаты государственной пошлины по делам, рассматриваемым в судах общей юрисдикции, Арбитражном и Конституционном судах Приднестровской Молдавской Республики, за совершение нотариальных действий и государственную регистрацию актов гражданского состояния, а также за совершение действий, предусмотренных подпунктом 1) подпункта б), подпунктами в), г) части первой пункта 6, подпунктами 23), 24), 26), 27) пункта 7 статьи 4 настоящего Закона, освобождаются:</w:t>
            </w:r>
          </w:p>
          <w:p w14:paraId="2E8E4219" w14:textId="1135552C" w:rsidR="00354BA4" w:rsidRPr="00BE387E" w:rsidRDefault="00850B25" w:rsidP="00BE387E">
            <w:pPr>
              <w:pStyle w:val="a8"/>
              <w:jc w:val="both"/>
              <w:rPr>
                <w:rFonts w:ascii="Times New Roman" w:hAnsi="Times New Roman"/>
                <w:sz w:val="24"/>
                <w:szCs w:val="24"/>
              </w:rPr>
            </w:pPr>
            <w:r w:rsidRPr="00BE387E">
              <w:rPr>
                <w:rFonts w:ascii="Times New Roman" w:hAnsi="Times New Roman"/>
                <w:sz w:val="24"/>
                <w:szCs w:val="24"/>
              </w:rPr>
              <w:t xml:space="preserve">  </w:t>
            </w:r>
            <w:r w:rsidR="00354BA4" w:rsidRPr="00BE387E">
              <w:rPr>
                <w:rFonts w:ascii="Times New Roman" w:hAnsi="Times New Roman"/>
                <w:sz w:val="24"/>
                <w:szCs w:val="24"/>
              </w:rPr>
              <w:t>…</w:t>
            </w:r>
          </w:p>
          <w:p w14:paraId="380846DB" w14:textId="71FE4853"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Выдача адресной справки по требованию и запросам органов государственной власти и управления, прокуратуры и почтовых организаций государственной формы собственности производится бесплатно.</w:t>
            </w:r>
          </w:p>
          <w:p w14:paraId="30931F8B" w14:textId="1F22372B" w:rsidR="00354BA4" w:rsidRPr="00BE387E" w:rsidRDefault="00850B25" w:rsidP="00BE387E">
            <w:pPr>
              <w:pStyle w:val="a8"/>
              <w:jc w:val="both"/>
              <w:rPr>
                <w:rFonts w:ascii="Times New Roman" w:hAnsi="Times New Roman"/>
                <w:sz w:val="24"/>
                <w:szCs w:val="24"/>
              </w:rPr>
            </w:pPr>
            <w:r w:rsidRPr="00BE387E">
              <w:rPr>
                <w:rFonts w:ascii="Times New Roman" w:hAnsi="Times New Roman"/>
                <w:sz w:val="24"/>
                <w:szCs w:val="24"/>
              </w:rPr>
              <w:t xml:space="preserve">         </w:t>
            </w:r>
            <w:r w:rsidR="00354BA4" w:rsidRPr="00BE387E">
              <w:rPr>
                <w:rFonts w:ascii="Times New Roman" w:hAnsi="Times New Roman"/>
                <w:sz w:val="24"/>
                <w:szCs w:val="24"/>
              </w:rPr>
              <w:t>…</w:t>
            </w:r>
          </w:p>
        </w:tc>
        <w:tc>
          <w:tcPr>
            <w:tcW w:w="4961" w:type="dxa"/>
          </w:tcPr>
          <w:p w14:paraId="172DE520"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Статья 5. Льготы по уплате государственной пошлины</w:t>
            </w:r>
          </w:p>
          <w:p w14:paraId="56BBB6FE" w14:textId="4FC920DB"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1. От уплаты государственной пошлины по делам, рассматриваемым в судах общей юрисдикции, Арбитражном и Конституционном судах Приднестровской Молдавской Республики, за совершение нотариальных действий и государственную регистрацию актов гражданского состояния, а также за совершение действий, предусмотренных подпунктом 1) подпункта б), подпунктами в), г) части первой пункта 6, подпунктами 24), 26), 27) пункта 7 статьи 4 настоящего Закона, освобождаются:</w:t>
            </w:r>
          </w:p>
          <w:p w14:paraId="06E9113C"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w:t>
            </w:r>
          </w:p>
          <w:p w14:paraId="5579CFBE"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Исключена.</w:t>
            </w:r>
          </w:p>
          <w:p w14:paraId="3D238A5C"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w:t>
            </w:r>
          </w:p>
        </w:tc>
      </w:tr>
      <w:tr w:rsidR="00354BA4" w:rsidRPr="00BE387E" w14:paraId="6B6D98B9" w14:textId="77777777" w:rsidTr="00BC464A">
        <w:tc>
          <w:tcPr>
            <w:tcW w:w="4957" w:type="dxa"/>
          </w:tcPr>
          <w:p w14:paraId="19F0A1D6"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Статья 6. Порядок уплаты, возврата государственной пошлины</w:t>
            </w:r>
          </w:p>
          <w:p w14:paraId="3F7D4D15" w14:textId="7EAB1DEC" w:rsidR="00354BA4" w:rsidRPr="00BE387E" w:rsidRDefault="00850B25" w:rsidP="00BE387E">
            <w:pPr>
              <w:pStyle w:val="a8"/>
              <w:jc w:val="both"/>
              <w:rPr>
                <w:rFonts w:ascii="Times New Roman" w:hAnsi="Times New Roman"/>
                <w:sz w:val="24"/>
                <w:szCs w:val="24"/>
              </w:rPr>
            </w:pPr>
            <w:r w:rsidRPr="00BE387E">
              <w:rPr>
                <w:rFonts w:ascii="Times New Roman" w:hAnsi="Times New Roman"/>
                <w:sz w:val="24"/>
                <w:szCs w:val="24"/>
              </w:rPr>
              <w:t xml:space="preserve">         </w:t>
            </w:r>
            <w:r w:rsidR="00354BA4" w:rsidRPr="00BE387E">
              <w:rPr>
                <w:rFonts w:ascii="Times New Roman" w:hAnsi="Times New Roman"/>
                <w:sz w:val="24"/>
                <w:szCs w:val="24"/>
              </w:rPr>
              <w:t>…</w:t>
            </w:r>
          </w:p>
          <w:p w14:paraId="4502FD43" w14:textId="43297F0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2. Государственная пошлина уплачивается:</w:t>
            </w:r>
          </w:p>
          <w:p w14:paraId="01BCB419" w14:textId="5DA9DE0B" w:rsidR="00354BA4" w:rsidRPr="00BE387E" w:rsidRDefault="00850B25" w:rsidP="00BE387E">
            <w:pPr>
              <w:pStyle w:val="a8"/>
              <w:jc w:val="both"/>
              <w:rPr>
                <w:rFonts w:ascii="Times New Roman" w:hAnsi="Times New Roman"/>
                <w:sz w:val="24"/>
                <w:szCs w:val="24"/>
              </w:rPr>
            </w:pPr>
            <w:r w:rsidRPr="00BE387E">
              <w:rPr>
                <w:rFonts w:ascii="Times New Roman" w:hAnsi="Times New Roman"/>
                <w:sz w:val="24"/>
                <w:szCs w:val="24"/>
              </w:rPr>
              <w:t xml:space="preserve">   </w:t>
            </w:r>
            <w:r w:rsidR="00354BA4" w:rsidRPr="00BE387E">
              <w:rPr>
                <w:rFonts w:ascii="Times New Roman" w:hAnsi="Times New Roman"/>
                <w:sz w:val="24"/>
                <w:szCs w:val="24"/>
              </w:rPr>
              <w:t>…</w:t>
            </w:r>
          </w:p>
          <w:p w14:paraId="3F55E2EC" w14:textId="31F9E6F0"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9) за совершение действий, связанных с приобретением гражданства Приднестровской Молдавской Республики, состоянием в гражданстве Приднестровской Молдавской Республики или выходом из гражданства Приднестровской Молдавской Республики, с въездом в Приднестровскую Молдавскую Республику и выездом из Приднестровской Молдавской Республики, а также с пребыванием на территории Приднестровской Молдавской Республики иностранных граждан или лиц без гражданства, установленных частью первой пункта 6 статьи 4 настоящего Закона, а также за выдачу адресной справки, за оформление (по просьбе) иных документов, за оформление служебных разрешительных записей – до получения соответствующих документов.</w:t>
            </w:r>
          </w:p>
        </w:tc>
        <w:tc>
          <w:tcPr>
            <w:tcW w:w="4961" w:type="dxa"/>
          </w:tcPr>
          <w:p w14:paraId="5CEF4848"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Статья 6. Порядок уплаты, возврата государственной пошлины</w:t>
            </w:r>
          </w:p>
          <w:p w14:paraId="62B4ED1D" w14:textId="2C342D0B" w:rsidR="00354BA4" w:rsidRPr="00BE387E" w:rsidRDefault="00850B25" w:rsidP="00BE387E">
            <w:pPr>
              <w:pStyle w:val="a8"/>
              <w:jc w:val="both"/>
              <w:rPr>
                <w:rFonts w:ascii="Times New Roman" w:hAnsi="Times New Roman"/>
                <w:sz w:val="24"/>
                <w:szCs w:val="24"/>
              </w:rPr>
            </w:pPr>
            <w:r w:rsidRPr="00BE387E">
              <w:rPr>
                <w:rFonts w:ascii="Times New Roman" w:hAnsi="Times New Roman"/>
                <w:sz w:val="24"/>
                <w:szCs w:val="24"/>
              </w:rPr>
              <w:t xml:space="preserve">        </w:t>
            </w:r>
            <w:r w:rsidR="00354BA4" w:rsidRPr="00BE387E">
              <w:rPr>
                <w:rFonts w:ascii="Times New Roman" w:hAnsi="Times New Roman"/>
                <w:sz w:val="24"/>
                <w:szCs w:val="24"/>
              </w:rPr>
              <w:t>…</w:t>
            </w:r>
          </w:p>
          <w:p w14:paraId="51F94E25" w14:textId="20E86C27" w:rsidR="00354BA4" w:rsidRPr="00BE387E" w:rsidRDefault="005F1147" w:rsidP="00BE387E">
            <w:pPr>
              <w:pStyle w:val="a8"/>
              <w:jc w:val="both"/>
              <w:rPr>
                <w:rFonts w:ascii="Times New Roman" w:hAnsi="Times New Roman"/>
                <w:sz w:val="24"/>
                <w:szCs w:val="24"/>
              </w:rPr>
            </w:pPr>
            <w:r w:rsidRPr="00BE387E">
              <w:rPr>
                <w:rFonts w:ascii="Times New Roman" w:hAnsi="Times New Roman"/>
                <w:sz w:val="24"/>
                <w:szCs w:val="24"/>
              </w:rPr>
              <w:t xml:space="preserve">2. </w:t>
            </w:r>
            <w:r w:rsidR="00354BA4" w:rsidRPr="00BE387E">
              <w:rPr>
                <w:rFonts w:ascii="Times New Roman" w:hAnsi="Times New Roman"/>
                <w:sz w:val="24"/>
                <w:szCs w:val="24"/>
              </w:rPr>
              <w:t>Государственная пошлина уплачивается:</w:t>
            </w:r>
          </w:p>
          <w:p w14:paraId="4C03E934" w14:textId="77777777"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w:t>
            </w:r>
          </w:p>
          <w:p w14:paraId="4D164BFA" w14:textId="0ECEE37D" w:rsidR="00354BA4" w:rsidRPr="00BE387E" w:rsidRDefault="00354BA4" w:rsidP="00BE387E">
            <w:pPr>
              <w:pStyle w:val="a8"/>
              <w:jc w:val="both"/>
              <w:rPr>
                <w:rFonts w:ascii="Times New Roman" w:hAnsi="Times New Roman"/>
                <w:sz w:val="24"/>
                <w:szCs w:val="24"/>
              </w:rPr>
            </w:pPr>
            <w:r w:rsidRPr="00BE387E">
              <w:rPr>
                <w:rFonts w:ascii="Times New Roman" w:hAnsi="Times New Roman"/>
                <w:sz w:val="24"/>
                <w:szCs w:val="24"/>
              </w:rPr>
              <w:t>9) за совершение действий, связанных с приобретением гражданства Приднестровской Молдавской Республики, состоянием в гражданстве Приднестровской Молдавской Республики или выходом из гражданства Приднестровской Молдавской Республики, с въездом в Приднестровскую Молдавскую Республику и выездом из Приднестровской Молдавской Республики, а также с пребыванием на территории Приднестровской Молдавской Республики иностранных граждан или лиц без гражданства, установленных частью первой пункта 6 статьи 4 настоящего Закона, за оформление (по просьбе) иных документов, за оформление служебных разрешительных записей – до получения соответствующих документов.</w:t>
            </w:r>
          </w:p>
        </w:tc>
      </w:tr>
    </w:tbl>
    <w:p w14:paraId="7744CD00" w14:textId="77777777" w:rsidR="00DF6E4B" w:rsidRPr="00BE387E" w:rsidRDefault="00DF6E4B" w:rsidP="00BE387E">
      <w:pPr>
        <w:pStyle w:val="a8"/>
        <w:jc w:val="both"/>
        <w:rPr>
          <w:rFonts w:ascii="Times New Roman" w:hAnsi="Times New Roman"/>
          <w:sz w:val="24"/>
          <w:szCs w:val="24"/>
        </w:rPr>
      </w:pPr>
    </w:p>
    <w:sectPr w:rsidR="00DF6E4B" w:rsidRPr="00BE387E" w:rsidSect="00BE387E">
      <w:headerReference w:type="default" r:id="rId7"/>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B2D8C" w14:textId="77777777" w:rsidR="00264F38" w:rsidRDefault="00264F38" w:rsidP="00370EB9">
      <w:pPr>
        <w:spacing w:after="0" w:line="240" w:lineRule="auto"/>
      </w:pPr>
      <w:r>
        <w:separator/>
      </w:r>
    </w:p>
  </w:endnote>
  <w:endnote w:type="continuationSeparator" w:id="0">
    <w:p w14:paraId="646D828A" w14:textId="77777777" w:rsidR="00264F38" w:rsidRDefault="00264F38" w:rsidP="0037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FB00" w14:textId="77777777" w:rsidR="00264F38" w:rsidRDefault="00264F38" w:rsidP="00370EB9">
      <w:pPr>
        <w:spacing w:after="0" w:line="240" w:lineRule="auto"/>
      </w:pPr>
      <w:r>
        <w:separator/>
      </w:r>
    </w:p>
  </w:footnote>
  <w:footnote w:type="continuationSeparator" w:id="0">
    <w:p w14:paraId="052A3D6C" w14:textId="77777777" w:rsidR="00264F38" w:rsidRDefault="00264F38" w:rsidP="0037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34066"/>
      <w:docPartObj>
        <w:docPartGallery w:val="Page Numbers (Top of Page)"/>
        <w:docPartUnique/>
      </w:docPartObj>
    </w:sdtPr>
    <w:sdtEndPr>
      <w:rPr>
        <w:rFonts w:ascii="Times New Roman" w:hAnsi="Times New Roman" w:cs="Times New Roman"/>
        <w:sz w:val="24"/>
        <w:szCs w:val="24"/>
      </w:rPr>
    </w:sdtEndPr>
    <w:sdtContent>
      <w:p w14:paraId="77EDF70F" w14:textId="1D5B314A" w:rsidR="00370EB9" w:rsidRPr="00370EB9" w:rsidRDefault="00370EB9">
        <w:pPr>
          <w:pStyle w:val="af1"/>
          <w:jc w:val="center"/>
          <w:rPr>
            <w:rFonts w:ascii="Times New Roman" w:hAnsi="Times New Roman" w:cs="Times New Roman"/>
            <w:sz w:val="24"/>
            <w:szCs w:val="24"/>
          </w:rPr>
        </w:pPr>
        <w:r w:rsidRPr="00370EB9">
          <w:rPr>
            <w:rFonts w:ascii="Times New Roman" w:hAnsi="Times New Roman" w:cs="Times New Roman"/>
            <w:sz w:val="24"/>
            <w:szCs w:val="24"/>
          </w:rPr>
          <w:fldChar w:fldCharType="begin"/>
        </w:r>
        <w:r w:rsidRPr="00370EB9">
          <w:rPr>
            <w:rFonts w:ascii="Times New Roman" w:hAnsi="Times New Roman" w:cs="Times New Roman"/>
            <w:sz w:val="24"/>
            <w:szCs w:val="24"/>
          </w:rPr>
          <w:instrText>PAGE   \* MERGEFORMAT</w:instrText>
        </w:r>
        <w:r w:rsidRPr="00370EB9">
          <w:rPr>
            <w:rFonts w:ascii="Times New Roman" w:hAnsi="Times New Roman" w:cs="Times New Roman"/>
            <w:sz w:val="24"/>
            <w:szCs w:val="24"/>
          </w:rPr>
          <w:fldChar w:fldCharType="separate"/>
        </w:r>
        <w:r w:rsidR="00755E56" w:rsidRPr="00755E56">
          <w:rPr>
            <w:rFonts w:ascii="Times New Roman" w:hAnsi="Times New Roman" w:cs="Times New Roman"/>
            <w:noProof/>
            <w:sz w:val="24"/>
            <w:szCs w:val="24"/>
            <w:lang w:val="ru-RU"/>
          </w:rPr>
          <w:t>-</w:t>
        </w:r>
        <w:r w:rsidR="00755E56">
          <w:rPr>
            <w:rFonts w:ascii="Times New Roman" w:hAnsi="Times New Roman" w:cs="Times New Roman"/>
            <w:noProof/>
            <w:sz w:val="24"/>
            <w:szCs w:val="24"/>
          </w:rPr>
          <w:t xml:space="preserve"> 3 -</w:t>
        </w:r>
        <w:r w:rsidRPr="00370EB9">
          <w:rPr>
            <w:rFonts w:ascii="Times New Roman" w:hAnsi="Times New Roman" w:cs="Times New Roman"/>
            <w:sz w:val="24"/>
            <w:szCs w:val="24"/>
          </w:rPr>
          <w:fldChar w:fldCharType="end"/>
        </w:r>
      </w:p>
    </w:sdtContent>
  </w:sdt>
  <w:p w14:paraId="2FF2EC1D" w14:textId="77777777" w:rsidR="00370EB9" w:rsidRDefault="00370EB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34B2E"/>
    <w:multiLevelType w:val="hybridMultilevel"/>
    <w:tmpl w:val="85B6F5C4"/>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6517356"/>
    <w:multiLevelType w:val="hybridMultilevel"/>
    <w:tmpl w:val="834EC58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5A65224A"/>
    <w:multiLevelType w:val="hybridMultilevel"/>
    <w:tmpl w:val="056EC39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5F477C25"/>
    <w:multiLevelType w:val="hybridMultilevel"/>
    <w:tmpl w:val="D9E0F306"/>
    <w:lvl w:ilvl="0" w:tplc="0819000F">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E0"/>
    <w:rsid w:val="000333F0"/>
    <w:rsid w:val="00064DC8"/>
    <w:rsid w:val="000B5EAF"/>
    <w:rsid w:val="00127598"/>
    <w:rsid w:val="00141367"/>
    <w:rsid w:val="001A28C1"/>
    <w:rsid w:val="001B6086"/>
    <w:rsid w:val="001B6224"/>
    <w:rsid w:val="001D120B"/>
    <w:rsid w:val="001F3F77"/>
    <w:rsid w:val="00202257"/>
    <w:rsid w:val="00237959"/>
    <w:rsid w:val="00264F38"/>
    <w:rsid w:val="002C4DC9"/>
    <w:rsid w:val="002E16E6"/>
    <w:rsid w:val="003158A1"/>
    <w:rsid w:val="003445D9"/>
    <w:rsid w:val="00354BA4"/>
    <w:rsid w:val="003573E2"/>
    <w:rsid w:val="00370EB9"/>
    <w:rsid w:val="00372D3B"/>
    <w:rsid w:val="003C0946"/>
    <w:rsid w:val="003D01F9"/>
    <w:rsid w:val="003D76AA"/>
    <w:rsid w:val="004333D9"/>
    <w:rsid w:val="00455FDF"/>
    <w:rsid w:val="004D31CC"/>
    <w:rsid w:val="004D52BA"/>
    <w:rsid w:val="00500FC6"/>
    <w:rsid w:val="00534FD0"/>
    <w:rsid w:val="00547101"/>
    <w:rsid w:val="00591F2D"/>
    <w:rsid w:val="00597AE2"/>
    <w:rsid w:val="005B4DC5"/>
    <w:rsid w:val="005F1147"/>
    <w:rsid w:val="006534BA"/>
    <w:rsid w:val="006D3849"/>
    <w:rsid w:val="00725EDC"/>
    <w:rsid w:val="00755E56"/>
    <w:rsid w:val="007C2046"/>
    <w:rsid w:val="0084110F"/>
    <w:rsid w:val="00847C10"/>
    <w:rsid w:val="00850B25"/>
    <w:rsid w:val="008A07A3"/>
    <w:rsid w:val="008B6950"/>
    <w:rsid w:val="00931D19"/>
    <w:rsid w:val="00956A41"/>
    <w:rsid w:val="00964900"/>
    <w:rsid w:val="00985F60"/>
    <w:rsid w:val="00994C62"/>
    <w:rsid w:val="009B1A13"/>
    <w:rsid w:val="00A01F27"/>
    <w:rsid w:val="00A62238"/>
    <w:rsid w:val="00A6739C"/>
    <w:rsid w:val="00AA0319"/>
    <w:rsid w:val="00AA4327"/>
    <w:rsid w:val="00AB5E74"/>
    <w:rsid w:val="00AD3AE7"/>
    <w:rsid w:val="00B360C6"/>
    <w:rsid w:val="00B46E1E"/>
    <w:rsid w:val="00BA2932"/>
    <w:rsid w:val="00BC464A"/>
    <w:rsid w:val="00BE387E"/>
    <w:rsid w:val="00C02186"/>
    <w:rsid w:val="00C052F9"/>
    <w:rsid w:val="00C65B34"/>
    <w:rsid w:val="00CF74EE"/>
    <w:rsid w:val="00D07BB6"/>
    <w:rsid w:val="00D339F8"/>
    <w:rsid w:val="00D41CB9"/>
    <w:rsid w:val="00D44487"/>
    <w:rsid w:val="00D501C7"/>
    <w:rsid w:val="00DD64BA"/>
    <w:rsid w:val="00DF6E4B"/>
    <w:rsid w:val="00E85ACC"/>
    <w:rsid w:val="00EC1ED9"/>
    <w:rsid w:val="00EC2FE0"/>
    <w:rsid w:val="00EE2F59"/>
    <w:rsid w:val="00EE6520"/>
    <w:rsid w:val="00F64808"/>
    <w:rsid w:val="00F71A39"/>
    <w:rsid w:val="00FE7D79"/>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F541"/>
  <w15:chartTrackingRefBased/>
  <w15:docId w15:val="{A758380F-BBA1-437D-AD52-426216CC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2FE0"/>
    <w:rPr>
      <w:color w:val="0000FF"/>
      <w:u w:val="single"/>
    </w:rPr>
  </w:style>
  <w:style w:type="paragraph" w:styleId="a4">
    <w:name w:val="List Paragraph"/>
    <w:basedOn w:val="a"/>
    <w:uiPriority w:val="34"/>
    <w:qFormat/>
    <w:rsid w:val="004333D9"/>
    <w:pPr>
      <w:ind w:left="720"/>
      <w:contextualSpacing/>
    </w:pPr>
  </w:style>
  <w:style w:type="table" w:styleId="a5">
    <w:name w:val="Table Grid"/>
    <w:basedOn w:val="a1"/>
    <w:uiPriority w:val="39"/>
    <w:rsid w:val="00DF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aliases w:val="Текст Знак1 Знак,Текст Знак Знак Знак, Знак Знак Знак Знак,Текст Знак1, Знак Знак Знак, Знак,Текст Знак2,Знак Знак Знак Знак Знак,Знак Знак Знак Знак1, Знак Знак,Знак Знак, Знак Знак Знак Знак1,Знак, ,Знак Знак Знак Знак, Знак3,Знак3,Зн,З"/>
    <w:basedOn w:val="a"/>
    <w:link w:val="3"/>
    <w:rsid w:val="00DF6E4B"/>
    <w:pPr>
      <w:spacing w:after="0" w:line="240" w:lineRule="auto"/>
    </w:pPr>
    <w:rPr>
      <w:rFonts w:ascii="Courier New" w:eastAsia="Times New Roman" w:hAnsi="Courier New" w:cs="Courier New"/>
      <w:sz w:val="20"/>
      <w:szCs w:val="20"/>
      <w:lang w:val="ru-RU" w:eastAsia="ru-RU"/>
    </w:rPr>
  </w:style>
  <w:style w:type="character" w:customStyle="1" w:styleId="a7">
    <w:name w:val="Текст Знак"/>
    <w:basedOn w:val="a0"/>
    <w:uiPriority w:val="99"/>
    <w:semiHidden/>
    <w:rsid w:val="00DF6E4B"/>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Текст Знак1 Знак1, Знак Знак Знак Знак2, Знак Знак1,Текст Знак2 Знак,Знак Знак Знак Знак Знак Знак,Знак Знак Знак Знак1 Знак, Знак Знак Знак1,Знак Знак Знак,Знак Знак1"/>
    <w:link w:val="a6"/>
    <w:rsid w:val="00DF6E4B"/>
    <w:rPr>
      <w:rFonts w:ascii="Courier New" w:eastAsia="Times New Roman" w:hAnsi="Courier New" w:cs="Courier New"/>
      <w:sz w:val="20"/>
      <w:szCs w:val="20"/>
      <w:lang w:val="ru-RU" w:eastAsia="ru-RU"/>
    </w:rPr>
  </w:style>
  <w:style w:type="paragraph" w:styleId="a8">
    <w:name w:val="No Spacing"/>
    <w:link w:val="a9"/>
    <w:uiPriority w:val="1"/>
    <w:qFormat/>
    <w:rsid w:val="00DF6E4B"/>
    <w:pPr>
      <w:spacing w:after="0" w:line="240" w:lineRule="auto"/>
    </w:pPr>
    <w:rPr>
      <w:rFonts w:ascii="Calibri" w:eastAsia="Times New Roman" w:hAnsi="Calibri" w:cs="Times New Roman"/>
      <w:lang w:val="ru-RU" w:eastAsia="ru-RU"/>
    </w:rPr>
  </w:style>
  <w:style w:type="character" w:customStyle="1" w:styleId="a9">
    <w:name w:val="Без интервала Знак"/>
    <w:link w:val="a8"/>
    <w:rsid w:val="00DF6E4B"/>
    <w:rPr>
      <w:rFonts w:ascii="Calibri" w:eastAsia="Times New Roman" w:hAnsi="Calibri" w:cs="Times New Roman"/>
      <w:lang w:val="ru-RU" w:eastAsia="ru-RU"/>
    </w:rPr>
  </w:style>
  <w:style w:type="character" w:styleId="aa">
    <w:name w:val="annotation reference"/>
    <w:basedOn w:val="a0"/>
    <w:uiPriority w:val="99"/>
    <w:semiHidden/>
    <w:unhideWhenUsed/>
    <w:rsid w:val="00EE6520"/>
    <w:rPr>
      <w:sz w:val="16"/>
      <w:szCs w:val="16"/>
    </w:rPr>
  </w:style>
  <w:style w:type="paragraph" w:styleId="ab">
    <w:name w:val="annotation text"/>
    <w:basedOn w:val="a"/>
    <w:link w:val="ac"/>
    <w:uiPriority w:val="99"/>
    <w:semiHidden/>
    <w:unhideWhenUsed/>
    <w:rsid w:val="00EE6520"/>
    <w:pPr>
      <w:spacing w:line="240" w:lineRule="auto"/>
    </w:pPr>
    <w:rPr>
      <w:sz w:val="20"/>
      <w:szCs w:val="20"/>
    </w:rPr>
  </w:style>
  <w:style w:type="character" w:customStyle="1" w:styleId="ac">
    <w:name w:val="Текст примечания Знак"/>
    <w:basedOn w:val="a0"/>
    <w:link w:val="ab"/>
    <w:uiPriority w:val="99"/>
    <w:semiHidden/>
    <w:rsid w:val="00EE6520"/>
    <w:rPr>
      <w:sz w:val="20"/>
      <w:szCs w:val="20"/>
    </w:rPr>
  </w:style>
  <w:style w:type="paragraph" w:styleId="ad">
    <w:name w:val="annotation subject"/>
    <w:basedOn w:val="ab"/>
    <w:next w:val="ab"/>
    <w:link w:val="ae"/>
    <w:uiPriority w:val="99"/>
    <w:semiHidden/>
    <w:unhideWhenUsed/>
    <w:rsid w:val="00EE6520"/>
    <w:rPr>
      <w:b/>
      <w:bCs/>
    </w:rPr>
  </w:style>
  <w:style w:type="character" w:customStyle="1" w:styleId="ae">
    <w:name w:val="Тема примечания Знак"/>
    <w:basedOn w:val="ac"/>
    <w:link w:val="ad"/>
    <w:uiPriority w:val="99"/>
    <w:semiHidden/>
    <w:rsid w:val="00EE6520"/>
    <w:rPr>
      <w:b/>
      <w:bCs/>
      <w:sz w:val="20"/>
      <w:szCs w:val="20"/>
    </w:rPr>
  </w:style>
  <w:style w:type="paragraph" w:styleId="af">
    <w:name w:val="Balloon Text"/>
    <w:basedOn w:val="a"/>
    <w:link w:val="af0"/>
    <w:uiPriority w:val="99"/>
    <w:semiHidden/>
    <w:unhideWhenUsed/>
    <w:rsid w:val="00EE652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E6520"/>
    <w:rPr>
      <w:rFonts w:ascii="Segoe UI" w:hAnsi="Segoe UI" w:cs="Segoe UI"/>
      <w:sz w:val="18"/>
      <w:szCs w:val="18"/>
    </w:rPr>
  </w:style>
  <w:style w:type="paragraph" w:styleId="af1">
    <w:name w:val="header"/>
    <w:basedOn w:val="a"/>
    <w:link w:val="af2"/>
    <w:uiPriority w:val="99"/>
    <w:unhideWhenUsed/>
    <w:rsid w:val="00370EB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0EB9"/>
  </w:style>
  <w:style w:type="paragraph" w:styleId="af3">
    <w:name w:val="footer"/>
    <w:basedOn w:val="a"/>
    <w:link w:val="af4"/>
    <w:uiPriority w:val="99"/>
    <w:unhideWhenUsed/>
    <w:rsid w:val="00370EB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795050">
      <w:bodyDiv w:val="1"/>
      <w:marLeft w:val="0"/>
      <w:marRight w:val="0"/>
      <w:marTop w:val="0"/>
      <w:marBottom w:val="0"/>
      <w:divBdr>
        <w:top w:val="none" w:sz="0" w:space="0" w:color="auto"/>
        <w:left w:val="none" w:sz="0" w:space="0" w:color="auto"/>
        <w:bottom w:val="none" w:sz="0" w:space="0" w:color="auto"/>
        <w:right w:val="none" w:sz="0" w:space="0" w:color="auto"/>
      </w:divBdr>
    </w:div>
    <w:div w:id="1759058381">
      <w:bodyDiv w:val="1"/>
      <w:marLeft w:val="0"/>
      <w:marRight w:val="0"/>
      <w:marTop w:val="0"/>
      <w:marBottom w:val="0"/>
      <w:divBdr>
        <w:top w:val="none" w:sz="0" w:space="0" w:color="auto"/>
        <w:left w:val="none" w:sz="0" w:space="0" w:color="auto"/>
        <w:bottom w:val="none" w:sz="0" w:space="0" w:color="auto"/>
        <w:right w:val="none" w:sz="0" w:space="0" w:color="auto"/>
      </w:divBdr>
    </w:div>
    <w:div w:id="20881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Гончар Елена Дмитриевна</cp:lastModifiedBy>
  <cp:revision>51</cp:revision>
  <cp:lastPrinted>2025-12-24T13:15:00Z</cp:lastPrinted>
  <dcterms:created xsi:type="dcterms:W3CDTF">2025-11-26T14:49:00Z</dcterms:created>
  <dcterms:modified xsi:type="dcterms:W3CDTF">2025-12-30T15:18:00Z</dcterms:modified>
</cp:coreProperties>
</file>