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5A3" w:rsidRDefault="00F105A3" w:rsidP="00F105A3">
      <w:pPr>
        <w:pageBreakBefore/>
        <w:shd w:val="clear" w:color="auto" w:fill="FFFFFF"/>
        <w:ind w:firstLine="709"/>
        <w:jc w:val="center"/>
        <w:rPr>
          <w:szCs w:val="24"/>
        </w:rPr>
      </w:pPr>
      <w:r>
        <w:rPr>
          <w:szCs w:val="24"/>
        </w:rPr>
        <w:t xml:space="preserve">Сравнительная таблица к проекту </w:t>
      </w:r>
    </w:p>
    <w:p w:rsidR="00F105A3" w:rsidRDefault="00F105A3" w:rsidP="00F105A3">
      <w:pPr>
        <w:ind w:firstLine="709"/>
        <w:jc w:val="center"/>
        <w:rPr>
          <w:szCs w:val="24"/>
        </w:rPr>
      </w:pPr>
      <w:bookmarkStart w:id="0" w:name="_GoBack"/>
      <w:r>
        <w:rPr>
          <w:szCs w:val="24"/>
        </w:rPr>
        <w:t xml:space="preserve">конституционного закона Приднестровской Молдавской Республики </w:t>
      </w:r>
    </w:p>
    <w:bookmarkEnd w:id="0"/>
    <w:p w:rsidR="00F105A3" w:rsidRDefault="00F105A3" w:rsidP="00F105A3">
      <w:pPr>
        <w:pStyle w:val="aa"/>
        <w:ind w:left="0" w:firstLine="567"/>
        <w:jc w:val="center"/>
        <w:rPr>
          <w:szCs w:val="24"/>
        </w:rPr>
      </w:pPr>
      <w:r>
        <w:rPr>
          <w:rFonts w:eastAsia="Calibri"/>
          <w:szCs w:val="24"/>
        </w:rPr>
        <w:t>«О внесении изменений в Конституционный закон Приднестровской Молдавской Республики «Об Уполномоченном по правам человека в Приднестровской Молдавской Республике</w:t>
      </w:r>
      <w:r>
        <w:rPr>
          <w:szCs w:val="24"/>
        </w:rPr>
        <w:t>»</w:t>
      </w:r>
    </w:p>
    <w:tbl>
      <w:tblPr>
        <w:tblStyle w:val="ad"/>
        <w:tblW w:w="9634" w:type="dxa"/>
        <w:tblLook w:val="04A0" w:firstRow="1" w:lastRow="0" w:firstColumn="1" w:lastColumn="0" w:noHBand="0" w:noVBand="1"/>
      </w:tblPr>
      <w:tblGrid>
        <w:gridCol w:w="4815"/>
        <w:gridCol w:w="4819"/>
      </w:tblGrid>
      <w:tr w:rsidR="00F105A3" w:rsidTr="00F105A3">
        <w:tc>
          <w:tcPr>
            <w:tcW w:w="4815" w:type="dxa"/>
            <w:tcBorders>
              <w:top w:val="single" w:sz="4" w:space="0" w:color="auto"/>
              <w:left w:val="single" w:sz="4" w:space="0" w:color="auto"/>
              <w:bottom w:val="single" w:sz="4" w:space="0" w:color="auto"/>
              <w:right w:val="single" w:sz="4" w:space="0" w:color="auto"/>
            </w:tcBorders>
            <w:hideMark/>
          </w:tcPr>
          <w:p w:rsidR="00F105A3" w:rsidRDefault="00F105A3">
            <w:pPr>
              <w:pStyle w:val="aa"/>
              <w:ind w:left="0"/>
              <w:jc w:val="center"/>
              <w:rPr>
                <w:szCs w:val="24"/>
              </w:rPr>
            </w:pPr>
            <w:r>
              <w:rPr>
                <w:szCs w:val="24"/>
              </w:rPr>
              <w:t>Действующая редакция</w:t>
            </w:r>
          </w:p>
        </w:tc>
        <w:tc>
          <w:tcPr>
            <w:tcW w:w="4819" w:type="dxa"/>
            <w:tcBorders>
              <w:top w:val="single" w:sz="4" w:space="0" w:color="auto"/>
              <w:left w:val="single" w:sz="4" w:space="0" w:color="auto"/>
              <w:bottom w:val="single" w:sz="4" w:space="0" w:color="auto"/>
              <w:right w:val="single" w:sz="4" w:space="0" w:color="auto"/>
            </w:tcBorders>
            <w:hideMark/>
          </w:tcPr>
          <w:p w:rsidR="00F105A3" w:rsidRDefault="00F105A3">
            <w:pPr>
              <w:pStyle w:val="aa"/>
              <w:ind w:left="0"/>
              <w:jc w:val="center"/>
              <w:rPr>
                <w:szCs w:val="24"/>
              </w:rPr>
            </w:pPr>
            <w:r>
              <w:rPr>
                <w:szCs w:val="24"/>
              </w:rPr>
              <w:t>Предлагаемая редакция</w:t>
            </w:r>
          </w:p>
        </w:tc>
      </w:tr>
      <w:tr w:rsidR="00F105A3" w:rsidTr="00F105A3">
        <w:trPr>
          <w:trHeight w:val="1703"/>
        </w:trPr>
        <w:tc>
          <w:tcPr>
            <w:tcW w:w="4815" w:type="dxa"/>
            <w:tcBorders>
              <w:top w:val="single" w:sz="4" w:space="0" w:color="auto"/>
              <w:left w:val="single" w:sz="4" w:space="0" w:color="auto"/>
              <w:bottom w:val="single" w:sz="4" w:space="0" w:color="auto"/>
              <w:right w:val="single" w:sz="4" w:space="0" w:color="auto"/>
            </w:tcBorders>
            <w:hideMark/>
          </w:tcPr>
          <w:p w:rsidR="00F105A3" w:rsidRDefault="00F105A3">
            <w:pPr>
              <w:pStyle w:val="3"/>
              <w:jc w:val="both"/>
              <w:rPr>
                <w:sz w:val="24"/>
                <w:lang w:eastAsia="en-US"/>
              </w:rPr>
            </w:pPr>
            <w:r>
              <w:rPr>
                <w:sz w:val="24"/>
                <w:lang w:eastAsia="en-US"/>
              </w:rPr>
              <w:t>Статья 12. Порядок финансирования деятельности аппарата Уполномоченного</w:t>
            </w:r>
          </w:p>
          <w:p w:rsidR="00F105A3" w:rsidRDefault="00F105A3">
            <w:pPr>
              <w:ind w:firstLine="480"/>
              <w:jc w:val="both"/>
              <w:rPr>
                <w:szCs w:val="24"/>
                <w:lang w:eastAsia="en-US"/>
              </w:rPr>
            </w:pPr>
            <w:r>
              <w:rPr>
                <w:szCs w:val="24"/>
              </w:rPr>
              <w:t>1. Финансирование деятельности аппарата Уполномоченного осуществляется из средств республиканского бюджета Приднестровской Молдавской Республики.</w:t>
            </w:r>
          </w:p>
          <w:p w:rsidR="00F105A3" w:rsidRDefault="00F105A3">
            <w:pPr>
              <w:ind w:firstLine="480"/>
              <w:jc w:val="both"/>
              <w:rPr>
                <w:szCs w:val="24"/>
              </w:rPr>
            </w:pPr>
            <w:r>
              <w:rPr>
                <w:szCs w:val="24"/>
              </w:rPr>
              <w:t>Смета расходов на содержание аппарата Уполномоченного для целей планирования и включения в расходную часть проекта закона о республиканском бюджете на соответствующий финансовый год ежегодно утверждается на пленарном заседании Верховного Совета Приднестровской Молдавской Республики.</w:t>
            </w:r>
          </w:p>
          <w:p w:rsidR="00F105A3" w:rsidRDefault="00F105A3">
            <w:pPr>
              <w:ind w:firstLine="480"/>
              <w:jc w:val="both"/>
              <w:rPr>
                <w:szCs w:val="24"/>
              </w:rPr>
            </w:pPr>
            <w:r>
              <w:rPr>
                <w:szCs w:val="24"/>
              </w:rPr>
              <w:t>2. Финансирование деятельности аппарата Уполномоченного осуществляется в полном объеме средств, необходимых для осуществления им полномочий, определенных настоящим Конституционным законом.</w:t>
            </w:r>
          </w:p>
          <w:p w:rsidR="00F105A3" w:rsidRDefault="00F105A3">
            <w:pPr>
              <w:ind w:firstLine="480"/>
              <w:jc w:val="both"/>
              <w:rPr>
                <w:szCs w:val="24"/>
              </w:rPr>
            </w:pPr>
            <w:r>
              <w:rPr>
                <w:szCs w:val="24"/>
              </w:rPr>
              <w:t>3. Уполномоченный разрабатывает и представляет на утверждение Верховному Совету Приднестровской Молдавской Республики смету расходов на содержание аппарата Уполномоченного и отчет о ее исполнении.</w:t>
            </w:r>
          </w:p>
          <w:p w:rsidR="00F105A3" w:rsidRDefault="00F105A3">
            <w:pPr>
              <w:ind w:firstLine="480"/>
              <w:jc w:val="both"/>
              <w:rPr>
                <w:szCs w:val="24"/>
              </w:rPr>
            </w:pPr>
            <w:r>
              <w:rPr>
                <w:szCs w:val="24"/>
              </w:rPr>
              <w:t>4. Финансовая отчетность подается Уполномоченным в порядке, установленном действующим законодательством Приднестровской Молдавской Республики.</w:t>
            </w:r>
          </w:p>
          <w:p w:rsidR="00F105A3" w:rsidRDefault="00F105A3">
            <w:pPr>
              <w:ind w:firstLine="480"/>
              <w:jc w:val="both"/>
              <w:rPr>
                <w:szCs w:val="24"/>
              </w:rPr>
            </w:pPr>
            <w:r>
              <w:rPr>
                <w:szCs w:val="24"/>
              </w:rPr>
              <w:t>5. Верховный Совет Приднестровской Молдавской Республики, соответствующие органы государственной власти и управления, органы местного самоуправления, иные органы создают необходимые условия для деятельности Уполномоченного, его аппарата и представителей.</w:t>
            </w:r>
          </w:p>
        </w:tc>
        <w:tc>
          <w:tcPr>
            <w:tcW w:w="4819" w:type="dxa"/>
            <w:tcBorders>
              <w:top w:val="single" w:sz="4" w:space="0" w:color="auto"/>
              <w:left w:val="single" w:sz="4" w:space="0" w:color="auto"/>
              <w:bottom w:val="single" w:sz="4" w:space="0" w:color="auto"/>
              <w:right w:val="single" w:sz="4" w:space="0" w:color="auto"/>
            </w:tcBorders>
          </w:tcPr>
          <w:p w:rsidR="00F105A3" w:rsidRDefault="00F105A3">
            <w:pPr>
              <w:pStyle w:val="3"/>
              <w:jc w:val="both"/>
              <w:rPr>
                <w:sz w:val="24"/>
                <w:lang w:eastAsia="en-US"/>
              </w:rPr>
            </w:pPr>
            <w:r>
              <w:rPr>
                <w:sz w:val="24"/>
                <w:lang w:eastAsia="en-US"/>
              </w:rPr>
              <w:t>Статья 12. Порядок финансирования деятельности аппарата Уполномоченного</w:t>
            </w:r>
          </w:p>
          <w:p w:rsidR="00F105A3" w:rsidRDefault="00F105A3" w:rsidP="00F105A3">
            <w:pPr>
              <w:pStyle w:val="aa"/>
              <w:numPr>
                <w:ilvl w:val="0"/>
                <w:numId w:val="15"/>
              </w:numPr>
              <w:ind w:left="28" w:firstLine="567"/>
              <w:jc w:val="both"/>
              <w:rPr>
                <w:b/>
                <w:bCs/>
                <w:szCs w:val="24"/>
                <w:lang w:eastAsia="en-US"/>
              </w:rPr>
            </w:pPr>
            <w:r>
              <w:rPr>
                <w:b/>
                <w:bCs/>
                <w:szCs w:val="24"/>
              </w:rPr>
              <w:t>Финансирование деятельности аппарата Уполномоченного осуществляется за счет средств республиканского бюджета Приднестровской Молдавской Республики и является расходным обязательством Приднестровской Молдавской Республики.</w:t>
            </w:r>
          </w:p>
          <w:p w:rsidR="00F105A3" w:rsidRDefault="00F105A3">
            <w:pPr>
              <w:jc w:val="both"/>
              <w:rPr>
                <w:b/>
                <w:bCs/>
                <w:szCs w:val="24"/>
              </w:rPr>
            </w:pPr>
          </w:p>
          <w:p w:rsidR="00F105A3" w:rsidRDefault="00F105A3">
            <w:pPr>
              <w:jc w:val="both"/>
              <w:rPr>
                <w:b/>
                <w:bCs/>
                <w:szCs w:val="24"/>
              </w:rPr>
            </w:pPr>
          </w:p>
          <w:p w:rsidR="00F105A3" w:rsidRDefault="00F105A3">
            <w:pPr>
              <w:jc w:val="both"/>
              <w:rPr>
                <w:b/>
                <w:bCs/>
                <w:szCs w:val="24"/>
              </w:rPr>
            </w:pPr>
          </w:p>
          <w:p w:rsidR="00F105A3" w:rsidRDefault="00F105A3">
            <w:pPr>
              <w:jc w:val="both"/>
              <w:rPr>
                <w:b/>
                <w:bCs/>
                <w:szCs w:val="24"/>
              </w:rPr>
            </w:pPr>
          </w:p>
          <w:p w:rsidR="00F105A3" w:rsidRDefault="00F105A3">
            <w:pPr>
              <w:ind w:firstLine="480"/>
              <w:jc w:val="both"/>
              <w:rPr>
                <w:szCs w:val="24"/>
              </w:rPr>
            </w:pPr>
            <w:r>
              <w:rPr>
                <w:szCs w:val="24"/>
              </w:rPr>
              <w:t>2. Финансирование деятельности аппарата Уполномоченного осуществляется в полном объеме средств, необходимых для осуществления им полномочий, определенных настоящим Конституционным законом.</w:t>
            </w:r>
          </w:p>
          <w:p w:rsidR="00F105A3" w:rsidRDefault="00F105A3">
            <w:pPr>
              <w:ind w:firstLine="480"/>
              <w:jc w:val="both"/>
              <w:rPr>
                <w:b/>
                <w:bCs/>
                <w:szCs w:val="24"/>
              </w:rPr>
            </w:pPr>
            <w:r>
              <w:rPr>
                <w:b/>
                <w:bCs/>
                <w:szCs w:val="24"/>
              </w:rPr>
              <w:t>3. Исключен.</w:t>
            </w:r>
          </w:p>
          <w:p w:rsidR="00F105A3" w:rsidRDefault="00F105A3">
            <w:pPr>
              <w:ind w:firstLine="480"/>
              <w:jc w:val="both"/>
              <w:rPr>
                <w:szCs w:val="24"/>
              </w:rPr>
            </w:pPr>
          </w:p>
          <w:p w:rsidR="00F105A3" w:rsidRDefault="00F105A3">
            <w:pPr>
              <w:ind w:firstLine="480"/>
              <w:jc w:val="both"/>
              <w:rPr>
                <w:szCs w:val="24"/>
              </w:rPr>
            </w:pPr>
          </w:p>
          <w:p w:rsidR="00F105A3" w:rsidRDefault="00F105A3">
            <w:pPr>
              <w:ind w:firstLine="480"/>
              <w:jc w:val="both"/>
              <w:rPr>
                <w:szCs w:val="24"/>
              </w:rPr>
            </w:pPr>
          </w:p>
          <w:p w:rsidR="00F105A3" w:rsidRDefault="00F105A3">
            <w:pPr>
              <w:ind w:firstLine="480"/>
              <w:jc w:val="both"/>
              <w:rPr>
                <w:szCs w:val="24"/>
              </w:rPr>
            </w:pPr>
          </w:p>
          <w:p w:rsidR="00F105A3" w:rsidRDefault="00F105A3">
            <w:pPr>
              <w:ind w:firstLine="480"/>
              <w:jc w:val="both"/>
              <w:rPr>
                <w:szCs w:val="24"/>
              </w:rPr>
            </w:pPr>
          </w:p>
          <w:p w:rsidR="00F105A3" w:rsidRDefault="00F105A3">
            <w:pPr>
              <w:ind w:firstLine="480"/>
              <w:jc w:val="both"/>
              <w:rPr>
                <w:szCs w:val="24"/>
              </w:rPr>
            </w:pPr>
            <w:r>
              <w:rPr>
                <w:szCs w:val="24"/>
              </w:rPr>
              <w:t>4. Финансовая отчетность подается Уполномоченным в порядке, установленном действующим законодательством Приднестровской Молдавской Республики.</w:t>
            </w:r>
          </w:p>
          <w:p w:rsidR="00F105A3" w:rsidRDefault="00F105A3">
            <w:pPr>
              <w:ind w:firstLine="480"/>
              <w:jc w:val="both"/>
              <w:rPr>
                <w:szCs w:val="24"/>
              </w:rPr>
            </w:pPr>
            <w:r>
              <w:rPr>
                <w:szCs w:val="24"/>
              </w:rPr>
              <w:t>5. Верховный Совет Приднестровской Молдавской Республики, соответствующие органы государственной власти и управления, органы местного самоуправления, иные органы создают необходимые условия для деятельности Уполномоченного, его аппарата и представителей.</w:t>
            </w:r>
          </w:p>
          <w:p w:rsidR="00F105A3" w:rsidRDefault="00F105A3">
            <w:pPr>
              <w:tabs>
                <w:tab w:val="left" w:pos="993"/>
              </w:tabs>
              <w:autoSpaceDE w:val="0"/>
              <w:autoSpaceDN w:val="0"/>
              <w:adjustRightInd w:val="0"/>
              <w:ind w:firstLine="592"/>
              <w:jc w:val="both"/>
              <w:rPr>
                <w:bCs/>
                <w:szCs w:val="24"/>
              </w:rPr>
            </w:pPr>
          </w:p>
        </w:tc>
      </w:tr>
    </w:tbl>
    <w:p w:rsidR="00F105A3" w:rsidRDefault="00F105A3" w:rsidP="00F105A3">
      <w:pPr>
        <w:shd w:val="clear" w:color="auto" w:fill="FFFFFF"/>
        <w:jc w:val="both"/>
        <w:rPr>
          <w:rFonts w:eastAsiaTheme="minorHAnsi"/>
          <w:szCs w:val="24"/>
          <w:lang w:eastAsia="en-US"/>
        </w:rPr>
      </w:pPr>
    </w:p>
    <w:p w:rsidR="00805BF6" w:rsidRPr="00F105A3" w:rsidRDefault="00805BF6" w:rsidP="00F105A3"/>
    <w:sectPr w:rsidR="00805BF6" w:rsidRPr="00F105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BA73F5A"/>
    <w:multiLevelType w:val="hybridMultilevel"/>
    <w:tmpl w:val="FB2A105E"/>
    <w:lvl w:ilvl="0" w:tplc="7870ED66">
      <w:start w:val="1"/>
      <w:numFmt w:val="decimal"/>
      <w:lvlText w:val="%1."/>
      <w:lvlJc w:val="left"/>
      <w:pPr>
        <w:ind w:left="960" w:hanging="480"/>
      </w:pPr>
      <w:rPr>
        <w:b w:val="0"/>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start w:val="1"/>
      <w:numFmt w:val="lowerLetter"/>
      <w:lvlText w:val="%5."/>
      <w:lvlJc w:val="left"/>
      <w:pPr>
        <w:ind w:left="3720" w:hanging="360"/>
      </w:pPr>
    </w:lvl>
    <w:lvl w:ilvl="5" w:tplc="0419001B">
      <w:start w:val="1"/>
      <w:numFmt w:val="lowerRoman"/>
      <w:lvlText w:val="%6."/>
      <w:lvlJc w:val="right"/>
      <w:pPr>
        <w:ind w:left="4440" w:hanging="180"/>
      </w:pPr>
    </w:lvl>
    <w:lvl w:ilvl="6" w:tplc="0419000F">
      <w:start w:val="1"/>
      <w:numFmt w:val="decimal"/>
      <w:lvlText w:val="%7."/>
      <w:lvlJc w:val="left"/>
      <w:pPr>
        <w:ind w:left="5160" w:hanging="360"/>
      </w:pPr>
    </w:lvl>
    <w:lvl w:ilvl="7" w:tplc="04190019">
      <w:start w:val="1"/>
      <w:numFmt w:val="lowerLetter"/>
      <w:lvlText w:val="%8."/>
      <w:lvlJc w:val="left"/>
      <w:pPr>
        <w:ind w:left="5880" w:hanging="360"/>
      </w:pPr>
    </w:lvl>
    <w:lvl w:ilvl="8" w:tplc="0419001B">
      <w:start w:val="1"/>
      <w:numFmt w:val="lowerRoman"/>
      <w:lvlText w:val="%9."/>
      <w:lvlJc w:val="right"/>
      <w:pPr>
        <w:ind w:left="6600" w:hanging="180"/>
      </w:pPr>
    </w:lvl>
  </w:abstractNum>
  <w:abstractNum w:abstractNumId="2"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2"/>
  </w:num>
  <w:num w:numId="3">
    <w:abstractNumId w:val="9"/>
  </w:num>
  <w:num w:numId="4">
    <w:abstractNumId w:val="4"/>
  </w:num>
  <w:num w:numId="5">
    <w:abstractNumId w:val="3"/>
  </w:num>
  <w:num w:numId="6">
    <w:abstractNumId w:val="0"/>
  </w:num>
  <w:num w:numId="7">
    <w:abstractNumId w:val="8"/>
  </w:num>
  <w:num w:numId="8">
    <w:abstractNumId w:val="7"/>
  </w:num>
  <w:num w:numId="9">
    <w:abstractNumId w:val="6"/>
  </w:num>
  <w:num w:numId="10">
    <w:abstractNumId w:val="13"/>
  </w:num>
  <w:num w:numId="11">
    <w:abstractNumId w:val="5"/>
  </w:num>
  <w:num w:numId="12">
    <w:abstractNumId w:val="2"/>
  </w:num>
  <w:num w:numId="13">
    <w:abstractNumId w:val="11"/>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3E46"/>
    <w:rsid w:val="00032201"/>
    <w:rsid w:val="000355F2"/>
    <w:rsid w:val="00041209"/>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C3472"/>
    <w:rsid w:val="000C3DDD"/>
    <w:rsid w:val="000D1F80"/>
    <w:rsid w:val="000D314D"/>
    <w:rsid w:val="000D3EBE"/>
    <w:rsid w:val="000D783F"/>
    <w:rsid w:val="000E002A"/>
    <w:rsid w:val="000E30D0"/>
    <w:rsid w:val="000F6BEE"/>
    <w:rsid w:val="001029B9"/>
    <w:rsid w:val="00116CF1"/>
    <w:rsid w:val="00134D27"/>
    <w:rsid w:val="00145865"/>
    <w:rsid w:val="00153B38"/>
    <w:rsid w:val="001565A9"/>
    <w:rsid w:val="001640F1"/>
    <w:rsid w:val="00165DCC"/>
    <w:rsid w:val="00167111"/>
    <w:rsid w:val="001719F0"/>
    <w:rsid w:val="00173401"/>
    <w:rsid w:val="00173F99"/>
    <w:rsid w:val="00175242"/>
    <w:rsid w:val="0017613B"/>
    <w:rsid w:val="00183BE5"/>
    <w:rsid w:val="001902C2"/>
    <w:rsid w:val="001935C9"/>
    <w:rsid w:val="001A1C3A"/>
    <w:rsid w:val="001A44A1"/>
    <w:rsid w:val="001A76EF"/>
    <w:rsid w:val="001B75ED"/>
    <w:rsid w:val="001D281A"/>
    <w:rsid w:val="001D3F15"/>
    <w:rsid w:val="001E02BB"/>
    <w:rsid w:val="001E1DE8"/>
    <w:rsid w:val="001E2081"/>
    <w:rsid w:val="001E687E"/>
    <w:rsid w:val="001E6B3B"/>
    <w:rsid w:val="001F15AC"/>
    <w:rsid w:val="001F24DB"/>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7C5D"/>
    <w:rsid w:val="003809E0"/>
    <w:rsid w:val="0038236C"/>
    <w:rsid w:val="003B5F35"/>
    <w:rsid w:val="003C30B6"/>
    <w:rsid w:val="003C33BA"/>
    <w:rsid w:val="003C5FEA"/>
    <w:rsid w:val="003C65DE"/>
    <w:rsid w:val="003D1E08"/>
    <w:rsid w:val="003D4F03"/>
    <w:rsid w:val="003E1C13"/>
    <w:rsid w:val="004008FE"/>
    <w:rsid w:val="00405F86"/>
    <w:rsid w:val="00415509"/>
    <w:rsid w:val="004171F5"/>
    <w:rsid w:val="004273E1"/>
    <w:rsid w:val="00430FF0"/>
    <w:rsid w:val="00437466"/>
    <w:rsid w:val="004404A7"/>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434FA"/>
    <w:rsid w:val="00557872"/>
    <w:rsid w:val="00563BEC"/>
    <w:rsid w:val="00565476"/>
    <w:rsid w:val="00571189"/>
    <w:rsid w:val="005779E9"/>
    <w:rsid w:val="005804FF"/>
    <w:rsid w:val="00583CE2"/>
    <w:rsid w:val="00587F84"/>
    <w:rsid w:val="00594916"/>
    <w:rsid w:val="005A6C8F"/>
    <w:rsid w:val="005B1A7D"/>
    <w:rsid w:val="005B2659"/>
    <w:rsid w:val="005C1B0D"/>
    <w:rsid w:val="005C2599"/>
    <w:rsid w:val="005D16B8"/>
    <w:rsid w:val="005D37D0"/>
    <w:rsid w:val="005E32DD"/>
    <w:rsid w:val="005E3B8F"/>
    <w:rsid w:val="005F579A"/>
    <w:rsid w:val="005F68DE"/>
    <w:rsid w:val="005F696A"/>
    <w:rsid w:val="005F7AE7"/>
    <w:rsid w:val="006034E4"/>
    <w:rsid w:val="006128D7"/>
    <w:rsid w:val="00613B10"/>
    <w:rsid w:val="00617413"/>
    <w:rsid w:val="00620ECD"/>
    <w:rsid w:val="006214D9"/>
    <w:rsid w:val="00627081"/>
    <w:rsid w:val="00633736"/>
    <w:rsid w:val="00633CDF"/>
    <w:rsid w:val="00642242"/>
    <w:rsid w:val="00650272"/>
    <w:rsid w:val="00657950"/>
    <w:rsid w:val="006725CE"/>
    <w:rsid w:val="00672E22"/>
    <w:rsid w:val="00677ADF"/>
    <w:rsid w:val="0068447E"/>
    <w:rsid w:val="006848B8"/>
    <w:rsid w:val="00686C70"/>
    <w:rsid w:val="0069338B"/>
    <w:rsid w:val="006969C4"/>
    <w:rsid w:val="006A2690"/>
    <w:rsid w:val="006A7958"/>
    <w:rsid w:val="006B048E"/>
    <w:rsid w:val="006D198C"/>
    <w:rsid w:val="006D19C3"/>
    <w:rsid w:val="006D5623"/>
    <w:rsid w:val="006E42B3"/>
    <w:rsid w:val="006F3310"/>
    <w:rsid w:val="006F3926"/>
    <w:rsid w:val="006F5D38"/>
    <w:rsid w:val="007053CE"/>
    <w:rsid w:val="00711F83"/>
    <w:rsid w:val="00712719"/>
    <w:rsid w:val="00715AE3"/>
    <w:rsid w:val="00716F51"/>
    <w:rsid w:val="00717915"/>
    <w:rsid w:val="00726174"/>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7AFC"/>
    <w:rsid w:val="009D3DE3"/>
    <w:rsid w:val="009E17B5"/>
    <w:rsid w:val="009E3459"/>
    <w:rsid w:val="009E46B0"/>
    <w:rsid w:val="009F23F1"/>
    <w:rsid w:val="009F354C"/>
    <w:rsid w:val="009F5DE5"/>
    <w:rsid w:val="00A00AE1"/>
    <w:rsid w:val="00A0184D"/>
    <w:rsid w:val="00A070C1"/>
    <w:rsid w:val="00A13B37"/>
    <w:rsid w:val="00A20BF0"/>
    <w:rsid w:val="00A26444"/>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7AEC"/>
    <w:rsid w:val="00A92BF6"/>
    <w:rsid w:val="00A93A9C"/>
    <w:rsid w:val="00AA50B1"/>
    <w:rsid w:val="00AA7D87"/>
    <w:rsid w:val="00AC09E3"/>
    <w:rsid w:val="00AC639E"/>
    <w:rsid w:val="00AD608F"/>
    <w:rsid w:val="00AF18E5"/>
    <w:rsid w:val="00AF1BE4"/>
    <w:rsid w:val="00AF25E1"/>
    <w:rsid w:val="00AF6F63"/>
    <w:rsid w:val="00B04D3C"/>
    <w:rsid w:val="00B23EFE"/>
    <w:rsid w:val="00B31E61"/>
    <w:rsid w:val="00B43D2E"/>
    <w:rsid w:val="00B442AF"/>
    <w:rsid w:val="00B51471"/>
    <w:rsid w:val="00B6096C"/>
    <w:rsid w:val="00B62A90"/>
    <w:rsid w:val="00B6631D"/>
    <w:rsid w:val="00B731CB"/>
    <w:rsid w:val="00B81F49"/>
    <w:rsid w:val="00B82DF0"/>
    <w:rsid w:val="00B83B35"/>
    <w:rsid w:val="00B85A7A"/>
    <w:rsid w:val="00B94755"/>
    <w:rsid w:val="00B97842"/>
    <w:rsid w:val="00BB1AD7"/>
    <w:rsid w:val="00BC6700"/>
    <w:rsid w:val="00BC7316"/>
    <w:rsid w:val="00BD6C01"/>
    <w:rsid w:val="00BE42FA"/>
    <w:rsid w:val="00BF1B53"/>
    <w:rsid w:val="00C02C88"/>
    <w:rsid w:val="00C05EAB"/>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C15D1"/>
    <w:rsid w:val="00CC2CCB"/>
    <w:rsid w:val="00CC71D6"/>
    <w:rsid w:val="00CD1055"/>
    <w:rsid w:val="00CD5D6A"/>
    <w:rsid w:val="00CE1EBC"/>
    <w:rsid w:val="00CE40FD"/>
    <w:rsid w:val="00CE7407"/>
    <w:rsid w:val="00CF2876"/>
    <w:rsid w:val="00CF44C5"/>
    <w:rsid w:val="00CF7A7A"/>
    <w:rsid w:val="00D06D77"/>
    <w:rsid w:val="00D15570"/>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A0B48"/>
    <w:rsid w:val="00DA2654"/>
    <w:rsid w:val="00DB40D4"/>
    <w:rsid w:val="00DC1AFF"/>
    <w:rsid w:val="00DC26A4"/>
    <w:rsid w:val="00DD0896"/>
    <w:rsid w:val="00DF01E0"/>
    <w:rsid w:val="00DF0A7D"/>
    <w:rsid w:val="00DF247F"/>
    <w:rsid w:val="00DF36D8"/>
    <w:rsid w:val="00DF3F74"/>
    <w:rsid w:val="00DF4ABC"/>
    <w:rsid w:val="00E03463"/>
    <w:rsid w:val="00E0616F"/>
    <w:rsid w:val="00E15344"/>
    <w:rsid w:val="00E23872"/>
    <w:rsid w:val="00E31812"/>
    <w:rsid w:val="00E31DA0"/>
    <w:rsid w:val="00E41D7B"/>
    <w:rsid w:val="00E52535"/>
    <w:rsid w:val="00E563CD"/>
    <w:rsid w:val="00E57F46"/>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30A4"/>
    <w:rsid w:val="00EA34D9"/>
    <w:rsid w:val="00EB3653"/>
    <w:rsid w:val="00EC4099"/>
    <w:rsid w:val="00EC557B"/>
    <w:rsid w:val="00EC5885"/>
    <w:rsid w:val="00ED36E3"/>
    <w:rsid w:val="00EE0A71"/>
    <w:rsid w:val="00EE0D01"/>
    <w:rsid w:val="00EE15B3"/>
    <w:rsid w:val="00EE46CE"/>
    <w:rsid w:val="00EF1600"/>
    <w:rsid w:val="00EF1F93"/>
    <w:rsid w:val="00F0432D"/>
    <w:rsid w:val="00F046E6"/>
    <w:rsid w:val="00F04882"/>
    <w:rsid w:val="00F105A3"/>
    <w:rsid w:val="00F130F6"/>
    <w:rsid w:val="00F217F1"/>
    <w:rsid w:val="00F24107"/>
    <w:rsid w:val="00F3024A"/>
    <w:rsid w:val="00F30AE3"/>
    <w:rsid w:val="00F45329"/>
    <w:rsid w:val="00F50291"/>
    <w:rsid w:val="00F57555"/>
    <w:rsid w:val="00F6504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E3377"/>
    <w:rsid w:val="00FE347B"/>
    <w:rsid w:val="00FE4910"/>
    <w:rsid w:val="00FF073E"/>
    <w:rsid w:val="00FF41F4"/>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uiPriority w:val="1"/>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99"/>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165364846">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394B5-B55E-43FB-8706-0875C1D14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372</Words>
  <Characters>2124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17</cp:revision>
  <cp:lastPrinted>2026-01-30T06:58:00Z</cp:lastPrinted>
  <dcterms:created xsi:type="dcterms:W3CDTF">2026-02-09T12:39:00Z</dcterms:created>
  <dcterms:modified xsi:type="dcterms:W3CDTF">2026-02-12T13:46:00Z</dcterms:modified>
</cp:coreProperties>
</file>