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503" w:rsidRPr="00042503" w:rsidRDefault="00042503" w:rsidP="00042503">
      <w:pPr>
        <w:jc w:val="center"/>
        <w:rPr>
          <w:b/>
          <w:sz w:val="28"/>
          <w:szCs w:val="28"/>
        </w:rPr>
      </w:pPr>
      <w:r w:rsidRPr="00042503">
        <w:rPr>
          <w:b/>
          <w:sz w:val="28"/>
          <w:szCs w:val="28"/>
        </w:rPr>
        <w:t>Сравнительная таблица</w:t>
      </w:r>
    </w:p>
    <w:p w:rsidR="00042503" w:rsidRPr="00042503" w:rsidRDefault="00042503" w:rsidP="00042503">
      <w:pPr>
        <w:keepNext/>
        <w:jc w:val="center"/>
        <w:outlineLvl w:val="0"/>
        <w:rPr>
          <w:sz w:val="28"/>
          <w:szCs w:val="28"/>
        </w:rPr>
      </w:pPr>
      <w:r w:rsidRPr="00042503">
        <w:rPr>
          <w:sz w:val="28"/>
          <w:szCs w:val="28"/>
        </w:rPr>
        <w:t xml:space="preserve">к проекту закона Приднестровской Молдавской Республики </w:t>
      </w:r>
    </w:p>
    <w:p w:rsidR="00042503" w:rsidRPr="00042503" w:rsidRDefault="00042503" w:rsidP="00042503">
      <w:pPr>
        <w:jc w:val="center"/>
        <w:rPr>
          <w:b/>
          <w:bCs/>
          <w:sz w:val="28"/>
          <w:szCs w:val="28"/>
        </w:rPr>
      </w:pPr>
      <w:r w:rsidRPr="00042503">
        <w:rPr>
          <w:color w:val="000000"/>
          <w:sz w:val="28"/>
          <w:szCs w:val="28"/>
        </w:rPr>
        <w:t>«О внесении изменения в Закон Приднестровской Молдавской Республики «Об электроэнергетике»</w:t>
      </w:r>
    </w:p>
    <w:p w:rsidR="00042503" w:rsidRPr="00042503" w:rsidRDefault="00042503" w:rsidP="00042503">
      <w:pPr>
        <w:jc w:val="both"/>
        <w:rPr>
          <w:bCs/>
          <w:i/>
          <w:sz w:val="28"/>
          <w:szCs w:val="28"/>
        </w:rPr>
      </w:pPr>
    </w:p>
    <w:tbl>
      <w:tblPr>
        <w:tblW w:w="5000" w:type="pct"/>
        <w:tblLook w:val="01E0" w:firstRow="1" w:lastRow="1" w:firstColumn="1" w:lastColumn="1" w:noHBand="0" w:noVBand="0"/>
      </w:tblPr>
      <w:tblGrid>
        <w:gridCol w:w="4681"/>
        <w:gridCol w:w="4947"/>
      </w:tblGrid>
      <w:tr w:rsidR="00042503" w:rsidRPr="00042503" w:rsidTr="00BC45C4">
        <w:tc>
          <w:tcPr>
            <w:tcW w:w="2431" w:type="pct"/>
            <w:tcBorders>
              <w:top w:val="single" w:sz="4" w:space="0" w:color="auto"/>
              <w:left w:val="single" w:sz="4" w:space="0" w:color="auto"/>
              <w:bottom w:val="single" w:sz="4" w:space="0" w:color="auto"/>
              <w:right w:val="single" w:sz="4" w:space="0" w:color="auto"/>
            </w:tcBorders>
            <w:shd w:val="clear" w:color="auto" w:fill="auto"/>
          </w:tcPr>
          <w:p w:rsidR="00042503" w:rsidRPr="00042503" w:rsidRDefault="00042503" w:rsidP="00042503">
            <w:pPr>
              <w:ind w:firstLine="709"/>
              <w:rPr>
                <w:rFonts w:eastAsiaTheme="minorHAnsi"/>
                <w:kern w:val="2"/>
                <w:sz w:val="28"/>
                <w:szCs w:val="28"/>
                <w:lang w:eastAsia="en-US"/>
              </w:rPr>
            </w:pPr>
            <w:r w:rsidRPr="00042503">
              <w:rPr>
                <w:rFonts w:eastAsiaTheme="minorHAnsi"/>
                <w:kern w:val="2"/>
                <w:sz w:val="28"/>
                <w:szCs w:val="28"/>
                <w:lang w:eastAsia="en-US"/>
              </w:rPr>
              <w:t>Действующая редакция</w:t>
            </w:r>
          </w:p>
        </w:tc>
        <w:tc>
          <w:tcPr>
            <w:tcW w:w="2569" w:type="pct"/>
            <w:tcBorders>
              <w:top w:val="single" w:sz="4" w:space="0" w:color="auto"/>
              <w:left w:val="single" w:sz="4" w:space="0" w:color="auto"/>
              <w:bottom w:val="single" w:sz="4" w:space="0" w:color="auto"/>
              <w:right w:val="single" w:sz="4" w:space="0" w:color="auto"/>
            </w:tcBorders>
            <w:shd w:val="clear" w:color="auto" w:fill="auto"/>
          </w:tcPr>
          <w:p w:rsidR="00042503" w:rsidRPr="00042503" w:rsidRDefault="00042503" w:rsidP="00042503">
            <w:pPr>
              <w:ind w:firstLine="709"/>
              <w:rPr>
                <w:rFonts w:eastAsiaTheme="minorHAnsi"/>
                <w:kern w:val="2"/>
                <w:sz w:val="28"/>
                <w:szCs w:val="28"/>
                <w:lang w:eastAsia="en-US"/>
              </w:rPr>
            </w:pPr>
            <w:r w:rsidRPr="00042503">
              <w:rPr>
                <w:rFonts w:eastAsiaTheme="minorHAnsi"/>
                <w:kern w:val="2"/>
                <w:sz w:val="28"/>
                <w:szCs w:val="28"/>
                <w:lang w:eastAsia="en-US"/>
              </w:rPr>
              <w:t>Предлагаемая редакция</w:t>
            </w:r>
          </w:p>
        </w:tc>
      </w:tr>
      <w:tr w:rsidR="00042503" w:rsidRPr="00042503" w:rsidTr="00BC45C4">
        <w:trPr>
          <w:trHeight w:val="1266"/>
        </w:trPr>
        <w:tc>
          <w:tcPr>
            <w:tcW w:w="2431" w:type="pct"/>
            <w:tcBorders>
              <w:top w:val="single" w:sz="4" w:space="0" w:color="auto"/>
              <w:left w:val="single" w:sz="4" w:space="0" w:color="auto"/>
              <w:bottom w:val="single" w:sz="4" w:space="0" w:color="auto"/>
              <w:right w:val="single" w:sz="4" w:space="0" w:color="auto"/>
            </w:tcBorders>
            <w:shd w:val="clear" w:color="auto" w:fill="auto"/>
          </w:tcPr>
          <w:p w:rsidR="00042503" w:rsidRPr="00042503" w:rsidRDefault="00042503" w:rsidP="00042503">
            <w:pPr>
              <w:ind w:firstLine="709"/>
              <w:jc w:val="both"/>
              <w:rPr>
                <w:rFonts w:eastAsiaTheme="minorHAnsi"/>
                <w:kern w:val="2"/>
                <w:sz w:val="28"/>
                <w:szCs w:val="28"/>
                <w:lang w:eastAsia="en-US"/>
              </w:rPr>
            </w:pPr>
            <w:r w:rsidRPr="00042503">
              <w:rPr>
                <w:rFonts w:eastAsiaTheme="minorHAnsi"/>
                <w:kern w:val="2"/>
                <w:sz w:val="28"/>
                <w:szCs w:val="28"/>
                <w:lang w:eastAsia="en-US"/>
              </w:rPr>
              <w:t>Часть третья пункта 3 статьи 7</w:t>
            </w:r>
          </w:p>
          <w:p w:rsidR="00042503" w:rsidRPr="00042503" w:rsidRDefault="00042503" w:rsidP="00042503">
            <w:pPr>
              <w:ind w:firstLine="709"/>
              <w:jc w:val="both"/>
              <w:rPr>
                <w:rFonts w:eastAsiaTheme="minorHAnsi"/>
                <w:kern w:val="2"/>
                <w:sz w:val="28"/>
                <w:szCs w:val="28"/>
                <w:lang w:eastAsia="en-US"/>
              </w:rPr>
            </w:pPr>
            <w:r w:rsidRPr="00042503">
              <w:rPr>
                <w:rFonts w:eastAsiaTheme="minorHAnsi"/>
                <w:kern w:val="2"/>
                <w:sz w:val="28"/>
                <w:szCs w:val="28"/>
                <w:lang w:eastAsia="en-US"/>
              </w:rPr>
              <w:t>Продавцами электроэнергии на розничном рынке Приднестровской Молдавской Республики вправе выступать электросетевые организации; оптовые покупатели электрической энергии в случаях, предусмотренных правилами оптового рынка электрической энергии, утверждаемыми Правительством Приднестровской Молдавской Республики; производители электроэнергии, работающие в режиме комбинированной выработки электрической и тепловой энергии; производители электроэнергии из возобновляемых источников энергии, являющиеся юридическими лицами. Физические лица и юридические лица, осуществляющие производство электрической энергии из возобновляемых источников энергии в целях обеспечения собственного потребления, вправе вне зависимости от места производства электрической энергии проводить перерасчет с электросетевой организацией на сумму избытка электроэнергии, отпущенного электросетевой организации при обеспечении технической возможности и учета приема-отдачи электроэнергии с учетом общего потребления по всем местам потребления лица (потребителя). Порядок перерасчета и технические требования к приборам учета определяются исполнительным органом государственной власти, в ведении которого находятся вопросы энергетики.</w:t>
            </w:r>
          </w:p>
        </w:tc>
        <w:tc>
          <w:tcPr>
            <w:tcW w:w="2569" w:type="pct"/>
            <w:tcBorders>
              <w:top w:val="single" w:sz="4" w:space="0" w:color="auto"/>
              <w:left w:val="single" w:sz="4" w:space="0" w:color="auto"/>
              <w:bottom w:val="single" w:sz="4" w:space="0" w:color="auto"/>
              <w:right w:val="single" w:sz="4" w:space="0" w:color="auto"/>
            </w:tcBorders>
            <w:shd w:val="clear" w:color="auto" w:fill="auto"/>
          </w:tcPr>
          <w:p w:rsidR="00042503" w:rsidRPr="00042503" w:rsidRDefault="00042503" w:rsidP="00042503">
            <w:pPr>
              <w:ind w:firstLine="709"/>
              <w:jc w:val="both"/>
              <w:rPr>
                <w:rFonts w:eastAsiaTheme="minorHAnsi"/>
                <w:kern w:val="2"/>
                <w:sz w:val="28"/>
                <w:szCs w:val="28"/>
                <w:lang w:eastAsia="en-US"/>
              </w:rPr>
            </w:pPr>
            <w:r w:rsidRPr="00042503">
              <w:rPr>
                <w:rFonts w:eastAsiaTheme="minorHAnsi"/>
                <w:kern w:val="2"/>
                <w:sz w:val="28"/>
                <w:szCs w:val="28"/>
                <w:lang w:eastAsia="en-US"/>
              </w:rPr>
              <w:t>Часть третья пункта 3 статьи 7</w:t>
            </w:r>
          </w:p>
          <w:p w:rsidR="00042503" w:rsidRPr="00042503" w:rsidRDefault="00042503" w:rsidP="00042503">
            <w:pPr>
              <w:ind w:firstLine="709"/>
              <w:jc w:val="both"/>
              <w:rPr>
                <w:rFonts w:eastAsiaTheme="minorHAnsi"/>
                <w:kern w:val="2"/>
                <w:sz w:val="28"/>
                <w:szCs w:val="28"/>
                <w:lang w:eastAsia="en-US"/>
              </w:rPr>
            </w:pPr>
            <w:r w:rsidRPr="00042503">
              <w:rPr>
                <w:rFonts w:eastAsiaTheme="minorHAnsi"/>
                <w:kern w:val="2"/>
                <w:sz w:val="28"/>
                <w:szCs w:val="28"/>
                <w:lang w:eastAsia="en-US"/>
              </w:rPr>
              <w:t xml:space="preserve">Продавцами электроэнергии на розничном рынке Приднестровской Молдавской Республики вправе выступать электросетевые организации; оптовые покупатели электрической энергии в случаях, предусмотренных правилами оптового рынка электрической энергии, утверждаемыми Правительством Приднестровской Молдавской Республики; производители электроэнергии, работающие в режиме комбинированной выработки электрической и тепловой энергии; производители электроэнергии из возобновляемых источников энергии, являющиеся юридическими лицами. Физические лица и юридические лица, осуществляющие производство электрической энергии из возобновляемых источников энергии в целях обеспечения собственного потребления, вправе вне зависимости от места производства электрической энергии проводить перерасчет с электросетевой организацией, </w:t>
            </w:r>
            <w:r w:rsidRPr="00042503">
              <w:rPr>
                <w:rFonts w:eastAsiaTheme="minorHAnsi"/>
                <w:b/>
                <w:kern w:val="2"/>
                <w:sz w:val="28"/>
                <w:szCs w:val="28"/>
                <w:lang w:eastAsia="en-US"/>
              </w:rPr>
              <w:t>государственной формы собственности</w:t>
            </w:r>
            <w:r w:rsidRPr="00042503">
              <w:rPr>
                <w:rFonts w:eastAsiaTheme="minorHAnsi"/>
                <w:kern w:val="2"/>
                <w:sz w:val="28"/>
                <w:szCs w:val="28"/>
                <w:lang w:eastAsia="en-US"/>
              </w:rPr>
              <w:t xml:space="preserve">,  на сумму избытка электроэнергии, отпущенного электросетевой организации, </w:t>
            </w:r>
            <w:r w:rsidRPr="00042503">
              <w:rPr>
                <w:rFonts w:eastAsiaTheme="minorHAnsi"/>
                <w:b/>
                <w:kern w:val="2"/>
                <w:sz w:val="28"/>
                <w:szCs w:val="28"/>
                <w:lang w:eastAsia="en-US"/>
              </w:rPr>
              <w:t>государственной формы собственности</w:t>
            </w:r>
            <w:r w:rsidRPr="00042503">
              <w:rPr>
                <w:rFonts w:eastAsiaTheme="minorHAnsi"/>
                <w:kern w:val="2"/>
                <w:sz w:val="28"/>
                <w:szCs w:val="28"/>
                <w:lang w:eastAsia="en-US"/>
              </w:rPr>
              <w:t xml:space="preserve">, при обеспечении технической возможности и учета приема-отдачи электроэнергии с учетом общего потребления по всем местам потребления лица (потребителя). Порядок перерасчета и технические требования к приборам учета определяются исполнительным органом государственной власти, в </w:t>
            </w:r>
            <w:r w:rsidRPr="00042503">
              <w:rPr>
                <w:rFonts w:eastAsiaTheme="minorHAnsi"/>
                <w:kern w:val="2"/>
                <w:sz w:val="28"/>
                <w:szCs w:val="28"/>
                <w:lang w:eastAsia="en-US"/>
              </w:rPr>
              <w:lastRenderedPageBreak/>
              <w:t>ведении которого находятся вопросы энергетики.</w:t>
            </w:r>
          </w:p>
        </w:tc>
      </w:tr>
    </w:tbl>
    <w:p w:rsidR="00042503" w:rsidRPr="00042503" w:rsidRDefault="00042503" w:rsidP="00042503">
      <w:pPr>
        <w:rPr>
          <w:sz w:val="28"/>
          <w:szCs w:val="28"/>
        </w:rPr>
      </w:pPr>
    </w:p>
    <w:p w:rsidR="003D28E8" w:rsidRPr="00D94CD8" w:rsidRDefault="003D28E8" w:rsidP="00D94CD8">
      <w:bookmarkStart w:id="0" w:name="_GoBack"/>
      <w:bookmarkEnd w:id="0"/>
    </w:p>
    <w:sectPr w:rsidR="003D28E8" w:rsidRPr="00D94CD8" w:rsidSect="00DC5E69">
      <w:headerReference w:type="default" r:id="rId8"/>
      <w:pgSz w:w="11906" w:h="16838" w:code="9"/>
      <w:pgMar w:top="567" w:right="567" w:bottom="709"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50C" w:rsidRDefault="0049250C">
      <w:r>
        <w:separator/>
      </w:r>
    </w:p>
  </w:endnote>
  <w:endnote w:type="continuationSeparator" w:id="0">
    <w:p w:rsidR="0049250C" w:rsidRDefault="0049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50C" w:rsidRDefault="0049250C">
      <w:r>
        <w:separator/>
      </w:r>
    </w:p>
  </w:footnote>
  <w:footnote w:type="continuationSeparator" w:id="0">
    <w:p w:rsidR="0049250C" w:rsidRDefault="0049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042503">
          <w:rPr>
            <w:noProof/>
          </w:rPr>
          <w:t>- 2 -</w:t>
        </w:r>
        <w:r>
          <w:fldChar w:fldCharType="end"/>
        </w:r>
      </w:p>
    </w:sdtContent>
  </w:sdt>
  <w:p w:rsidR="004954C8" w:rsidRDefault="0049250C">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14"/>
  </w:num>
  <w:num w:numId="3">
    <w:abstractNumId w:val="11"/>
  </w:num>
  <w:num w:numId="4">
    <w:abstractNumId w:val="6"/>
  </w:num>
  <w:num w:numId="5">
    <w:abstractNumId w:val="4"/>
  </w:num>
  <w:num w:numId="6">
    <w:abstractNumId w:val="0"/>
  </w:num>
  <w:num w:numId="7">
    <w:abstractNumId w:val="10"/>
  </w:num>
  <w:num w:numId="8">
    <w:abstractNumId w:val="9"/>
  </w:num>
  <w:num w:numId="9">
    <w:abstractNumId w:val="8"/>
  </w:num>
  <w:num w:numId="10">
    <w:abstractNumId w:val="15"/>
  </w:num>
  <w:num w:numId="11">
    <w:abstractNumId w:val="7"/>
  </w:num>
  <w:num w:numId="12">
    <w:abstractNumId w:val="2"/>
  </w:num>
  <w:num w:numId="13">
    <w:abstractNumId w:val="13"/>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6CF1"/>
    <w:rsid w:val="00132559"/>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0670"/>
    <w:rsid w:val="001935C9"/>
    <w:rsid w:val="001A1C3A"/>
    <w:rsid w:val="001A44A1"/>
    <w:rsid w:val="001A76EF"/>
    <w:rsid w:val="001B1DE7"/>
    <w:rsid w:val="001B75ED"/>
    <w:rsid w:val="001D281A"/>
    <w:rsid w:val="001D3F15"/>
    <w:rsid w:val="001E02BB"/>
    <w:rsid w:val="001E1DE8"/>
    <w:rsid w:val="001E2081"/>
    <w:rsid w:val="001E3E38"/>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51046"/>
    <w:rsid w:val="00451786"/>
    <w:rsid w:val="00460DCB"/>
    <w:rsid w:val="00465451"/>
    <w:rsid w:val="00466C79"/>
    <w:rsid w:val="00474D1B"/>
    <w:rsid w:val="004751D0"/>
    <w:rsid w:val="00484757"/>
    <w:rsid w:val="00484B54"/>
    <w:rsid w:val="0049250C"/>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66ADD"/>
    <w:rsid w:val="00571189"/>
    <w:rsid w:val="005779E9"/>
    <w:rsid w:val="005804FF"/>
    <w:rsid w:val="005833C1"/>
    <w:rsid w:val="00583CE2"/>
    <w:rsid w:val="00587F84"/>
    <w:rsid w:val="00594916"/>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28D7"/>
    <w:rsid w:val="00613B10"/>
    <w:rsid w:val="00617413"/>
    <w:rsid w:val="00620ECD"/>
    <w:rsid w:val="006214D9"/>
    <w:rsid w:val="00627081"/>
    <w:rsid w:val="00633736"/>
    <w:rsid w:val="00633CDF"/>
    <w:rsid w:val="00642236"/>
    <w:rsid w:val="00642242"/>
    <w:rsid w:val="00644929"/>
    <w:rsid w:val="0065027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3310"/>
    <w:rsid w:val="006F3926"/>
    <w:rsid w:val="006F5D38"/>
    <w:rsid w:val="007053CE"/>
    <w:rsid w:val="00711F83"/>
    <w:rsid w:val="00712719"/>
    <w:rsid w:val="00715AE3"/>
    <w:rsid w:val="00716F51"/>
    <w:rsid w:val="00717915"/>
    <w:rsid w:val="00721313"/>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D50C0"/>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31E0C"/>
    <w:rsid w:val="0093639B"/>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3047"/>
    <w:rsid w:val="009C7AFC"/>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43D2E"/>
    <w:rsid w:val="00B442AF"/>
    <w:rsid w:val="00B51471"/>
    <w:rsid w:val="00B55934"/>
    <w:rsid w:val="00B6096C"/>
    <w:rsid w:val="00B62A90"/>
    <w:rsid w:val="00B6631D"/>
    <w:rsid w:val="00B731CB"/>
    <w:rsid w:val="00B7339E"/>
    <w:rsid w:val="00B81F49"/>
    <w:rsid w:val="00B82DF0"/>
    <w:rsid w:val="00B83B35"/>
    <w:rsid w:val="00B85A7A"/>
    <w:rsid w:val="00B94755"/>
    <w:rsid w:val="00B97842"/>
    <w:rsid w:val="00BB1AD7"/>
    <w:rsid w:val="00BC2644"/>
    <w:rsid w:val="00BC6700"/>
    <w:rsid w:val="00BC7316"/>
    <w:rsid w:val="00BD6C01"/>
    <w:rsid w:val="00BE42FA"/>
    <w:rsid w:val="00BF1B53"/>
    <w:rsid w:val="00C017BB"/>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A5A19"/>
    <w:rsid w:val="00CC15D1"/>
    <w:rsid w:val="00CC2CCB"/>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94CD8"/>
    <w:rsid w:val="00DA0B48"/>
    <w:rsid w:val="00DA2654"/>
    <w:rsid w:val="00DB40D4"/>
    <w:rsid w:val="00DC1AFF"/>
    <w:rsid w:val="00DC261C"/>
    <w:rsid w:val="00DC26A4"/>
    <w:rsid w:val="00DD0896"/>
    <w:rsid w:val="00DF01E0"/>
    <w:rsid w:val="00DF0A7D"/>
    <w:rsid w:val="00DF247F"/>
    <w:rsid w:val="00DF36D8"/>
    <w:rsid w:val="00DF3ECA"/>
    <w:rsid w:val="00DF3F74"/>
    <w:rsid w:val="00DF4ABC"/>
    <w:rsid w:val="00E03463"/>
    <w:rsid w:val="00E0616F"/>
    <w:rsid w:val="00E100EE"/>
    <w:rsid w:val="00E15344"/>
    <w:rsid w:val="00E23872"/>
    <w:rsid w:val="00E31812"/>
    <w:rsid w:val="00E31DA0"/>
    <w:rsid w:val="00E41D7B"/>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4107"/>
    <w:rsid w:val="00F3024A"/>
    <w:rsid w:val="00F30AE3"/>
    <w:rsid w:val="00F45329"/>
    <w:rsid w:val="00F50291"/>
    <w:rsid w:val="00F57555"/>
    <w:rsid w:val="00F6504D"/>
    <w:rsid w:val="00F669A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D6D2C-EEAD-47CB-BB58-B492CD71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79</cp:revision>
  <cp:lastPrinted>2026-01-30T06:58:00Z</cp:lastPrinted>
  <dcterms:created xsi:type="dcterms:W3CDTF">2026-02-09T12:39:00Z</dcterms:created>
  <dcterms:modified xsi:type="dcterms:W3CDTF">2026-03-02T07:21:00Z</dcterms:modified>
</cp:coreProperties>
</file>