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EA" w:rsidRPr="00B72BEA" w:rsidRDefault="00B72BEA" w:rsidP="00B72BEA">
      <w:pPr>
        <w:tabs>
          <w:tab w:val="left" w:pos="1440"/>
        </w:tabs>
        <w:ind w:firstLine="720"/>
        <w:jc w:val="center"/>
        <w:outlineLvl w:val="0"/>
        <w:rPr>
          <w:b/>
          <w:sz w:val="28"/>
          <w:szCs w:val="28"/>
        </w:rPr>
      </w:pPr>
      <w:r w:rsidRPr="00B72BEA">
        <w:rPr>
          <w:b/>
          <w:iCs/>
          <w:sz w:val="28"/>
          <w:szCs w:val="28"/>
        </w:rPr>
        <w:t xml:space="preserve">Сравнительная таблица к проекту закона </w:t>
      </w:r>
      <w:r w:rsidRPr="00B72BEA">
        <w:rPr>
          <w:b/>
          <w:iCs/>
          <w:sz w:val="28"/>
          <w:szCs w:val="28"/>
        </w:rPr>
        <w:br/>
        <w:t>Приднестровской Молдавской Республики «О внесении изменений в Закон Приднестровской Молдавской Республики «Об основах налоговой системы в Приднестровской Молдавской Республике</w:t>
      </w:r>
      <w:r w:rsidRPr="00B72BEA">
        <w:rPr>
          <w:b/>
          <w:sz w:val="28"/>
          <w:szCs w:val="28"/>
        </w:rPr>
        <w:t>»</w:t>
      </w:r>
    </w:p>
    <w:p w:rsidR="00B72BEA" w:rsidRPr="00B72BEA" w:rsidRDefault="00B72BEA" w:rsidP="00B72BEA">
      <w:pPr>
        <w:tabs>
          <w:tab w:val="left" w:pos="1440"/>
        </w:tabs>
        <w:ind w:firstLine="720"/>
        <w:jc w:val="center"/>
        <w:outlineLvl w:val="0"/>
        <w:rPr>
          <w:b/>
          <w:iCs/>
          <w:sz w:val="28"/>
          <w:szCs w:val="28"/>
        </w:rPr>
      </w:pPr>
    </w:p>
    <w:tbl>
      <w:tblPr>
        <w:tblW w:w="105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5337"/>
      </w:tblGrid>
      <w:tr w:rsidR="00B72BEA" w:rsidRPr="00B72BEA" w:rsidTr="00A17DB8">
        <w:trPr>
          <w:trHeight w:val="291"/>
        </w:trPr>
        <w:tc>
          <w:tcPr>
            <w:tcW w:w="5246" w:type="dxa"/>
          </w:tcPr>
          <w:p w:rsidR="00B72BEA" w:rsidRPr="00B72BEA" w:rsidRDefault="00B72BEA" w:rsidP="00B72BEA">
            <w:pPr>
              <w:jc w:val="center"/>
              <w:rPr>
                <w:b/>
                <w:sz w:val="26"/>
                <w:szCs w:val="26"/>
              </w:rPr>
            </w:pPr>
            <w:r w:rsidRPr="00B72BEA">
              <w:rPr>
                <w:b/>
                <w:sz w:val="26"/>
                <w:szCs w:val="26"/>
              </w:rPr>
              <w:t>Действующая редакция</w:t>
            </w:r>
          </w:p>
        </w:tc>
        <w:tc>
          <w:tcPr>
            <w:tcW w:w="5337" w:type="dxa"/>
          </w:tcPr>
          <w:p w:rsidR="00B72BEA" w:rsidRPr="00B72BEA" w:rsidRDefault="00B72BEA" w:rsidP="00B72BEA">
            <w:pPr>
              <w:jc w:val="center"/>
              <w:rPr>
                <w:b/>
                <w:sz w:val="26"/>
                <w:szCs w:val="26"/>
              </w:rPr>
            </w:pPr>
            <w:r w:rsidRPr="00B72BEA">
              <w:rPr>
                <w:b/>
                <w:sz w:val="26"/>
                <w:szCs w:val="26"/>
              </w:rPr>
              <w:t>Предлагаемая редакция</w:t>
            </w:r>
          </w:p>
        </w:tc>
      </w:tr>
      <w:tr w:rsidR="00B72BEA" w:rsidRPr="00B72BEA" w:rsidTr="00A17DB8">
        <w:trPr>
          <w:trHeight w:val="291"/>
        </w:trPr>
        <w:tc>
          <w:tcPr>
            <w:tcW w:w="5246" w:type="dxa"/>
          </w:tcPr>
          <w:p w:rsidR="00B72BEA" w:rsidRPr="00B72BEA" w:rsidRDefault="00B72BEA" w:rsidP="00B72BEA">
            <w:pPr>
              <w:ind w:firstLine="708"/>
              <w:jc w:val="both"/>
              <w:outlineLvl w:val="0"/>
              <w:rPr>
                <w:sz w:val="26"/>
                <w:szCs w:val="26"/>
              </w:rPr>
            </w:pPr>
            <w:r w:rsidRPr="00B72BEA">
              <w:rPr>
                <w:b/>
                <w:sz w:val="26"/>
                <w:szCs w:val="26"/>
              </w:rPr>
              <w:t>Статья 5.</w:t>
            </w:r>
            <w:r w:rsidRPr="00B72BEA">
              <w:rPr>
                <w:sz w:val="26"/>
                <w:szCs w:val="26"/>
              </w:rPr>
              <w:t xml:space="preserve"> Порядок установления и отмены республиканских налогов и льгот</w:t>
            </w:r>
          </w:p>
          <w:p w:rsidR="00B72BEA" w:rsidRPr="00B72BEA" w:rsidRDefault="00B72BEA" w:rsidP="00B72BEA">
            <w:pPr>
              <w:jc w:val="both"/>
              <w:rPr>
                <w:sz w:val="26"/>
                <w:szCs w:val="26"/>
              </w:rPr>
            </w:pPr>
          </w:p>
          <w:p w:rsidR="00B72BEA" w:rsidRPr="00B72BEA" w:rsidRDefault="00B72BEA" w:rsidP="00B72BEA">
            <w:pPr>
              <w:ind w:firstLine="708"/>
              <w:jc w:val="both"/>
              <w:rPr>
                <w:sz w:val="26"/>
                <w:szCs w:val="26"/>
              </w:rPr>
            </w:pPr>
            <w:r w:rsidRPr="00B72BEA">
              <w:rPr>
                <w:sz w:val="26"/>
                <w:szCs w:val="26"/>
              </w:rPr>
              <w:t>Верховный Совет Приднестровской Молдавской Республики законодательно закрепляет перечень отраслей, пользующихся государственной поддержкой (в том числе посредством предоставления налоговых льгот).</w:t>
            </w:r>
          </w:p>
          <w:p w:rsidR="00B72BEA" w:rsidRPr="00B72BEA" w:rsidRDefault="00B72BEA" w:rsidP="00B72BEA">
            <w:pPr>
              <w:ind w:firstLine="708"/>
              <w:jc w:val="both"/>
              <w:rPr>
                <w:sz w:val="26"/>
                <w:szCs w:val="26"/>
              </w:rPr>
            </w:pPr>
            <w:r w:rsidRPr="00B72BEA">
              <w:rPr>
                <w:sz w:val="26"/>
                <w:szCs w:val="26"/>
              </w:rPr>
              <w:t xml:space="preserve">Законы и иные правовые акты, устанавливающие новые налоги и другие обязательные платежи или ухудшающие положение налогоплательщиков, обратной силы не имеют и вступают в силу </w:t>
            </w:r>
            <w:r w:rsidRPr="00B72BEA">
              <w:rPr>
                <w:b/>
                <w:sz w:val="26"/>
                <w:szCs w:val="26"/>
              </w:rPr>
              <w:t>с началом нового финансового года при условии, что они были официально опубликованы не позднее, чем за три месяца до его начала.</w:t>
            </w:r>
          </w:p>
          <w:p w:rsidR="00B72BEA" w:rsidRPr="00B72BEA" w:rsidRDefault="00B72BEA" w:rsidP="00B72BEA">
            <w:pPr>
              <w:ind w:firstLine="708"/>
              <w:jc w:val="both"/>
              <w:rPr>
                <w:bCs/>
                <w:iCs/>
                <w:sz w:val="26"/>
                <w:szCs w:val="26"/>
              </w:rPr>
            </w:pPr>
            <w:r w:rsidRPr="00B72BEA">
              <w:rPr>
                <w:bCs/>
                <w:iCs/>
                <w:sz w:val="26"/>
                <w:szCs w:val="26"/>
              </w:rPr>
              <w:t xml:space="preserve"> </w:t>
            </w:r>
          </w:p>
        </w:tc>
        <w:tc>
          <w:tcPr>
            <w:tcW w:w="5337" w:type="dxa"/>
          </w:tcPr>
          <w:p w:rsidR="00B72BEA" w:rsidRPr="00B72BEA" w:rsidRDefault="00B72BEA" w:rsidP="00B72BEA">
            <w:pPr>
              <w:ind w:firstLine="708"/>
              <w:jc w:val="both"/>
              <w:outlineLvl w:val="0"/>
              <w:rPr>
                <w:sz w:val="26"/>
                <w:szCs w:val="26"/>
              </w:rPr>
            </w:pPr>
            <w:r w:rsidRPr="00B72BEA">
              <w:rPr>
                <w:b/>
                <w:sz w:val="26"/>
                <w:szCs w:val="26"/>
              </w:rPr>
              <w:t>Статья 5.</w:t>
            </w:r>
            <w:r w:rsidRPr="00B72BEA">
              <w:rPr>
                <w:sz w:val="26"/>
                <w:szCs w:val="26"/>
              </w:rPr>
              <w:t xml:space="preserve"> Порядок установления и отмены республиканских налогов и льгот</w:t>
            </w:r>
          </w:p>
          <w:p w:rsidR="00B72BEA" w:rsidRPr="00B72BEA" w:rsidRDefault="00B72BEA" w:rsidP="00B72BEA">
            <w:pPr>
              <w:jc w:val="both"/>
              <w:rPr>
                <w:sz w:val="26"/>
                <w:szCs w:val="26"/>
              </w:rPr>
            </w:pPr>
          </w:p>
          <w:p w:rsidR="00B72BEA" w:rsidRPr="00B72BEA" w:rsidRDefault="00B72BEA" w:rsidP="00B72BEA">
            <w:pPr>
              <w:ind w:firstLine="708"/>
              <w:jc w:val="both"/>
              <w:rPr>
                <w:sz w:val="26"/>
                <w:szCs w:val="26"/>
              </w:rPr>
            </w:pPr>
            <w:r w:rsidRPr="00B72BEA">
              <w:rPr>
                <w:sz w:val="26"/>
                <w:szCs w:val="26"/>
              </w:rPr>
              <w:t>Верховный Совет Приднестровской Молдавской Республики законодательно закрепляет перечень отраслей, пользующихся государственной поддержкой (в том числе посредством предоставления налоговых льгот).</w:t>
            </w:r>
          </w:p>
          <w:p w:rsidR="00B72BEA" w:rsidRPr="00B72BEA" w:rsidRDefault="00B72BEA" w:rsidP="00B72BEA">
            <w:pPr>
              <w:ind w:firstLine="709"/>
              <w:jc w:val="both"/>
              <w:rPr>
                <w:rFonts w:eastAsia="Calibri"/>
                <w:b/>
                <w:bCs/>
                <w:sz w:val="26"/>
                <w:szCs w:val="26"/>
                <w:lang w:eastAsia="en-US"/>
              </w:rPr>
            </w:pPr>
            <w:r w:rsidRPr="00B72BEA">
              <w:rPr>
                <w:rFonts w:eastAsia="Calibri"/>
                <w:bCs/>
                <w:sz w:val="26"/>
                <w:szCs w:val="26"/>
                <w:lang w:eastAsia="en-US"/>
              </w:rPr>
              <w:t>Законы и иные правовые акты, устанавливающие новые налоги и другие обязательные платежи или ухудшающие положение налогоплательщиков, обратной силы не имеют и вступают в силу</w:t>
            </w:r>
            <w:r w:rsidRPr="00B72BEA">
              <w:rPr>
                <w:rFonts w:eastAsia="Calibri"/>
                <w:b/>
                <w:bCs/>
                <w:sz w:val="26"/>
                <w:szCs w:val="26"/>
                <w:lang w:eastAsia="en-US"/>
              </w:rPr>
              <w:t xml:space="preserve"> не ранее чем через один месяц со дня их официального опубликования.</w:t>
            </w:r>
          </w:p>
        </w:tc>
      </w:tr>
      <w:tr w:rsidR="00B72BEA" w:rsidRPr="00B72BEA" w:rsidTr="00A17DB8">
        <w:trPr>
          <w:trHeight w:val="291"/>
        </w:trPr>
        <w:tc>
          <w:tcPr>
            <w:tcW w:w="5246" w:type="dxa"/>
          </w:tcPr>
          <w:p w:rsidR="00B72BEA" w:rsidRPr="00B72BEA" w:rsidRDefault="00B72BEA" w:rsidP="00B72BEA">
            <w:pPr>
              <w:ind w:firstLine="709"/>
              <w:jc w:val="both"/>
              <w:rPr>
                <w:bCs/>
                <w:iCs/>
                <w:sz w:val="26"/>
                <w:szCs w:val="26"/>
              </w:rPr>
            </w:pPr>
            <w:r w:rsidRPr="00B72BEA">
              <w:rPr>
                <w:b/>
                <w:bCs/>
                <w:iCs/>
                <w:sz w:val="26"/>
                <w:szCs w:val="26"/>
              </w:rPr>
              <w:t>Статья 16.</w:t>
            </w:r>
            <w:r w:rsidRPr="00B72BEA">
              <w:rPr>
                <w:bCs/>
                <w:iCs/>
                <w:sz w:val="26"/>
                <w:szCs w:val="26"/>
              </w:rPr>
              <w:t xml:space="preserve"> Местные (городские, районные) налоги</w:t>
            </w:r>
          </w:p>
          <w:p w:rsidR="00B72BEA" w:rsidRPr="00B72BEA" w:rsidRDefault="00B72BEA" w:rsidP="00B72BEA">
            <w:pPr>
              <w:ind w:firstLine="709"/>
              <w:jc w:val="both"/>
              <w:rPr>
                <w:bCs/>
                <w:iCs/>
                <w:sz w:val="26"/>
                <w:szCs w:val="26"/>
              </w:rPr>
            </w:pPr>
            <w:r w:rsidRPr="00B72BEA">
              <w:rPr>
                <w:bCs/>
                <w:iCs/>
                <w:sz w:val="26"/>
                <w:szCs w:val="26"/>
              </w:rPr>
              <w:t>………………</w:t>
            </w:r>
          </w:p>
          <w:p w:rsidR="00B72BEA" w:rsidRPr="00B72BEA" w:rsidRDefault="00B72BEA" w:rsidP="00B72BEA">
            <w:pPr>
              <w:ind w:firstLine="709"/>
              <w:jc w:val="both"/>
              <w:rPr>
                <w:sz w:val="26"/>
                <w:szCs w:val="26"/>
              </w:rPr>
            </w:pPr>
            <w:r w:rsidRPr="00B72BEA">
              <w:rPr>
                <w:sz w:val="26"/>
                <w:szCs w:val="26"/>
              </w:rPr>
              <w:t xml:space="preserve">2. По налогам и сборам, предусмотренным подпунктами в)–п) </w:t>
            </w:r>
            <w:r w:rsidRPr="00B72BEA">
              <w:rPr>
                <w:sz w:val="26"/>
                <w:szCs w:val="26"/>
              </w:rPr>
              <w:br/>
              <w:t xml:space="preserve">пункта 1 настоящей статьи, решениями соответствующих местных Советов народных депутатов устанавливаются срок внесения платежей в бюджет, а также перечень категорий налогоплательщиков, имеющих право на установление дополнительных льгот по их уплате. </w:t>
            </w:r>
          </w:p>
          <w:p w:rsidR="00B72BEA" w:rsidRPr="00B72BEA" w:rsidRDefault="00B72BEA" w:rsidP="00B72BEA">
            <w:pPr>
              <w:ind w:firstLine="709"/>
              <w:jc w:val="both"/>
              <w:rPr>
                <w:b/>
                <w:sz w:val="26"/>
                <w:szCs w:val="26"/>
              </w:rPr>
            </w:pPr>
            <w:r w:rsidRPr="00B72BEA">
              <w:rPr>
                <w:sz w:val="26"/>
                <w:szCs w:val="26"/>
              </w:rPr>
              <w:t xml:space="preserve">Решения соответствующих местных Советов народных депутатов, устанавливающие порядок взимания налогов и сборов, обратной силы не имеют и вступают в силу </w:t>
            </w:r>
            <w:r w:rsidRPr="00B72BEA">
              <w:rPr>
                <w:b/>
                <w:sz w:val="26"/>
                <w:szCs w:val="26"/>
              </w:rPr>
              <w:t>с начала нового финансового года при условии, что они были официально опубликованы не позднее чем за 1 (один) месяц до начала нового финансового года.</w:t>
            </w:r>
          </w:p>
          <w:p w:rsidR="00B72BEA" w:rsidRPr="00B72BEA" w:rsidRDefault="00B72BEA" w:rsidP="00B72BEA">
            <w:pPr>
              <w:ind w:firstLine="709"/>
              <w:jc w:val="both"/>
              <w:rPr>
                <w:b/>
                <w:bCs/>
                <w:iCs/>
                <w:sz w:val="26"/>
                <w:szCs w:val="26"/>
              </w:rPr>
            </w:pPr>
          </w:p>
        </w:tc>
        <w:tc>
          <w:tcPr>
            <w:tcW w:w="5337" w:type="dxa"/>
          </w:tcPr>
          <w:p w:rsidR="00B72BEA" w:rsidRPr="00B72BEA" w:rsidRDefault="00B72BEA" w:rsidP="00B72BEA">
            <w:pPr>
              <w:ind w:firstLine="709"/>
              <w:jc w:val="both"/>
              <w:rPr>
                <w:sz w:val="26"/>
                <w:szCs w:val="26"/>
              </w:rPr>
            </w:pPr>
            <w:r w:rsidRPr="00B72BEA">
              <w:rPr>
                <w:b/>
                <w:sz w:val="26"/>
                <w:szCs w:val="26"/>
              </w:rPr>
              <w:t>Статья 16.</w:t>
            </w:r>
            <w:r w:rsidRPr="00B72BEA">
              <w:rPr>
                <w:sz w:val="26"/>
                <w:szCs w:val="26"/>
              </w:rPr>
              <w:t xml:space="preserve"> Местные (городские, районные) налоги</w:t>
            </w:r>
          </w:p>
          <w:p w:rsidR="00B72BEA" w:rsidRPr="00B72BEA" w:rsidRDefault="00B72BEA" w:rsidP="00B72BEA">
            <w:pPr>
              <w:ind w:firstLine="709"/>
              <w:jc w:val="both"/>
              <w:rPr>
                <w:sz w:val="26"/>
                <w:szCs w:val="26"/>
              </w:rPr>
            </w:pPr>
            <w:r w:rsidRPr="00B72BEA">
              <w:rPr>
                <w:sz w:val="26"/>
                <w:szCs w:val="26"/>
              </w:rPr>
              <w:t>………………</w:t>
            </w:r>
          </w:p>
          <w:p w:rsidR="00B72BEA" w:rsidRPr="00B72BEA" w:rsidRDefault="00B72BEA" w:rsidP="00B72BEA">
            <w:pPr>
              <w:ind w:firstLine="709"/>
              <w:jc w:val="both"/>
              <w:rPr>
                <w:sz w:val="26"/>
                <w:szCs w:val="26"/>
              </w:rPr>
            </w:pPr>
            <w:r w:rsidRPr="00B72BEA">
              <w:rPr>
                <w:sz w:val="26"/>
                <w:szCs w:val="26"/>
              </w:rPr>
              <w:t xml:space="preserve">2. По налогам и сборам, предусмотренным подпунктами в)–п) </w:t>
            </w:r>
            <w:r w:rsidRPr="00B72BEA">
              <w:rPr>
                <w:sz w:val="26"/>
                <w:szCs w:val="26"/>
              </w:rPr>
              <w:br/>
              <w:t xml:space="preserve">пункта 1 настоящей статьи, решениями соответствующих местных Советов народных депутатов устанавливаются срок внесения платежей в бюджет, а также перечень категорий налогоплательщиков, имеющих право на установление дополнительных льгот по их уплате. </w:t>
            </w:r>
          </w:p>
          <w:p w:rsidR="00B72BEA" w:rsidRPr="00B72BEA" w:rsidRDefault="00B72BEA" w:rsidP="00B72BEA">
            <w:pPr>
              <w:ind w:firstLine="709"/>
              <w:jc w:val="both"/>
              <w:rPr>
                <w:sz w:val="26"/>
                <w:szCs w:val="26"/>
              </w:rPr>
            </w:pPr>
            <w:r w:rsidRPr="00B72BEA">
              <w:rPr>
                <w:sz w:val="26"/>
                <w:szCs w:val="26"/>
              </w:rPr>
              <w:t xml:space="preserve">Решения соответствующих местных Советов народных депутатов, устанавливающие порядок взимания налогов и сборов, обратной силы не имеют и вступают в силу </w:t>
            </w:r>
            <w:r w:rsidRPr="00B72BEA">
              <w:rPr>
                <w:rFonts w:eastAsia="Calibri"/>
                <w:b/>
                <w:bCs/>
                <w:sz w:val="26"/>
                <w:szCs w:val="26"/>
                <w:lang w:eastAsia="en-US"/>
              </w:rPr>
              <w:t>не ранее чем через один месяц со дня их официального опубликования.</w:t>
            </w:r>
          </w:p>
        </w:tc>
      </w:tr>
    </w:tbl>
    <w:p w:rsidR="003D28E8" w:rsidRPr="00DD1E35" w:rsidRDefault="003D28E8" w:rsidP="00DD1E35">
      <w:bookmarkStart w:id="0" w:name="_GoBack"/>
      <w:bookmarkEnd w:id="0"/>
    </w:p>
    <w:sectPr w:rsidR="003D28E8" w:rsidRPr="00DD1E35"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20" w:rsidRDefault="00B95720">
      <w:r>
        <w:separator/>
      </w:r>
    </w:p>
  </w:endnote>
  <w:endnote w:type="continuationSeparator" w:id="0">
    <w:p w:rsidR="00B95720" w:rsidRDefault="00B9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20" w:rsidRDefault="00B95720">
      <w:r>
        <w:separator/>
      </w:r>
    </w:p>
  </w:footnote>
  <w:footnote w:type="continuationSeparator" w:id="0">
    <w:p w:rsidR="00B95720" w:rsidRDefault="00B9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913AD8">
          <w:rPr>
            <w:noProof/>
          </w:rPr>
          <w:t>- 2 -</w:t>
        </w:r>
        <w:r>
          <w:fldChar w:fldCharType="end"/>
        </w:r>
      </w:p>
    </w:sdtContent>
  </w:sdt>
  <w:p w:rsidR="004954C8" w:rsidRDefault="00B957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3C1"/>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5720"/>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4AF1"/>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7830-9981-4F3A-8071-0E254C2E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86</cp:revision>
  <cp:lastPrinted>2026-01-30T06:58:00Z</cp:lastPrinted>
  <dcterms:created xsi:type="dcterms:W3CDTF">2026-02-09T12:39:00Z</dcterms:created>
  <dcterms:modified xsi:type="dcterms:W3CDTF">2026-03-05T12:25:00Z</dcterms:modified>
</cp:coreProperties>
</file>