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55E" w:rsidRPr="0096055E" w:rsidRDefault="0096055E" w:rsidP="0096055E">
      <w:pPr>
        <w:jc w:val="center"/>
        <w:rPr>
          <w:rFonts w:eastAsiaTheme="minorHAnsi"/>
          <w:b/>
          <w:sz w:val="28"/>
          <w:szCs w:val="28"/>
          <w:lang w:eastAsia="en-US"/>
        </w:rPr>
      </w:pPr>
      <w:r w:rsidRPr="0096055E">
        <w:rPr>
          <w:rFonts w:eastAsiaTheme="minorHAnsi"/>
          <w:b/>
          <w:sz w:val="28"/>
          <w:szCs w:val="28"/>
          <w:lang w:eastAsia="en-US"/>
        </w:rPr>
        <w:t>СРАВНИТЕЛЬНАЯ ТАБЛИЦА</w:t>
      </w:r>
    </w:p>
    <w:p w:rsidR="0096055E" w:rsidRPr="0096055E" w:rsidRDefault="0096055E" w:rsidP="0096055E">
      <w:pPr>
        <w:jc w:val="center"/>
        <w:rPr>
          <w:rFonts w:eastAsiaTheme="minorHAnsi"/>
          <w:b/>
          <w:sz w:val="28"/>
          <w:szCs w:val="28"/>
          <w:lang w:eastAsia="en-US"/>
        </w:rPr>
      </w:pPr>
      <w:r w:rsidRPr="0096055E">
        <w:rPr>
          <w:rFonts w:eastAsiaTheme="minorHAnsi"/>
          <w:b/>
          <w:sz w:val="28"/>
          <w:szCs w:val="28"/>
          <w:lang w:eastAsia="en-US"/>
        </w:rPr>
        <w:t xml:space="preserve"> к проекту закона Приднестровской Молдавской Республики </w:t>
      </w:r>
    </w:p>
    <w:p w:rsidR="0096055E" w:rsidRPr="0096055E" w:rsidRDefault="0096055E" w:rsidP="0096055E">
      <w:pPr>
        <w:shd w:val="clear" w:color="auto" w:fill="FFFFFF"/>
        <w:ind w:firstLine="709"/>
        <w:jc w:val="center"/>
        <w:rPr>
          <w:rFonts w:eastAsia="Calibri"/>
          <w:b/>
          <w:color w:val="000000" w:themeColor="text1"/>
          <w:sz w:val="28"/>
          <w:szCs w:val="28"/>
          <w:lang w:eastAsia="en-US"/>
        </w:rPr>
      </w:pPr>
      <w:r w:rsidRPr="0096055E">
        <w:rPr>
          <w:rFonts w:eastAsia="Calibri"/>
          <w:b/>
          <w:color w:val="000000" w:themeColor="text1"/>
          <w:sz w:val="28"/>
          <w:szCs w:val="28"/>
          <w:lang w:eastAsia="en-US"/>
        </w:rPr>
        <w:t xml:space="preserve">«О внесении изменения в Закон </w:t>
      </w:r>
    </w:p>
    <w:p w:rsidR="0096055E" w:rsidRPr="0096055E" w:rsidRDefault="0096055E" w:rsidP="0096055E">
      <w:pPr>
        <w:shd w:val="clear" w:color="auto" w:fill="FFFFFF"/>
        <w:ind w:firstLine="709"/>
        <w:jc w:val="center"/>
        <w:rPr>
          <w:rFonts w:eastAsia="Calibri"/>
          <w:b/>
          <w:color w:val="000000" w:themeColor="text1"/>
          <w:sz w:val="28"/>
          <w:szCs w:val="28"/>
          <w:lang w:eastAsia="en-US"/>
        </w:rPr>
      </w:pPr>
      <w:r w:rsidRPr="0096055E">
        <w:rPr>
          <w:rFonts w:eastAsia="Calibri"/>
          <w:b/>
          <w:color w:val="000000" w:themeColor="text1"/>
          <w:sz w:val="28"/>
          <w:szCs w:val="28"/>
          <w:lang w:eastAsia="en-US"/>
        </w:rPr>
        <w:t>Приднестровской Молдавской Республики</w:t>
      </w:r>
    </w:p>
    <w:p w:rsidR="0096055E" w:rsidRPr="0096055E" w:rsidRDefault="0096055E" w:rsidP="0096055E">
      <w:pPr>
        <w:shd w:val="clear" w:color="auto" w:fill="FFFFFF"/>
        <w:ind w:firstLine="709"/>
        <w:jc w:val="center"/>
        <w:rPr>
          <w:rFonts w:eastAsia="Calibri"/>
          <w:b/>
          <w:color w:val="000000" w:themeColor="text1"/>
          <w:sz w:val="28"/>
          <w:szCs w:val="28"/>
          <w:lang w:eastAsia="en-US"/>
        </w:rPr>
      </w:pPr>
      <w:r w:rsidRPr="0096055E">
        <w:rPr>
          <w:rFonts w:eastAsia="Calibri"/>
          <w:b/>
          <w:color w:val="000000" w:themeColor="text1"/>
          <w:sz w:val="28"/>
          <w:szCs w:val="28"/>
          <w:lang w:eastAsia="en-US"/>
        </w:rPr>
        <w:t>«</w:t>
      </w:r>
      <w:r w:rsidRPr="0096055E">
        <w:rPr>
          <w:rFonts w:eastAsiaTheme="minorHAnsi"/>
          <w:b/>
          <w:sz w:val="28"/>
          <w:szCs w:val="28"/>
          <w:lang w:eastAsia="en-US"/>
        </w:rPr>
        <w:t>Об основах охраны здоровья граждан</w:t>
      </w:r>
      <w:r w:rsidRPr="0096055E">
        <w:rPr>
          <w:rFonts w:eastAsia="Calibri"/>
          <w:b/>
          <w:color w:val="000000" w:themeColor="text1"/>
          <w:sz w:val="28"/>
          <w:szCs w:val="28"/>
          <w:lang w:eastAsia="en-US"/>
        </w:rPr>
        <w:t>»</w:t>
      </w:r>
    </w:p>
    <w:p w:rsidR="0096055E" w:rsidRPr="0096055E" w:rsidRDefault="0096055E" w:rsidP="0096055E">
      <w:pPr>
        <w:jc w:val="center"/>
        <w:rPr>
          <w:rFonts w:eastAsiaTheme="minorHAnsi"/>
          <w:b/>
          <w:sz w:val="28"/>
          <w:szCs w:val="28"/>
          <w:lang w:eastAsia="en-US"/>
        </w:rPr>
      </w:pPr>
    </w:p>
    <w:tbl>
      <w:tblPr>
        <w:tblStyle w:val="ad"/>
        <w:tblW w:w="10201" w:type="dxa"/>
        <w:tblLook w:val="04A0" w:firstRow="1" w:lastRow="0" w:firstColumn="1" w:lastColumn="0" w:noHBand="0" w:noVBand="1"/>
      </w:tblPr>
      <w:tblGrid>
        <w:gridCol w:w="617"/>
        <w:gridCol w:w="4749"/>
        <w:gridCol w:w="4835"/>
      </w:tblGrid>
      <w:tr w:rsidR="0096055E" w:rsidRPr="0096055E" w:rsidTr="004353E2">
        <w:trPr>
          <w:trHeight w:val="704"/>
        </w:trPr>
        <w:tc>
          <w:tcPr>
            <w:tcW w:w="421" w:type="dxa"/>
            <w:tcBorders>
              <w:top w:val="single" w:sz="4" w:space="0" w:color="auto"/>
              <w:left w:val="single" w:sz="4" w:space="0" w:color="auto"/>
              <w:bottom w:val="single" w:sz="4" w:space="0" w:color="auto"/>
              <w:right w:val="single" w:sz="4" w:space="0" w:color="auto"/>
            </w:tcBorders>
            <w:hideMark/>
          </w:tcPr>
          <w:p w:rsidR="0096055E" w:rsidRPr="0096055E" w:rsidRDefault="0096055E" w:rsidP="0096055E">
            <w:pPr>
              <w:rPr>
                <w:rFonts w:eastAsiaTheme="minorHAnsi"/>
                <w:b/>
                <w:sz w:val="28"/>
                <w:szCs w:val="28"/>
                <w:lang w:eastAsia="en-US"/>
              </w:rPr>
            </w:pPr>
            <w:r w:rsidRPr="0096055E">
              <w:rPr>
                <w:rFonts w:eastAsiaTheme="minorHAnsi"/>
                <w:b/>
                <w:sz w:val="28"/>
                <w:szCs w:val="28"/>
                <w:lang w:eastAsia="en-US"/>
              </w:rPr>
              <w:t>№</w:t>
            </w:r>
          </w:p>
          <w:p w:rsidR="0096055E" w:rsidRPr="0096055E" w:rsidRDefault="0096055E" w:rsidP="0096055E">
            <w:pPr>
              <w:jc w:val="center"/>
              <w:rPr>
                <w:rFonts w:eastAsiaTheme="minorHAnsi"/>
                <w:b/>
                <w:bCs/>
                <w:sz w:val="28"/>
                <w:szCs w:val="28"/>
                <w:shd w:val="clear" w:color="auto" w:fill="FFFFFF"/>
                <w:lang w:eastAsia="en-US"/>
              </w:rPr>
            </w:pPr>
            <w:r w:rsidRPr="0096055E">
              <w:rPr>
                <w:rFonts w:eastAsiaTheme="minorHAnsi"/>
                <w:b/>
                <w:sz w:val="28"/>
                <w:szCs w:val="28"/>
                <w:lang w:eastAsia="en-US"/>
              </w:rPr>
              <w:t>п/п</w:t>
            </w:r>
          </w:p>
        </w:tc>
        <w:tc>
          <w:tcPr>
            <w:tcW w:w="4849" w:type="dxa"/>
            <w:tcBorders>
              <w:top w:val="single" w:sz="4" w:space="0" w:color="auto"/>
              <w:left w:val="single" w:sz="4" w:space="0" w:color="auto"/>
              <w:bottom w:val="single" w:sz="4" w:space="0" w:color="auto"/>
              <w:right w:val="single" w:sz="4" w:space="0" w:color="auto"/>
            </w:tcBorders>
          </w:tcPr>
          <w:p w:rsidR="0096055E" w:rsidRPr="0096055E" w:rsidRDefault="0096055E" w:rsidP="0096055E">
            <w:pPr>
              <w:jc w:val="center"/>
              <w:rPr>
                <w:rFonts w:eastAsiaTheme="minorHAnsi"/>
                <w:b/>
                <w:sz w:val="28"/>
                <w:szCs w:val="28"/>
                <w:lang w:eastAsia="en-US"/>
              </w:rPr>
            </w:pPr>
            <w:r w:rsidRPr="0096055E">
              <w:rPr>
                <w:rFonts w:eastAsiaTheme="minorHAnsi"/>
                <w:b/>
                <w:sz w:val="28"/>
                <w:szCs w:val="28"/>
                <w:lang w:eastAsia="en-US"/>
              </w:rPr>
              <w:t>Действующая редакция</w:t>
            </w:r>
          </w:p>
          <w:p w:rsidR="0096055E" w:rsidRPr="0096055E" w:rsidRDefault="0096055E" w:rsidP="0096055E">
            <w:pPr>
              <w:jc w:val="center"/>
              <w:rPr>
                <w:rFonts w:eastAsiaTheme="minorHAnsi"/>
                <w:b/>
                <w:bCs/>
                <w:sz w:val="28"/>
                <w:szCs w:val="28"/>
                <w:shd w:val="clear" w:color="auto" w:fill="FFFFFF"/>
                <w:lang w:eastAsia="en-US"/>
              </w:rPr>
            </w:pPr>
          </w:p>
        </w:tc>
        <w:tc>
          <w:tcPr>
            <w:tcW w:w="4931" w:type="dxa"/>
            <w:tcBorders>
              <w:top w:val="single" w:sz="4" w:space="0" w:color="auto"/>
              <w:left w:val="single" w:sz="4" w:space="0" w:color="auto"/>
              <w:bottom w:val="single" w:sz="4" w:space="0" w:color="auto"/>
              <w:right w:val="single" w:sz="4" w:space="0" w:color="auto"/>
            </w:tcBorders>
            <w:vAlign w:val="center"/>
          </w:tcPr>
          <w:p w:rsidR="0096055E" w:rsidRPr="0096055E" w:rsidRDefault="0096055E" w:rsidP="0096055E">
            <w:pPr>
              <w:jc w:val="center"/>
              <w:rPr>
                <w:rFonts w:eastAsiaTheme="minorHAnsi"/>
                <w:b/>
                <w:sz w:val="28"/>
                <w:szCs w:val="28"/>
                <w:lang w:eastAsia="en-US"/>
              </w:rPr>
            </w:pPr>
            <w:r w:rsidRPr="0096055E">
              <w:rPr>
                <w:rFonts w:eastAsiaTheme="minorHAnsi"/>
                <w:b/>
                <w:sz w:val="28"/>
                <w:szCs w:val="28"/>
                <w:lang w:eastAsia="en-US"/>
              </w:rPr>
              <w:t>Предлагаемая редакция</w:t>
            </w:r>
          </w:p>
          <w:p w:rsidR="0096055E" w:rsidRPr="0096055E" w:rsidRDefault="0096055E" w:rsidP="0096055E">
            <w:pPr>
              <w:jc w:val="center"/>
              <w:rPr>
                <w:rFonts w:eastAsiaTheme="minorHAnsi"/>
                <w:b/>
                <w:sz w:val="28"/>
                <w:szCs w:val="28"/>
                <w:lang w:eastAsia="en-US"/>
              </w:rPr>
            </w:pPr>
          </w:p>
        </w:tc>
      </w:tr>
      <w:tr w:rsidR="0096055E" w:rsidRPr="0096055E" w:rsidTr="004353E2">
        <w:tc>
          <w:tcPr>
            <w:tcW w:w="421" w:type="dxa"/>
            <w:tcBorders>
              <w:top w:val="single" w:sz="4" w:space="0" w:color="auto"/>
              <w:left w:val="single" w:sz="4" w:space="0" w:color="auto"/>
              <w:bottom w:val="single" w:sz="4" w:space="0" w:color="auto"/>
              <w:right w:val="single" w:sz="4" w:space="0" w:color="auto"/>
            </w:tcBorders>
          </w:tcPr>
          <w:p w:rsidR="0096055E" w:rsidRPr="0096055E" w:rsidRDefault="0096055E" w:rsidP="0096055E">
            <w:pPr>
              <w:jc w:val="center"/>
              <w:rPr>
                <w:rFonts w:eastAsiaTheme="minorHAnsi"/>
                <w:b/>
                <w:bCs/>
                <w:sz w:val="28"/>
                <w:szCs w:val="28"/>
                <w:shd w:val="clear" w:color="auto" w:fill="FFFFFF"/>
                <w:lang w:eastAsia="en-US"/>
              </w:rPr>
            </w:pPr>
            <w:r w:rsidRPr="0096055E">
              <w:rPr>
                <w:rFonts w:eastAsiaTheme="minorHAnsi"/>
                <w:b/>
                <w:bCs/>
                <w:sz w:val="28"/>
                <w:szCs w:val="28"/>
                <w:shd w:val="clear" w:color="auto" w:fill="FFFFFF"/>
                <w:lang w:eastAsia="en-US"/>
              </w:rPr>
              <w:t>1.</w:t>
            </w:r>
          </w:p>
        </w:tc>
        <w:tc>
          <w:tcPr>
            <w:tcW w:w="4849" w:type="dxa"/>
            <w:tcBorders>
              <w:top w:val="single" w:sz="4" w:space="0" w:color="auto"/>
              <w:left w:val="single" w:sz="4" w:space="0" w:color="auto"/>
              <w:bottom w:val="single" w:sz="4" w:space="0" w:color="auto"/>
              <w:right w:val="single" w:sz="4" w:space="0" w:color="auto"/>
            </w:tcBorders>
          </w:tcPr>
          <w:p w:rsidR="0096055E" w:rsidRPr="0096055E" w:rsidRDefault="0096055E" w:rsidP="0096055E">
            <w:pPr>
              <w:ind w:firstLine="284"/>
              <w:jc w:val="both"/>
              <w:rPr>
                <w:color w:val="000000"/>
                <w:sz w:val="28"/>
                <w:szCs w:val="28"/>
              </w:rPr>
            </w:pPr>
            <w:r w:rsidRPr="0096055E">
              <w:rPr>
                <w:color w:val="000000"/>
                <w:sz w:val="28"/>
                <w:szCs w:val="28"/>
              </w:rPr>
              <w:t>Часть вторая пункта 1 статьи 51-1:</w:t>
            </w:r>
          </w:p>
          <w:p w:rsidR="0096055E" w:rsidRPr="0096055E" w:rsidRDefault="0096055E" w:rsidP="0096055E">
            <w:pPr>
              <w:ind w:firstLine="284"/>
              <w:jc w:val="both"/>
              <w:rPr>
                <w:color w:val="000000"/>
                <w:sz w:val="28"/>
                <w:szCs w:val="28"/>
              </w:rPr>
            </w:pPr>
          </w:p>
          <w:p w:rsidR="0096055E" w:rsidRPr="0096055E" w:rsidRDefault="0096055E" w:rsidP="0096055E">
            <w:pPr>
              <w:ind w:firstLine="284"/>
              <w:jc w:val="both"/>
              <w:rPr>
                <w:color w:val="000000"/>
                <w:sz w:val="28"/>
                <w:szCs w:val="28"/>
              </w:rPr>
            </w:pPr>
            <w:r w:rsidRPr="0096055E">
              <w:rPr>
                <w:rFonts w:eastAsiaTheme="minorHAnsi"/>
                <w:sz w:val="28"/>
                <w:szCs w:val="28"/>
                <w:lang w:eastAsia="en-US"/>
              </w:rPr>
              <w:t>Право на занятие фармацевтической деятельностью в Приднестровской Молдавской Республике имеют лица, получившие:</w:t>
            </w:r>
          </w:p>
          <w:p w:rsidR="0096055E" w:rsidRPr="0096055E" w:rsidRDefault="0096055E" w:rsidP="0096055E">
            <w:pPr>
              <w:tabs>
                <w:tab w:val="left" w:pos="4678"/>
                <w:tab w:val="left" w:pos="8080"/>
              </w:tabs>
              <w:spacing w:line="256" w:lineRule="auto"/>
              <w:ind w:firstLine="709"/>
              <w:jc w:val="both"/>
              <w:rPr>
                <w:rFonts w:eastAsiaTheme="minorHAnsi"/>
                <w:sz w:val="28"/>
                <w:szCs w:val="28"/>
                <w:lang w:eastAsia="en-US"/>
              </w:rPr>
            </w:pPr>
            <w:r w:rsidRPr="0096055E">
              <w:rPr>
                <w:rFonts w:eastAsiaTheme="minorHAnsi"/>
                <w:sz w:val="28"/>
                <w:szCs w:val="28"/>
                <w:lang w:eastAsia="en-US"/>
              </w:rPr>
              <w:t>а) высшее или среднее профессиональное фармацевтическое образование;</w:t>
            </w:r>
          </w:p>
          <w:p w:rsidR="0096055E" w:rsidRPr="0096055E" w:rsidRDefault="0096055E" w:rsidP="0096055E">
            <w:pPr>
              <w:tabs>
                <w:tab w:val="left" w:pos="4678"/>
                <w:tab w:val="left" w:pos="8080"/>
              </w:tabs>
              <w:spacing w:line="256" w:lineRule="auto"/>
              <w:ind w:firstLine="709"/>
              <w:jc w:val="both"/>
              <w:rPr>
                <w:rFonts w:eastAsiaTheme="minorHAnsi"/>
                <w:sz w:val="28"/>
                <w:szCs w:val="28"/>
                <w:lang w:eastAsia="en-US"/>
              </w:rPr>
            </w:pPr>
            <w:r w:rsidRPr="0096055E">
              <w:rPr>
                <w:rFonts w:eastAsiaTheme="minorHAnsi"/>
                <w:sz w:val="28"/>
                <w:szCs w:val="28"/>
                <w:lang w:eastAsia="en-US"/>
              </w:rPr>
              <w:t xml:space="preserve">б) высшее или среднее профессиональное медицинское образование, имеющие стаж работы в медицинских учреждениях не менее 5 (пяти) лет и прошедшие специальную подготовку в порядке, определяемом исполнительным органом государственной власти, в ведении которого находятся вопросы здравоохранения, </w:t>
            </w:r>
            <w:r w:rsidRPr="0096055E">
              <w:rPr>
                <w:rFonts w:eastAsiaTheme="minorHAnsi"/>
                <w:sz w:val="28"/>
                <w:szCs w:val="28"/>
                <w:u w:val="single"/>
                <w:lang w:eastAsia="en-US"/>
              </w:rPr>
              <w:t>–</w:t>
            </w:r>
          </w:p>
          <w:p w:rsidR="0096055E" w:rsidRPr="0096055E" w:rsidRDefault="0096055E" w:rsidP="0096055E">
            <w:pPr>
              <w:tabs>
                <w:tab w:val="left" w:pos="4678"/>
                <w:tab w:val="left" w:pos="8080"/>
              </w:tabs>
              <w:spacing w:line="256" w:lineRule="auto"/>
              <w:ind w:firstLine="709"/>
              <w:jc w:val="both"/>
              <w:rPr>
                <w:rFonts w:eastAsiaTheme="minorHAnsi"/>
                <w:sz w:val="28"/>
                <w:szCs w:val="28"/>
                <w:lang w:eastAsia="en-US"/>
              </w:rPr>
            </w:pPr>
            <w:r w:rsidRPr="0096055E">
              <w:rPr>
                <w:rFonts w:eastAsiaTheme="minorHAnsi"/>
                <w:sz w:val="28"/>
                <w:szCs w:val="28"/>
                <w:lang w:eastAsia="en-US"/>
              </w:rPr>
              <w:t>при условии наличия сертификата специалиста.</w:t>
            </w:r>
          </w:p>
          <w:p w:rsidR="0096055E" w:rsidRPr="0096055E" w:rsidRDefault="0096055E" w:rsidP="0096055E">
            <w:pPr>
              <w:ind w:firstLine="708"/>
              <w:jc w:val="both"/>
              <w:rPr>
                <w:rFonts w:eastAsia="Calibri"/>
                <w:sz w:val="28"/>
                <w:szCs w:val="28"/>
              </w:rPr>
            </w:pPr>
          </w:p>
        </w:tc>
        <w:tc>
          <w:tcPr>
            <w:tcW w:w="4931" w:type="dxa"/>
            <w:tcBorders>
              <w:top w:val="single" w:sz="4" w:space="0" w:color="auto"/>
              <w:left w:val="single" w:sz="4" w:space="0" w:color="auto"/>
              <w:bottom w:val="single" w:sz="4" w:space="0" w:color="auto"/>
              <w:right w:val="single" w:sz="4" w:space="0" w:color="auto"/>
            </w:tcBorders>
          </w:tcPr>
          <w:p w:rsidR="0096055E" w:rsidRPr="0096055E" w:rsidRDefault="0096055E" w:rsidP="0096055E">
            <w:pPr>
              <w:spacing w:line="256" w:lineRule="auto"/>
              <w:rPr>
                <w:color w:val="000000"/>
                <w:sz w:val="28"/>
                <w:szCs w:val="28"/>
              </w:rPr>
            </w:pPr>
            <w:r w:rsidRPr="0096055E">
              <w:rPr>
                <w:color w:val="000000"/>
                <w:sz w:val="28"/>
                <w:szCs w:val="28"/>
              </w:rPr>
              <w:t xml:space="preserve">    Часть вторая пункта 1 статьи 51-1:</w:t>
            </w:r>
          </w:p>
          <w:p w:rsidR="0096055E" w:rsidRPr="0096055E" w:rsidRDefault="0096055E" w:rsidP="0096055E">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color w:val="000000"/>
                <w:sz w:val="28"/>
                <w:szCs w:val="28"/>
              </w:rPr>
            </w:pPr>
          </w:p>
          <w:p w:rsidR="0096055E" w:rsidRPr="0096055E" w:rsidRDefault="0096055E" w:rsidP="0096055E">
            <w:pPr>
              <w:shd w:val="clear" w:color="auto" w:fill="FFFFFF"/>
              <w:ind w:firstLine="284"/>
              <w:jc w:val="both"/>
              <w:rPr>
                <w:bCs/>
                <w:sz w:val="28"/>
                <w:szCs w:val="28"/>
              </w:rPr>
            </w:pPr>
            <w:r w:rsidRPr="0096055E">
              <w:rPr>
                <w:bCs/>
                <w:sz w:val="28"/>
                <w:szCs w:val="28"/>
              </w:rPr>
              <w:t>Право на занятие фармацевтической деятельностью в Приднестровской Молдавской Республике имеют лица, получившие:</w:t>
            </w:r>
          </w:p>
          <w:p w:rsidR="0096055E" w:rsidRPr="0096055E" w:rsidRDefault="0096055E" w:rsidP="0096055E">
            <w:pPr>
              <w:shd w:val="clear" w:color="auto" w:fill="FFFFFF"/>
              <w:ind w:firstLine="284"/>
              <w:jc w:val="both"/>
              <w:rPr>
                <w:bCs/>
                <w:sz w:val="28"/>
                <w:szCs w:val="28"/>
              </w:rPr>
            </w:pPr>
            <w:r w:rsidRPr="0096055E">
              <w:rPr>
                <w:bCs/>
                <w:sz w:val="28"/>
                <w:szCs w:val="28"/>
              </w:rPr>
              <w:t xml:space="preserve">а) высшее или среднее профессиональное фармацевтическое образование, </w:t>
            </w:r>
            <w:r w:rsidRPr="0096055E">
              <w:rPr>
                <w:b/>
                <w:bCs/>
                <w:sz w:val="28"/>
                <w:szCs w:val="28"/>
              </w:rPr>
              <w:t>при условии наличия сертификата специалиста</w:t>
            </w:r>
            <w:r w:rsidRPr="0096055E">
              <w:rPr>
                <w:bCs/>
                <w:sz w:val="28"/>
                <w:szCs w:val="28"/>
              </w:rPr>
              <w:t>;</w:t>
            </w:r>
          </w:p>
          <w:p w:rsidR="0096055E" w:rsidRPr="0096055E" w:rsidRDefault="0096055E" w:rsidP="0096055E">
            <w:pPr>
              <w:shd w:val="clear" w:color="auto" w:fill="FFFFFF"/>
              <w:ind w:firstLine="284"/>
              <w:jc w:val="both"/>
              <w:rPr>
                <w:bCs/>
                <w:sz w:val="28"/>
                <w:szCs w:val="28"/>
              </w:rPr>
            </w:pPr>
            <w:r w:rsidRPr="0096055E">
              <w:rPr>
                <w:bCs/>
                <w:sz w:val="28"/>
                <w:szCs w:val="28"/>
              </w:rPr>
              <w:t>б) высшее или среднее профессиональное медицинское образование, имеющие стаж работы в медицинских учреждениях не менее 5 (пяти) лет и прошедшие специальную подготовку в порядке, определяемом исполнительным органом государственной власти, в ведении которого находятся вопросы здравоохранения, при условии наличия сертификата специалиста;</w:t>
            </w:r>
          </w:p>
          <w:p w:rsidR="0096055E" w:rsidRPr="0096055E" w:rsidRDefault="0096055E" w:rsidP="0096055E">
            <w:pPr>
              <w:shd w:val="clear" w:color="auto" w:fill="FFFFFF"/>
              <w:ind w:firstLine="284"/>
              <w:jc w:val="both"/>
              <w:rPr>
                <w:bCs/>
                <w:sz w:val="28"/>
                <w:szCs w:val="28"/>
              </w:rPr>
            </w:pPr>
            <w:r w:rsidRPr="0096055E">
              <w:rPr>
                <w:b/>
                <w:bCs/>
                <w:sz w:val="28"/>
                <w:szCs w:val="28"/>
              </w:rPr>
              <w:t>в)</w:t>
            </w:r>
            <w:r w:rsidRPr="0096055E">
              <w:rPr>
                <w:bCs/>
                <w:sz w:val="28"/>
                <w:szCs w:val="28"/>
              </w:rPr>
              <w:t xml:space="preserve"> </w:t>
            </w:r>
            <w:r w:rsidRPr="0096055E">
              <w:rPr>
                <w:rFonts w:eastAsiaTheme="minorHAnsi"/>
                <w:b/>
                <w:sz w:val="28"/>
                <w:szCs w:val="28"/>
                <w:lang w:eastAsia="en-US"/>
              </w:rPr>
              <w:t>высшее или среднее профессиональное медицинское образование, имеющие стаж работы в медицинских учреждениях не менее 2 (двух) лет, при условии обязательного прохождения специальной подготовки в течение 1 (одного) года со дня подписания трудового договора в порядке, определяемом исполнительным органом государственной власти, в ведении которого находятся вопросы здравоохранения, - в фармацевтических пунктах и аптечных киосках,</w:t>
            </w:r>
            <w:r w:rsidRPr="0096055E">
              <w:rPr>
                <w:rFonts w:asciiTheme="minorHAnsi" w:eastAsiaTheme="minorHAnsi" w:hAnsiTheme="minorHAnsi" w:cstheme="minorBidi"/>
                <w:sz w:val="28"/>
                <w:szCs w:val="28"/>
                <w:lang w:eastAsia="en-US"/>
              </w:rPr>
              <w:t xml:space="preserve"> </w:t>
            </w:r>
            <w:r w:rsidRPr="0096055E">
              <w:rPr>
                <w:rFonts w:eastAsiaTheme="minorHAnsi"/>
                <w:b/>
                <w:sz w:val="28"/>
                <w:szCs w:val="28"/>
                <w:lang w:eastAsia="en-US"/>
              </w:rPr>
              <w:t>расположенных в сельских населенных пунктах.</w:t>
            </w:r>
          </w:p>
        </w:tc>
      </w:tr>
    </w:tbl>
    <w:p w:rsidR="0096055E" w:rsidRPr="0096055E" w:rsidRDefault="0096055E" w:rsidP="0096055E">
      <w:pPr>
        <w:spacing w:after="160" w:line="256" w:lineRule="auto"/>
        <w:rPr>
          <w:rFonts w:asciiTheme="minorHAnsi" w:eastAsiaTheme="minorHAnsi" w:hAnsiTheme="minorHAnsi" w:cstheme="minorBidi"/>
          <w:sz w:val="22"/>
          <w:szCs w:val="22"/>
          <w:lang w:eastAsia="en-US"/>
        </w:rPr>
      </w:pPr>
    </w:p>
    <w:p w:rsidR="003D28E8" w:rsidRPr="00092A5B" w:rsidRDefault="003D28E8" w:rsidP="00092A5B">
      <w:bookmarkStart w:id="0" w:name="_GoBack"/>
      <w:bookmarkEnd w:id="0"/>
    </w:p>
    <w:sectPr w:rsidR="003D28E8" w:rsidRPr="00092A5B" w:rsidSect="00550D15">
      <w:headerReference w:type="default" r:id="rId8"/>
      <w:pgSz w:w="11906" w:h="16838" w:code="9"/>
      <w:pgMar w:top="567" w:right="1274" w:bottom="709" w:left="340"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41" w:rsidRDefault="001E5841">
      <w:r>
        <w:separator/>
      </w:r>
    </w:p>
  </w:endnote>
  <w:endnote w:type="continuationSeparator" w:id="0">
    <w:p w:rsidR="001E5841" w:rsidRDefault="001E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41" w:rsidRDefault="001E5841">
      <w:r>
        <w:separator/>
      </w:r>
    </w:p>
  </w:footnote>
  <w:footnote w:type="continuationSeparator" w:id="0">
    <w:p w:rsidR="001E5841" w:rsidRDefault="001E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7B2239">
          <w:rPr>
            <w:noProof/>
          </w:rPr>
          <w:t>- 2 -</w:t>
        </w:r>
        <w:r>
          <w:fldChar w:fldCharType="end"/>
        </w:r>
      </w:p>
    </w:sdtContent>
  </w:sdt>
  <w:p w:rsidR="004954C8" w:rsidRDefault="001E584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5905"/>
    <w:rsid w:val="00057A4C"/>
    <w:rsid w:val="00063300"/>
    <w:rsid w:val="00064954"/>
    <w:rsid w:val="00066139"/>
    <w:rsid w:val="00072686"/>
    <w:rsid w:val="000879B1"/>
    <w:rsid w:val="00087AEC"/>
    <w:rsid w:val="00092A5B"/>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20348"/>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21D"/>
    <w:rsid w:val="001D281A"/>
    <w:rsid w:val="001D3F15"/>
    <w:rsid w:val="001E02BB"/>
    <w:rsid w:val="001E1DE8"/>
    <w:rsid w:val="001E2081"/>
    <w:rsid w:val="001E276F"/>
    <w:rsid w:val="001E3E38"/>
    <w:rsid w:val="001E5841"/>
    <w:rsid w:val="001E687E"/>
    <w:rsid w:val="001E6B3B"/>
    <w:rsid w:val="001E71F8"/>
    <w:rsid w:val="001F15AC"/>
    <w:rsid w:val="001F24DB"/>
    <w:rsid w:val="001F2F80"/>
    <w:rsid w:val="001F3CFA"/>
    <w:rsid w:val="001F6029"/>
    <w:rsid w:val="001F6121"/>
    <w:rsid w:val="001F6B7F"/>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540ED"/>
    <w:rsid w:val="00361023"/>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0D15"/>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D71CA"/>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2FFB"/>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2239"/>
    <w:rsid w:val="007B7B89"/>
    <w:rsid w:val="007D26A6"/>
    <w:rsid w:val="007D3CC6"/>
    <w:rsid w:val="007D50C0"/>
    <w:rsid w:val="007E1422"/>
    <w:rsid w:val="007F5A8A"/>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875D9"/>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26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055E"/>
    <w:rsid w:val="00964A5C"/>
    <w:rsid w:val="0096651D"/>
    <w:rsid w:val="00967001"/>
    <w:rsid w:val="009728CB"/>
    <w:rsid w:val="00975B6D"/>
    <w:rsid w:val="00977002"/>
    <w:rsid w:val="009907F9"/>
    <w:rsid w:val="0099528A"/>
    <w:rsid w:val="009A76BF"/>
    <w:rsid w:val="009A7AFB"/>
    <w:rsid w:val="009B034F"/>
    <w:rsid w:val="009B2E0D"/>
    <w:rsid w:val="009B32E2"/>
    <w:rsid w:val="009B78CD"/>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6DB9"/>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7BA"/>
    <w:rsid w:val="00B539D9"/>
    <w:rsid w:val="00B55934"/>
    <w:rsid w:val="00B6096C"/>
    <w:rsid w:val="00B62A90"/>
    <w:rsid w:val="00B6631D"/>
    <w:rsid w:val="00B72BEA"/>
    <w:rsid w:val="00B731CB"/>
    <w:rsid w:val="00B7339E"/>
    <w:rsid w:val="00B81F49"/>
    <w:rsid w:val="00B82DF0"/>
    <w:rsid w:val="00B83B35"/>
    <w:rsid w:val="00B85A7A"/>
    <w:rsid w:val="00B90727"/>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45873"/>
    <w:rsid w:val="00C53C6A"/>
    <w:rsid w:val="00C54D6C"/>
    <w:rsid w:val="00C576DD"/>
    <w:rsid w:val="00C742AB"/>
    <w:rsid w:val="00C76738"/>
    <w:rsid w:val="00C811D2"/>
    <w:rsid w:val="00C952A6"/>
    <w:rsid w:val="00C9585E"/>
    <w:rsid w:val="00C96AD6"/>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3964"/>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1F61"/>
    <w:rsid w:val="00F24107"/>
    <w:rsid w:val="00F3024A"/>
    <w:rsid w:val="00F30AE3"/>
    <w:rsid w:val="00F3554C"/>
    <w:rsid w:val="00F45329"/>
    <w:rsid w:val="00F50291"/>
    <w:rsid w:val="00F57555"/>
    <w:rsid w:val="00F57AA3"/>
    <w:rsid w:val="00F6504D"/>
    <w:rsid w:val="00F669AD"/>
    <w:rsid w:val="00F67B59"/>
    <w:rsid w:val="00F67D8C"/>
    <w:rsid w:val="00F70292"/>
    <w:rsid w:val="00F72387"/>
    <w:rsid w:val="00F73B9E"/>
    <w:rsid w:val="00F76EB9"/>
    <w:rsid w:val="00F77F09"/>
    <w:rsid w:val="00F8178A"/>
    <w:rsid w:val="00F830D9"/>
    <w:rsid w:val="00F842EE"/>
    <w:rsid w:val="00F844F5"/>
    <w:rsid w:val="00FA2C07"/>
    <w:rsid w:val="00FA68C5"/>
    <w:rsid w:val="00FB1B2D"/>
    <w:rsid w:val="00FB653D"/>
    <w:rsid w:val="00FB6EC8"/>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39"/>
    <w:rsid w:val="00F7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39"/>
    <w:rsid w:val="0005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722FF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FDFF-02F6-49DB-8BCD-618BF719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142</cp:revision>
  <cp:lastPrinted>2026-01-30T06:58:00Z</cp:lastPrinted>
  <dcterms:created xsi:type="dcterms:W3CDTF">2026-02-09T12:39:00Z</dcterms:created>
  <dcterms:modified xsi:type="dcterms:W3CDTF">2026-03-23T09:51:00Z</dcterms:modified>
</cp:coreProperties>
</file>