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D6" w:rsidRPr="00546CAF" w:rsidRDefault="005669D6" w:rsidP="005669D6">
      <w:pPr>
        <w:contextualSpacing/>
        <w:jc w:val="center"/>
        <w:rPr>
          <w:b/>
          <w:bCs/>
          <w:sz w:val="28"/>
          <w:szCs w:val="28"/>
        </w:rPr>
      </w:pPr>
      <w:r w:rsidRPr="00546CAF">
        <w:rPr>
          <w:sz w:val="28"/>
          <w:szCs w:val="28"/>
        </w:rPr>
        <w:t>Сравнительная таблица</w:t>
      </w:r>
    </w:p>
    <w:p w:rsidR="005669D6" w:rsidRPr="00546CAF" w:rsidRDefault="005669D6" w:rsidP="005669D6">
      <w:pPr>
        <w:contextualSpacing/>
        <w:jc w:val="center"/>
        <w:rPr>
          <w:b/>
          <w:sz w:val="28"/>
          <w:szCs w:val="28"/>
        </w:rPr>
      </w:pPr>
      <w:r w:rsidRPr="00546CAF">
        <w:rPr>
          <w:sz w:val="28"/>
          <w:szCs w:val="28"/>
        </w:rPr>
        <w:t>к проекту закона Приднестровской Молдавской Республики</w:t>
      </w:r>
    </w:p>
    <w:p w:rsidR="005669D6" w:rsidRPr="00546CAF" w:rsidRDefault="005669D6" w:rsidP="005669D6">
      <w:pPr>
        <w:contextualSpacing/>
        <w:jc w:val="center"/>
        <w:rPr>
          <w:b/>
          <w:sz w:val="28"/>
          <w:szCs w:val="28"/>
        </w:rPr>
      </w:pPr>
      <w:r w:rsidRPr="00546CAF">
        <w:rPr>
          <w:sz w:val="28"/>
          <w:szCs w:val="28"/>
        </w:rPr>
        <w:t>«О внесении изменения в Закон Приднестровской Молдавской Республики «О персональных данных»</w:t>
      </w:r>
    </w:p>
    <w:p w:rsidR="005669D6" w:rsidRDefault="005669D6" w:rsidP="005669D6">
      <w:pPr>
        <w:ind w:firstLine="709"/>
        <w:contextualSpacing/>
        <w:jc w:val="center"/>
        <w:rPr>
          <w:sz w:val="28"/>
          <w:szCs w:val="28"/>
        </w:rPr>
      </w:pPr>
    </w:p>
    <w:tbl>
      <w:tblPr>
        <w:tblStyle w:val="a3"/>
        <w:tblW w:w="0" w:type="auto"/>
        <w:tblLook w:val="04A0" w:firstRow="1" w:lastRow="0" w:firstColumn="1" w:lastColumn="0" w:noHBand="0" w:noVBand="1"/>
      </w:tblPr>
      <w:tblGrid>
        <w:gridCol w:w="4672"/>
        <w:gridCol w:w="4673"/>
      </w:tblGrid>
      <w:tr w:rsidR="005669D6" w:rsidTr="005577BA">
        <w:tc>
          <w:tcPr>
            <w:tcW w:w="4672" w:type="dxa"/>
            <w:tcBorders>
              <w:top w:val="single" w:sz="4" w:space="0" w:color="auto"/>
              <w:left w:val="single" w:sz="4" w:space="0" w:color="auto"/>
              <w:bottom w:val="single" w:sz="4" w:space="0" w:color="auto"/>
              <w:right w:val="single" w:sz="4" w:space="0" w:color="auto"/>
            </w:tcBorders>
            <w:hideMark/>
          </w:tcPr>
          <w:p w:rsidR="005669D6" w:rsidRPr="00546CAF" w:rsidRDefault="005669D6" w:rsidP="005577BA">
            <w:pPr>
              <w:ind w:firstLine="709"/>
              <w:contextualSpacing/>
              <w:jc w:val="center"/>
              <w:rPr>
                <w:b/>
                <w:sz w:val="28"/>
                <w:szCs w:val="28"/>
              </w:rPr>
            </w:pPr>
            <w:r w:rsidRPr="00546CAF">
              <w:rPr>
                <w:sz w:val="28"/>
                <w:szCs w:val="28"/>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hideMark/>
          </w:tcPr>
          <w:p w:rsidR="005669D6" w:rsidRPr="00546CAF" w:rsidRDefault="005669D6" w:rsidP="005577BA">
            <w:pPr>
              <w:ind w:firstLine="709"/>
              <w:contextualSpacing/>
              <w:jc w:val="center"/>
              <w:rPr>
                <w:b/>
                <w:sz w:val="28"/>
                <w:szCs w:val="28"/>
              </w:rPr>
            </w:pPr>
            <w:r w:rsidRPr="00546CAF">
              <w:rPr>
                <w:sz w:val="28"/>
                <w:szCs w:val="28"/>
              </w:rPr>
              <w:t>Предлагаемая редакция</w:t>
            </w:r>
          </w:p>
        </w:tc>
      </w:tr>
      <w:tr w:rsidR="005669D6" w:rsidTr="005577BA">
        <w:tc>
          <w:tcPr>
            <w:tcW w:w="4672" w:type="dxa"/>
            <w:tcBorders>
              <w:top w:val="single" w:sz="4" w:space="0" w:color="auto"/>
              <w:left w:val="single" w:sz="4" w:space="0" w:color="auto"/>
              <w:bottom w:val="single" w:sz="4" w:space="0" w:color="auto"/>
              <w:right w:val="single" w:sz="4" w:space="0" w:color="auto"/>
            </w:tcBorders>
          </w:tcPr>
          <w:p w:rsidR="005669D6" w:rsidRPr="00546CAF" w:rsidRDefault="005669D6" w:rsidP="005577BA">
            <w:pPr>
              <w:ind w:firstLine="709"/>
              <w:contextualSpacing/>
              <w:jc w:val="both"/>
              <w:rPr>
                <w:b/>
                <w:sz w:val="28"/>
                <w:szCs w:val="28"/>
              </w:rPr>
            </w:pPr>
            <w:r w:rsidRPr="00546CAF">
              <w:rPr>
                <w:sz w:val="28"/>
                <w:szCs w:val="28"/>
              </w:rPr>
              <w:t xml:space="preserve">Пункт 1 Статьи 11: </w:t>
            </w:r>
          </w:p>
          <w:p w:rsidR="005669D6" w:rsidRPr="00546CAF" w:rsidRDefault="005669D6" w:rsidP="005577BA">
            <w:pPr>
              <w:ind w:firstLine="709"/>
              <w:contextualSpacing/>
              <w:jc w:val="both"/>
              <w:rPr>
                <w:b/>
                <w:sz w:val="28"/>
                <w:szCs w:val="28"/>
              </w:rPr>
            </w:pPr>
          </w:p>
          <w:p w:rsidR="005669D6" w:rsidRPr="00546CAF" w:rsidRDefault="005669D6" w:rsidP="005577BA">
            <w:pPr>
              <w:ind w:firstLine="709"/>
              <w:contextualSpacing/>
              <w:jc w:val="both"/>
              <w:rPr>
                <w:b/>
                <w:sz w:val="28"/>
                <w:szCs w:val="28"/>
              </w:rPr>
            </w:pPr>
            <w:r w:rsidRPr="00546CAF">
              <w:rPr>
                <w:sz w:val="28"/>
                <w:szCs w:val="28"/>
              </w:rPr>
              <w:t xml:space="preserve">1. Сведения, которые характеризуют физиологические и биологические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пунктом 2 настоящей статьи. </w:t>
            </w:r>
          </w:p>
          <w:p w:rsidR="005669D6" w:rsidRPr="00546CAF" w:rsidRDefault="005669D6" w:rsidP="005577BA">
            <w:pPr>
              <w:ind w:firstLine="709"/>
              <w:contextualSpacing/>
              <w:jc w:val="both"/>
              <w:rPr>
                <w:b/>
                <w:sz w:val="28"/>
                <w:szCs w:val="28"/>
              </w:rPr>
            </w:pPr>
            <w:r w:rsidRPr="00546CAF">
              <w:rPr>
                <w:sz w:val="28"/>
                <w:szCs w:val="28"/>
              </w:rPr>
              <w:t>…</w:t>
            </w:r>
          </w:p>
          <w:p w:rsidR="005669D6" w:rsidRPr="00546CAF" w:rsidRDefault="005669D6" w:rsidP="005577BA">
            <w:pPr>
              <w:ind w:firstLine="709"/>
              <w:contextualSpacing/>
              <w:jc w:val="both"/>
              <w:rPr>
                <w:b/>
                <w:sz w:val="28"/>
                <w:szCs w:val="28"/>
              </w:rPr>
            </w:pPr>
          </w:p>
        </w:tc>
        <w:tc>
          <w:tcPr>
            <w:tcW w:w="4673" w:type="dxa"/>
            <w:tcBorders>
              <w:top w:val="single" w:sz="4" w:space="0" w:color="auto"/>
              <w:left w:val="single" w:sz="4" w:space="0" w:color="auto"/>
              <w:bottom w:val="single" w:sz="4" w:space="0" w:color="auto"/>
              <w:right w:val="single" w:sz="4" w:space="0" w:color="auto"/>
            </w:tcBorders>
          </w:tcPr>
          <w:p w:rsidR="005669D6" w:rsidRPr="00546CAF" w:rsidRDefault="005669D6" w:rsidP="005577BA">
            <w:pPr>
              <w:ind w:firstLine="709"/>
              <w:contextualSpacing/>
              <w:jc w:val="both"/>
              <w:rPr>
                <w:b/>
                <w:sz w:val="28"/>
                <w:szCs w:val="28"/>
              </w:rPr>
            </w:pPr>
            <w:r w:rsidRPr="00546CAF">
              <w:rPr>
                <w:sz w:val="28"/>
                <w:szCs w:val="28"/>
              </w:rPr>
              <w:t xml:space="preserve">Пункт 1 Статьи 11: </w:t>
            </w:r>
          </w:p>
          <w:p w:rsidR="005669D6" w:rsidRPr="00546CAF" w:rsidRDefault="005669D6" w:rsidP="005577BA">
            <w:pPr>
              <w:ind w:firstLine="709"/>
              <w:contextualSpacing/>
              <w:jc w:val="both"/>
              <w:rPr>
                <w:b/>
                <w:sz w:val="28"/>
                <w:szCs w:val="28"/>
              </w:rPr>
            </w:pPr>
          </w:p>
          <w:p w:rsidR="005669D6" w:rsidRPr="00546CAF" w:rsidRDefault="005669D6" w:rsidP="005577BA">
            <w:pPr>
              <w:ind w:firstLine="709"/>
              <w:contextualSpacing/>
              <w:jc w:val="both"/>
              <w:rPr>
                <w:b/>
                <w:sz w:val="28"/>
                <w:szCs w:val="28"/>
              </w:rPr>
            </w:pPr>
            <w:r w:rsidRPr="00546CAF">
              <w:rPr>
                <w:sz w:val="28"/>
                <w:szCs w:val="28"/>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пунктом 2 настоящей статьи. </w:t>
            </w:r>
          </w:p>
          <w:p w:rsidR="005669D6" w:rsidRPr="00546CAF" w:rsidRDefault="005669D6" w:rsidP="005577BA">
            <w:pPr>
              <w:ind w:firstLine="709"/>
              <w:contextualSpacing/>
              <w:jc w:val="both"/>
              <w:rPr>
                <w:b/>
                <w:sz w:val="28"/>
                <w:szCs w:val="28"/>
              </w:rPr>
            </w:pPr>
            <w:r w:rsidRPr="00546CAF">
              <w:rPr>
                <w:sz w:val="28"/>
                <w:szCs w:val="28"/>
              </w:rPr>
              <w:t xml:space="preserve">… </w:t>
            </w:r>
          </w:p>
        </w:tc>
      </w:tr>
    </w:tbl>
    <w:p w:rsidR="008926AE" w:rsidRPr="000C1AB0" w:rsidRDefault="008926AE" w:rsidP="000C1AB0">
      <w:pPr>
        <w:rPr>
          <w:rFonts w:eastAsia="Calibri"/>
        </w:rPr>
      </w:pPr>
      <w:bookmarkStart w:id="0" w:name="_GoBack"/>
      <w:bookmarkEnd w:id="0"/>
    </w:p>
    <w:sectPr w:rsidR="008926AE" w:rsidRPr="000C1AB0"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22EA6"/>
    <w:rsid w:val="00051996"/>
    <w:rsid w:val="000C1AB0"/>
    <w:rsid w:val="00147B5A"/>
    <w:rsid w:val="001764E8"/>
    <w:rsid w:val="00336B91"/>
    <w:rsid w:val="0040279E"/>
    <w:rsid w:val="004204C5"/>
    <w:rsid w:val="005669D6"/>
    <w:rsid w:val="005F790B"/>
    <w:rsid w:val="0062219E"/>
    <w:rsid w:val="006F2894"/>
    <w:rsid w:val="007140FC"/>
    <w:rsid w:val="0072713F"/>
    <w:rsid w:val="00736078"/>
    <w:rsid w:val="00745731"/>
    <w:rsid w:val="007C3B6C"/>
    <w:rsid w:val="00853717"/>
    <w:rsid w:val="008926AE"/>
    <w:rsid w:val="0091069F"/>
    <w:rsid w:val="00945F4B"/>
    <w:rsid w:val="00947364"/>
    <w:rsid w:val="009C0CBA"/>
    <w:rsid w:val="00A500D1"/>
    <w:rsid w:val="00B62C7E"/>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28</cp:revision>
  <dcterms:created xsi:type="dcterms:W3CDTF">2026-03-30T13:53:00Z</dcterms:created>
  <dcterms:modified xsi:type="dcterms:W3CDTF">2026-04-23T11:26:00Z</dcterms:modified>
</cp:coreProperties>
</file>