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4D" w:rsidRPr="00E4664D" w:rsidRDefault="00E4664D" w:rsidP="00E4664D">
      <w:pPr>
        <w:ind w:left="0"/>
        <w:jc w:val="center"/>
      </w:pPr>
      <w:r w:rsidRPr="00E4664D">
        <w:rPr>
          <w:sz w:val="28"/>
          <w:szCs w:val="28"/>
        </w:rPr>
        <w:t>Сравнительная таблица</w:t>
      </w:r>
    </w:p>
    <w:p w:rsidR="00E4664D" w:rsidRPr="00E4664D" w:rsidRDefault="00E4664D" w:rsidP="00E4664D">
      <w:pPr>
        <w:ind w:left="0"/>
        <w:jc w:val="center"/>
        <w:rPr>
          <w:sz w:val="28"/>
          <w:szCs w:val="28"/>
        </w:rPr>
      </w:pPr>
      <w:r w:rsidRPr="00E4664D">
        <w:rPr>
          <w:sz w:val="28"/>
          <w:szCs w:val="28"/>
        </w:rPr>
        <w:t xml:space="preserve">к проекту закона Приднестровской Молдавской Республики </w:t>
      </w:r>
    </w:p>
    <w:p w:rsidR="00E4664D" w:rsidRPr="00E4664D" w:rsidRDefault="00E4664D" w:rsidP="00E4664D">
      <w:pPr>
        <w:ind w:left="0"/>
        <w:jc w:val="center"/>
        <w:rPr>
          <w:sz w:val="28"/>
          <w:szCs w:val="28"/>
        </w:rPr>
      </w:pPr>
      <w:r w:rsidRPr="00E4664D">
        <w:rPr>
          <w:sz w:val="28"/>
          <w:szCs w:val="28"/>
        </w:rPr>
        <w:t>«О внесении изменения и дополнений в Таможенный кодекс Приднестровской Молдавской Республики»</w:t>
      </w:r>
    </w:p>
    <w:p w:rsidR="00E4664D" w:rsidRPr="00E4664D" w:rsidRDefault="00E4664D" w:rsidP="00E4664D">
      <w:pPr>
        <w:ind w:left="0"/>
        <w:jc w:val="center"/>
        <w:rPr>
          <w:rFonts w:eastAsia="Calibri"/>
          <w:kern w:val="2"/>
          <w:sz w:val="28"/>
          <w:szCs w:val="28"/>
          <w:lang w:eastAsia="en-US"/>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85"/>
      </w:tblGrid>
      <w:tr w:rsidR="00E4664D" w:rsidRPr="00E4664D" w:rsidTr="00145A6A">
        <w:tc>
          <w:tcPr>
            <w:tcW w:w="4660" w:type="dxa"/>
          </w:tcPr>
          <w:p w:rsidR="00E4664D" w:rsidRPr="00E4664D" w:rsidRDefault="00E4664D" w:rsidP="00E4664D">
            <w:pPr>
              <w:tabs>
                <w:tab w:val="left" w:pos="1140"/>
              </w:tabs>
              <w:ind w:left="0" w:firstLine="284"/>
              <w:jc w:val="center"/>
              <w:rPr>
                <w:bCs/>
                <w:sz w:val="28"/>
                <w:szCs w:val="28"/>
              </w:rPr>
            </w:pPr>
            <w:bookmarkStart w:id="0" w:name="_Hlk151647499"/>
            <w:r w:rsidRPr="00E4664D">
              <w:rPr>
                <w:bCs/>
                <w:sz w:val="28"/>
                <w:szCs w:val="28"/>
              </w:rPr>
              <w:t>Действующая редакция</w:t>
            </w:r>
          </w:p>
        </w:tc>
        <w:tc>
          <w:tcPr>
            <w:tcW w:w="4685" w:type="dxa"/>
          </w:tcPr>
          <w:p w:rsidR="00E4664D" w:rsidRPr="00E4664D" w:rsidRDefault="00E4664D" w:rsidP="00E4664D">
            <w:pPr>
              <w:tabs>
                <w:tab w:val="left" w:pos="1140"/>
              </w:tabs>
              <w:ind w:left="0" w:firstLine="318"/>
              <w:jc w:val="center"/>
              <w:rPr>
                <w:bCs/>
                <w:sz w:val="28"/>
                <w:szCs w:val="28"/>
              </w:rPr>
            </w:pPr>
            <w:r w:rsidRPr="00E4664D">
              <w:rPr>
                <w:bCs/>
                <w:sz w:val="28"/>
                <w:szCs w:val="28"/>
              </w:rPr>
              <w:t>Предлагаемая редакция</w:t>
            </w:r>
          </w:p>
        </w:tc>
      </w:tr>
      <w:tr w:rsidR="00E4664D" w:rsidRPr="00E4664D" w:rsidTr="00145A6A">
        <w:tc>
          <w:tcPr>
            <w:tcW w:w="4660" w:type="dxa"/>
          </w:tcPr>
          <w:p w:rsidR="00E4664D" w:rsidRPr="00E4664D" w:rsidRDefault="00E4664D" w:rsidP="00E4664D">
            <w:pPr>
              <w:tabs>
                <w:tab w:val="left" w:pos="1140"/>
              </w:tabs>
              <w:ind w:left="0" w:firstLine="284"/>
              <w:rPr>
                <w:sz w:val="28"/>
                <w:szCs w:val="28"/>
              </w:rPr>
            </w:pPr>
            <w:r w:rsidRPr="00E4664D">
              <w:rPr>
                <w:sz w:val="28"/>
                <w:szCs w:val="28"/>
              </w:rPr>
              <w:t>…</w:t>
            </w:r>
          </w:p>
          <w:p w:rsidR="00E4664D" w:rsidRPr="00E4664D" w:rsidRDefault="00E4664D" w:rsidP="00E4664D">
            <w:pPr>
              <w:widowControl w:val="0"/>
              <w:autoSpaceDE w:val="0"/>
              <w:autoSpaceDN w:val="0"/>
              <w:adjustRightInd w:val="0"/>
              <w:ind w:left="0" w:firstLine="720"/>
              <w:rPr>
                <w:rFonts w:eastAsia="Calibri"/>
                <w:sz w:val="28"/>
                <w:szCs w:val="28"/>
              </w:rPr>
            </w:pPr>
            <w:r w:rsidRPr="00E4664D">
              <w:rPr>
                <w:rFonts w:eastAsia="Calibri"/>
                <w:bCs/>
                <w:sz w:val="28"/>
                <w:szCs w:val="28"/>
              </w:rPr>
              <w:t>Статья 141.</w:t>
            </w:r>
            <w:r w:rsidRPr="00E4664D">
              <w:rPr>
                <w:rFonts w:eastAsia="Calibri"/>
                <w:sz w:val="28"/>
                <w:szCs w:val="28"/>
              </w:rPr>
              <w:t xml:space="preserve"> Возникновение обязанности по уплате и сроки уплаты таможенных платежей</w:t>
            </w:r>
          </w:p>
          <w:p w:rsidR="00E4664D" w:rsidRPr="00E4664D" w:rsidRDefault="00E4664D" w:rsidP="00E4664D">
            <w:pPr>
              <w:widowControl w:val="0"/>
              <w:autoSpaceDE w:val="0"/>
              <w:autoSpaceDN w:val="0"/>
              <w:adjustRightInd w:val="0"/>
              <w:ind w:left="0" w:firstLine="720"/>
              <w:rPr>
                <w:rFonts w:eastAsia="Calibri"/>
                <w:sz w:val="28"/>
                <w:szCs w:val="28"/>
              </w:rPr>
            </w:pPr>
          </w:p>
          <w:p w:rsidR="00E4664D" w:rsidRPr="00E4664D" w:rsidRDefault="00E4664D" w:rsidP="00E4664D">
            <w:pPr>
              <w:widowControl w:val="0"/>
              <w:autoSpaceDE w:val="0"/>
              <w:autoSpaceDN w:val="0"/>
              <w:adjustRightInd w:val="0"/>
              <w:ind w:left="0" w:firstLine="720"/>
              <w:rPr>
                <w:rFonts w:eastAsia="Calibri"/>
                <w:sz w:val="28"/>
                <w:szCs w:val="28"/>
              </w:rPr>
            </w:pPr>
            <w:r w:rsidRPr="00E4664D">
              <w:rPr>
                <w:rFonts w:eastAsia="Calibri"/>
                <w:sz w:val="28"/>
                <w:szCs w:val="28"/>
              </w:rPr>
              <w:t>1. Обязанность по уплате таможенных платежей возникает:</w:t>
            </w:r>
          </w:p>
          <w:p w:rsidR="00E4664D" w:rsidRPr="00E4664D" w:rsidRDefault="00E4664D" w:rsidP="00E4664D">
            <w:pPr>
              <w:widowControl w:val="0"/>
              <w:autoSpaceDE w:val="0"/>
              <w:autoSpaceDN w:val="0"/>
              <w:adjustRightInd w:val="0"/>
              <w:ind w:left="0" w:firstLine="720"/>
              <w:rPr>
                <w:rFonts w:eastAsia="Calibri"/>
                <w:sz w:val="28"/>
                <w:szCs w:val="28"/>
              </w:rPr>
            </w:pPr>
            <w:r w:rsidRPr="00E4664D">
              <w:rPr>
                <w:rFonts w:eastAsia="Calibri"/>
                <w:sz w:val="28"/>
                <w:szCs w:val="28"/>
              </w:rPr>
              <w:t>…</w:t>
            </w:r>
          </w:p>
          <w:p w:rsidR="00E4664D" w:rsidRPr="00E4664D" w:rsidRDefault="00E4664D" w:rsidP="00E4664D">
            <w:pPr>
              <w:widowControl w:val="0"/>
              <w:autoSpaceDE w:val="0"/>
              <w:autoSpaceDN w:val="0"/>
              <w:adjustRightInd w:val="0"/>
              <w:ind w:left="0" w:firstLine="720"/>
              <w:rPr>
                <w:rFonts w:eastAsia="Calibri"/>
                <w:sz w:val="28"/>
                <w:szCs w:val="28"/>
              </w:rPr>
            </w:pPr>
            <w:r w:rsidRPr="00E4664D">
              <w:rPr>
                <w:rFonts w:eastAsia="Calibri"/>
                <w:sz w:val="28"/>
                <w:szCs w:val="28"/>
              </w:rPr>
              <w:t>ж) в отношении условно выпущенных товаров:</w:t>
            </w:r>
          </w:p>
          <w:p w:rsidR="00E4664D" w:rsidRPr="00E4664D" w:rsidRDefault="00E4664D" w:rsidP="00E4664D">
            <w:pPr>
              <w:tabs>
                <w:tab w:val="left" w:pos="1140"/>
              </w:tabs>
              <w:ind w:left="0" w:firstLine="594"/>
              <w:rPr>
                <w:sz w:val="28"/>
                <w:szCs w:val="28"/>
              </w:rPr>
            </w:pPr>
            <w:r w:rsidRPr="00E4664D">
              <w:rPr>
                <w:sz w:val="28"/>
                <w:szCs w:val="28"/>
              </w:rPr>
              <w:t>…</w:t>
            </w:r>
          </w:p>
          <w:p w:rsidR="00E4664D" w:rsidRPr="00E4664D" w:rsidRDefault="00E4664D" w:rsidP="00E4664D">
            <w:pPr>
              <w:ind w:left="0" w:firstLine="709"/>
              <w:rPr>
                <w:sz w:val="28"/>
              </w:rPr>
            </w:pPr>
            <w:r w:rsidRPr="00E4664D">
              <w:rPr>
                <w:sz w:val="28"/>
              </w:rPr>
              <w:t>2) при использовании условно выпущенных товаров, находящихся под таможенным контролем, в иных целях, чем те, в связи с которыми были предоставлены льготы по уплате таможенных платежей, либо распоряжении ими с разрешения таможенных органов Приднестровской Молдавской Республики – в день выдачи таможенным органом Приднестровской Молдавской Республики разрешения на использование и (или) распоряжение товарами.</w:t>
            </w: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r w:rsidRPr="00E4664D">
              <w:rPr>
                <w:sz w:val="28"/>
                <w:szCs w:val="28"/>
              </w:rPr>
              <w:t>…</w:t>
            </w:r>
          </w:p>
          <w:p w:rsidR="00E4664D" w:rsidRPr="00E4664D" w:rsidRDefault="00E4664D" w:rsidP="00E4664D">
            <w:pPr>
              <w:tabs>
                <w:tab w:val="left" w:pos="1140"/>
              </w:tabs>
              <w:ind w:left="0" w:firstLine="284"/>
              <w:rPr>
                <w:b/>
                <w:sz w:val="28"/>
                <w:szCs w:val="28"/>
              </w:rPr>
            </w:pPr>
            <w:r w:rsidRPr="00E4664D">
              <w:rPr>
                <w:b/>
                <w:sz w:val="28"/>
                <w:szCs w:val="28"/>
              </w:rPr>
              <w:t>3) отсутствует;</w:t>
            </w:r>
          </w:p>
          <w:p w:rsidR="00E4664D" w:rsidRPr="00E4664D" w:rsidRDefault="00E4664D" w:rsidP="00E4664D">
            <w:pPr>
              <w:tabs>
                <w:tab w:val="left" w:pos="1140"/>
              </w:tabs>
              <w:ind w:left="0" w:firstLine="284"/>
              <w:rPr>
                <w:sz w:val="28"/>
                <w:szCs w:val="28"/>
              </w:rPr>
            </w:pPr>
            <w:r w:rsidRPr="00E4664D">
              <w:rPr>
                <w:sz w:val="28"/>
                <w:szCs w:val="28"/>
              </w:rPr>
              <w:t>…</w:t>
            </w: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r w:rsidRPr="00E4664D">
              <w:rPr>
                <w:sz w:val="28"/>
                <w:szCs w:val="28"/>
              </w:rPr>
              <w:t xml:space="preserve">Статья 216-8. Специальные упрощения, предоставляемые </w:t>
            </w:r>
          </w:p>
          <w:p w:rsidR="00E4664D" w:rsidRPr="00E4664D" w:rsidRDefault="00E4664D" w:rsidP="00E4664D">
            <w:pPr>
              <w:tabs>
                <w:tab w:val="left" w:pos="1140"/>
              </w:tabs>
              <w:ind w:left="0" w:firstLine="284"/>
              <w:rPr>
                <w:sz w:val="28"/>
                <w:szCs w:val="28"/>
              </w:rPr>
            </w:pPr>
            <w:r w:rsidRPr="00E4664D">
              <w:rPr>
                <w:sz w:val="28"/>
                <w:szCs w:val="28"/>
              </w:rPr>
              <w:t xml:space="preserve"> уполномоченному оператору</w:t>
            </w:r>
          </w:p>
          <w:p w:rsidR="00E4664D" w:rsidRPr="00E4664D" w:rsidRDefault="00E4664D" w:rsidP="00E4664D">
            <w:pPr>
              <w:tabs>
                <w:tab w:val="left" w:pos="1140"/>
              </w:tabs>
              <w:ind w:left="0" w:firstLine="284"/>
              <w:rPr>
                <w:sz w:val="28"/>
                <w:szCs w:val="28"/>
              </w:rPr>
            </w:pPr>
            <w:r w:rsidRPr="00E4664D">
              <w:rPr>
                <w:sz w:val="28"/>
                <w:szCs w:val="28"/>
              </w:rPr>
              <w:t>…</w:t>
            </w:r>
          </w:p>
          <w:p w:rsidR="00E4664D" w:rsidRPr="00E4664D" w:rsidRDefault="00E4664D" w:rsidP="00E4664D">
            <w:pPr>
              <w:tabs>
                <w:tab w:val="left" w:pos="1140"/>
              </w:tabs>
              <w:ind w:left="0" w:firstLine="284"/>
              <w:rPr>
                <w:sz w:val="28"/>
                <w:szCs w:val="28"/>
              </w:rPr>
            </w:pPr>
            <w:r w:rsidRPr="00E4664D">
              <w:rPr>
                <w:sz w:val="28"/>
                <w:szCs w:val="28"/>
              </w:rPr>
              <w:t>2. Добросовестный участник внешнеэкономической деятельности пользуется следующими специальными упрощениями:</w:t>
            </w:r>
          </w:p>
          <w:p w:rsidR="00E4664D" w:rsidRPr="00E4664D" w:rsidRDefault="00E4664D" w:rsidP="00E4664D">
            <w:pPr>
              <w:tabs>
                <w:tab w:val="left" w:pos="1140"/>
              </w:tabs>
              <w:ind w:left="0" w:firstLine="284"/>
              <w:rPr>
                <w:sz w:val="28"/>
                <w:szCs w:val="28"/>
              </w:rPr>
            </w:pPr>
          </w:p>
          <w:p w:rsidR="00E4664D" w:rsidRPr="00E4664D" w:rsidRDefault="00E4664D" w:rsidP="00E4664D">
            <w:pPr>
              <w:tabs>
                <w:tab w:val="left" w:pos="1140"/>
              </w:tabs>
              <w:ind w:left="0" w:firstLine="284"/>
              <w:rPr>
                <w:sz w:val="28"/>
                <w:szCs w:val="28"/>
              </w:rPr>
            </w:pPr>
            <w:r w:rsidRPr="00E4664D">
              <w:rPr>
                <w:b/>
                <w:sz w:val="28"/>
                <w:szCs w:val="28"/>
              </w:rPr>
              <w:t>н) отсутствует</w:t>
            </w:r>
            <w:r w:rsidRPr="00E4664D">
              <w:rPr>
                <w:sz w:val="28"/>
                <w:szCs w:val="28"/>
              </w:rPr>
              <w:t>.</w:t>
            </w:r>
          </w:p>
          <w:p w:rsidR="00E4664D" w:rsidRPr="00E4664D" w:rsidRDefault="00E4664D" w:rsidP="00E4664D">
            <w:pPr>
              <w:tabs>
                <w:tab w:val="left" w:pos="1140"/>
              </w:tabs>
              <w:ind w:left="0" w:firstLine="284"/>
              <w:rPr>
                <w:sz w:val="28"/>
                <w:szCs w:val="28"/>
              </w:rPr>
            </w:pPr>
          </w:p>
        </w:tc>
        <w:tc>
          <w:tcPr>
            <w:tcW w:w="4685" w:type="dxa"/>
          </w:tcPr>
          <w:p w:rsidR="00E4664D" w:rsidRPr="00E4664D" w:rsidRDefault="00E4664D" w:rsidP="00E4664D">
            <w:pPr>
              <w:ind w:left="0" w:firstLine="709"/>
              <w:rPr>
                <w:rFonts w:eastAsia="Calibri"/>
                <w:kern w:val="2"/>
                <w:sz w:val="28"/>
                <w:szCs w:val="28"/>
                <w:lang w:eastAsia="en-US"/>
                <w14:ligatures w14:val="standardContextual"/>
              </w:rPr>
            </w:pPr>
            <w:r w:rsidRPr="00E4664D">
              <w:rPr>
                <w:rFonts w:eastAsia="Calibri"/>
                <w:kern w:val="2"/>
                <w:sz w:val="28"/>
                <w:szCs w:val="28"/>
                <w:lang w:eastAsia="en-US"/>
                <w14:ligatures w14:val="standardContextual"/>
              </w:rPr>
              <w:lastRenderedPageBreak/>
              <w:t>…</w:t>
            </w:r>
          </w:p>
          <w:p w:rsidR="00E4664D" w:rsidRPr="00E4664D" w:rsidRDefault="00E4664D" w:rsidP="00E4664D">
            <w:pPr>
              <w:widowControl w:val="0"/>
              <w:autoSpaceDE w:val="0"/>
              <w:autoSpaceDN w:val="0"/>
              <w:adjustRightInd w:val="0"/>
              <w:ind w:left="0" w:firstLine="720"/>
              <w:rPr>
                <w:rFonts w:eastAsia="Calibri"/>
                <w:sz w:val="28"/>
                <w:szCs w:val="28"/>
              </w:rPr>
            </w:pPr>
            <w:r w:rsidRPr="00E4664D">
              <w:rPr>
                <w:rFonts w:eastAsia="Calibri"/>
                <w:bCs/>
                <w:sz w:val="28"/>
                <w:szCs w:val="28"/>
              </w:rPr>
              <w:t>Статья 141.</w:t>
            </w:r>
            <w:r w:rsidRPr="00E4664D">
              <w:rPr>
                <w:rFonts w:eastAsia="Calibri"/>
                <w:sz w:val="28"/>
                <w:szCs w:val="28"/>
              </w:rPr>
              <w:t xml:space="preserve"> Возникновение обязанности по уплате и сроки уплаты таможенных платежей</w:t>
            </w:r>
          </w:p>
          <w:p w:rsidR="00E4664D" w:rsidRPr="00E4664D" w:rsidRDefault="00E4664D" w:rsidP="00E4664D">
            <w:pPr>
              <w:widowControl w:val="0"/>
              <w:autoSpaceDE w:val="0"/>
              <w:autoSpaceDN w:val="0"/>
              <w:adjustRightInd w:val="0"/>
              <w:ind w:left="0" w:firstLine="720"/>
              <w:rPr>
                <w:rFonts w:eastAsia="Calibri"/>
                <w:sz w:val="28"/>
                <w:szCs w:val="28"/>
              </w:rPr>
            </w:pPr>
          </w:p>
          <w:p w:rsidR="00E4664D" w:rsidRPr="00E4664D" w:rsidRDefault="00E4664D" w:rsidP="00E4664D">
            <w:pPr>
              <w:widowControl w:val="0"/>
              <w:autoSpaceDE w:val="0"/>
              <w:autoSpaceDN w:val="0"/>
              <w:adjustRightInd w:val="0"/>
              <w:ind w:left="0" w:firstLine="720"/>
              <w:rPr>
                <w:rFonts w:eastAsia="Calibri"/>
                <w:sz w:val="28"/>
                <w:szCs w:val="28"/>
              </w:rPr>
            </w:pPr>
            <w:r w:rsidRPr="00E4664D">
              <w:rPr>
                <w:rFonts w:eastAsia="Calibri"/>
                <w:sz w:val="28"/>
                <w:szCs w:val="28"/>
              </w:rPr>
              <w:t>1. Обязанность по уплате таможенных платежей возникает:</w:t>
            </w:r>
          </w:p>
          <w:p w:rsidR="00E4664D" w:rsidRPr="00E4664D" w:rsidRDefault="00E4664D" w:rsidP="00E4664D">
            <w:pPr>
              <w:widowControl w:val="0"/>
              <w:autoSpaceDE w:val="0"/>
              <w:autoSpaceDN w:val="0"/>
              <w:adjustRightInd w:val="0"/>
              <w:ind w:left="0" w:firstLine="720"/>
              <w:rPr>
                <w:rFonts w:eastAsia="Calibri"/>
                <w:sz w:val="28"/>
                <w:szCs w:val="28"/>
              </w:rPr>
            </w:pPr>
            <w:r w:rsidRPr="00E4664D">
              <w:rPr>
                <w:rFonts w:eastAsia="Calibri"/>
                <w:sz w:val="28"/>
                <w:szCs w:val="28"/>
              </w:rPr>
              <w:t>…</w:t>
            </w:r>
          </w:p>
          <w:p w:rsidR="00E4664D" w:rsidRPr="00E4664D" w:rsidRDefault="00E4664D" w:rsidP="00E4664D">
            <w:pPr>
              <w:widowControl w:val="0"/>
              <w:autoSpaceDE w:val="0"/>
              <w:autoSpaceDN w:val="0"/>
              <w:adjustRightInd w:val="0"/>
              <w:ind w:left="0" w:firstLine="720"/>
              <w:rPr>
                <w:rFonts w:eastAsia="Calibri"/>
                <w:sz w:val="28"/>
                <w:szCs w:val="28"/>
              </w:rPr>
            </w:pPr>
            <w:r w:rsidRPr="00E4664D">
              <w:rPr>
                <w:rFonts w:eastAsia="Calibri"/>
                <w:sz w:val="28"/>
                <w:szCs w:val="28"/>
              </w:rPr>
              <w:t>ж) в отношении условно выпущенных товаров:</w:t>
            </w:r>
          </w:p>
          <w:p w:rsidR="00E4664D" w:rsidRPr="00E4664D" w:rsidRDefault="00E4664D" w:rsidP="00E4664D">
            <w:pPr>
              <w:ind w:left="0" w:firstLine="709"/>
              <w:rPr>
                <w:rFonts w:eastAsia="Calibri"/>
                <w:kern w:val="2"/>
                <w:sz w:val="28"/>
                <w:szCs w:val="28"/>
                <w:lang w:eastAsia="en-US"/>
                <w14:ligatures w14:val="standardContextual"/>
              </w:rPr>
            </w:pPr>
            <w:r w:rsidRPr="00E4664D">
              <w:rPr>
                <w:rFonts w:eastAsia="Calibri"/>
                <w:kern w:val="2"/>
                <w:sz w:val="28"/>
                <w:szCs w:val="28"/>
                <w:lang w:eastAsia="en-US"/>
                <w14:ligatures w14:val="standardContextual"/>
              </w:rPr>
              <w:t>…</w:t>
            </w:r>
          </w:p>
          <w:p w:rsidR="00E4664D" w:rsidRPr="00E4664D" w:rsidRDefault="00E4664D" w:rsidP="00E4664D">
            <w:pPr>
              <w:ind w:left="0" w:firstLine="709"/>
              <w:rPr>
                <w:rFonts w:eastAsia="Calibri"/>
                <w:kern w:val="2"/>
                <w:sz w:val="28"/>
                <w:szCs w:val="28"/>
                <w:lang w:eastAsia="en-US"/>
                <w14:ligatures w14:val="standardContextual"/>
              </w:rPr>
            </w:pPr>
            <w:r w:rsidRPr="00E4664D">
              <w:rPr>
                <w:rFonts w:eastAsia="Calibri"/>
                <w:kern w:val="2"/>
                <w:sz w:val="28"/>
                <w:szCs w:val="28"/>
                <w:lang w:eastAsia="en-US"/>
                <w14:ligatures w14:val="standardContextual"/>
              </w:rPr>
              <w:t xml:space="preserve">2) при использовании условно выпущенных товаров, находящихся под таможенным контролем, в иных целях, чем те, в связи с которыми были предоставлены льготы по уплате таможенных платежей, либо распоряжении ими с разрешения таможенных органов Приднестровской Молдавской Республики, </w:t>
            </w:r>
            <w:r w:rsidRPr="00E4664D">
              <w:rPr>
                <w:rFonts w:eastAsia="Calibri"/>
                <w:b/>
                <w:bCs/>
                <w:kern w:val="2"/>
                <w:sz w:val="28"/>
                <w:szCs w:val="28"/>
                <w:lang w:eastAsia="en-US"/>
                <w14:ligatures w14:val="standardContextual"/>
              </w:rPr>
              <w:t xml:space="preserve">за исключением случая, установленного подпунктом н) пункта 2 статьи 216-8 настоящего Кодекса, – </w:t>
            </w:r>
            <w:r w:rsidRPr="00E4664D">
              <w:rPr>
                <w:rFonts w:eastAsia="Calibri"/>
                <w:kern w:val="2"/>
                <w:sz w:val="28"/>
                <w:szCs w:val="28"/>
                <w:lang w:eastAsia="en-US"/>
                <w14:ligatures w14:val="standardContextual"/>
              </w:rPr>
              <w:t>в день выдачи таможенным органом Приднестровской Молдавской Республики разрешения на использование и (или) распоряжение товарами;</w:t>
            </w:r>
          </w:p>
          <w:p w:rsidR="00E4664D" w:rsidRPr="00E4664D" w:rsidRDefault="00E4664D" w:rsidP="00E4664D">
            <w:pPr>
              <w:ind w:left="0" w:firstLine="709"/>
              <w:rPr>
                <w:rFonts w:eastAsia="Calibri"/>
                <w:kern w:val="2"/>
                <w:sz w:val="28"/>
                <w:szCs w:val="28"/>
                <w:lang w:eastAsia="en-US"/>
                <w14:ligatures w14:val="standardContextual"/>
              </w:rPr>
            </w:pPr>
            <w:r w:rsidRPr="00E4664D">
              <w:rPr>
                <w:rFonts w:eastAsia="Calibri"/>
                <w:kern w:val="2"/>
                <w:sz w:val="28"/>
                <w:szCs w:val="28"/>
                <w:lang w:eastAsia="en-US"/>
                <w14:ligatures w14:val="standardContextual"/>
              </w:rPr>
              <w:t>…</w:t>
            </w:r>
          </w:p>
          <w:p w:rsidR="00E4664D" w:rsidRPr="00E4664D" w:rsidRDefault="00E4664D" w:rsidP="00E4664D">
            <w:pPr>
              <w:ind w:left="0" w:firstLine="709"/>
              <w:rPr>
                <w:b/>
                <w:sz w:val="28"/>
                <w:szCs w:val="28"/>
              </w:rPr>
            </w:pPr>
            <w:r w:rsidRPr="00E4664D">
              <w:rPr>
                <w:b/>
                <w:sz w:val="28"/>
                <w:szCs w:val="28"/>
              </w:rPr>
              <w:t>3) при обращении взыскания на имущество, находящееся в залоге в соответствии с подпунктом н) пункта 2) статьи 216-8 настоящего Кодекса, – в день обращения взыскания, а если такой день не установлен, то в день обнаружения факта обращения взыскания;</w:t>
            </w:r>
          </w:p>
          <w:p w:rsidR="00E4664D" w:rsidRPr="00E4664D" w:rsidRDefault="00E4664D" w:rsidP="00E4664D">
            <w:pPr>
              <w:ind w:left="0" w:firstLine="709"/>
              <w:rPr>
                <w:sz w:val="28"/>
                <w:szCs w:val="28"/>
              </w:rPr>
            </w:pPr>
            <w:r w:rsidRPr="00E4664D">
              <w:rPr>
                <w:sz w:val="28"/>
                <w:szCs w:val="28"/>
              </w:rPr>
              <w:lastRenderedPageBreak/>
              <w:t>…</w:t>
            </w:r>
          </w:p>
          <w:p w:rsidR="00E4664D" w:rsidRPr="00E4664D" w:rsidRDefault="00E4664D" w:rsidP="00E4664D">
            <w:pPr>
              <w:ind w:left="0" w:firstLine="709"/>
              <w:rPr>
                <w:sz w:val="28"/>
                <w:szCs w:val="28"/>
              </w:rPr>
            </w:pPr>
            <w:r w:rsidRPr="00E4664D">
              <w:rPr>
                <w:sz w:val="28"/>
                <w:szCs w:val="28"/>
              </w:rPr>
              <w:t xml:space="preserve">Статья 216-8. Специальные упрощения, предоставляемые </w:t>
            </w:r>
          </w:p>
          <w:p w:rsidR="00E4664D" w:rsidRPr="00E4664D" w:rsidRDefault="00E4664D" w:rsidP="00E4664D">
            <w:pPr>
              <w:ind w:left="0" w:firstLine="709"/>
              <w:rPr>
                <w:sz w:val="28"/>
                <w:szCs w:val="28"/>
              </w:rPr>
            </w:pPr>
            <w:r w:rsidRPr="00E4664D">
              <w:rPr>
                <w:sz w:val="28"/>
                <w:szCs w:val="28"/>
              </w:rPr>
              <w:t xml:space="preserve"> уполномоченному оператору</w:t>
            </w:r>
          </w:p>
          <w:p w:rsidR="00E4664D" w:rsidRPr="00E4664D" w:rsidRDefault="00E4664D" w:rsidP="00E4664D">
            <w:pPr>
              <w:ind w:left="0" w:firstLine="709"/>
              <w:rPr>
                <w:sz w:val="28"/>
                <w:szCs w:val="28"/>
              </w:rPr>
            </w:pPr>
            <w:r w:rsidRPr="00E4664D">
              <w:rPr>
                <w:sz w:val="28"/>
                <w:szCs w:val="28"/>
              </w:rPr>
              <w:t>…</w:t>
            </w:r>
          </w:p>
          <w:p w:rsidR="00E4664D" w:rsidRPr="00E4664D" w:rsidRDefault="00E4664D" w:rsidP="00E4664D">
            <w:pPr>
              <w:ind w:left="0" w:firstLine="709"/>
              <w:rPr>
                <w:sz w:val="28"/>
                <w:szCs w:val="28"/>
              </w:rPr>
            </w:pPr>
            <w:r w:rsidRPr="00E4664D">
              <w:rPr>
                <w:sz w:val="28"/>
                <w:szCs w:val="28"/>
              </w:rPr>
              <w:t>2. Добросовестный участник внешнеэкономической деятельности пользуется следующими специальными упрощениями:</w:t>
            </w:r>
          </w:p>
          <w:p w:rsidR="00E4664D" w:rsidRPr="00E4664D" w:rsidRDefault="00E4664D" w:rsidP="00E4664D">
            <w:pPr>
              <w:ind w:left="0" w:firstLine="709"/>
              <w:rPr>
                <w:sz w:val="28"/>
                <w:szCs w:val="28"/>
              </w:rPr>
            </w:pPr>
          </w:p>
          <w:p w:rsidR="00E4664D" w:rsidRPr="00E4664D" w:rsidRDefault="00E4664D" w:rsidP="00E4664D">
            <w:pPr>
              <w:ind w:left="0" w:firstLine="709"/>
              <w:rPr>
                <w:b/>
                <w:sz w:val="28"/>
                <w:szCs w:val="28"/>
              </w:rPr>
            </w:pPr>
            <w:r w:rsidRPr="00E4664D">
              <w:rPr>
                <w:b/>
                <w:sz w:val="28"/>
                <w:szCs w:val="28"/>
              </w:rPr>
              <w:t>н) использование с разрешения Государственного таможенного комитета Приднестровской Молдавской Республики товаров, указанных в подпункте а) пункта 1 статьи 229-6 настоящего Кодекса, являющихся оборудованием (включая машины и механизмы) и не потребляемых в процессе производства собственной продукции, в качестве предмета договора залога, заключенного заявителем льгот с банками, образующими банковскую систему Приднестровской Молдавской Республики, без передачи заложенного имущества залогодержателю, при условии использования указанных товаров в соответствии с целями и условиями предоставления льгот по уплате таможенных пошлин заявителем таких льгот в период нахождения в залоге.</w:t>
            </w:r>
          </w:p>
          <w:p w:rsidR="00E4664D" w:rsidRPr="00E4664D" w:rsidRDefault="00E4664D" w:rsidP="00E4664D">
            <w:pPr>
              <w:ind w:left="0" w:firstLine="709"/>
              <w:rPr>
                <w:sz w:val="28"/>
                <w:szCs w:val="28"/>
              </w:rPr>
            </w:pPr>
            <w:r w:rsidRPr="00E4664D">
              <w:rPr>
                <w:b/>
                <w:sz w:val="28"/>
                <w:szCs w:val="28"/>
              </w:rPr>
              <w:t>В случае обращения взыскания на товары, указанные в части первой настоящего подпункта, являющиеся предметом залога, обязанность по уплате причитающихся таможенных платежей возлагается на залогодателя.</w:t>
            </w:r>
          </w:p>
        </w:tc>
      </w:tr>
      <w:bookmarkEnd w:id="0"/>
    </w:tbl>
    <w:p w:rsidR="00E4664D" w:rsidRPr="00E4664D" w:rsidRDefault="00E4664D" w:rsidP="00E4664D">
      <w:pPr>
        <w:spacing w:after="160" w:line="259" w:lineRule="auto"/>
        <w:ind w:left="0"/>
        <w:jc w:val="left"/>
        <w:rPr>
          <w:rFonts w:eastAsia="Calibri"/>
          <w:kern w:val="2"/>
          <w:sz w:val="28"/>
          <w:szCs w:val="28"/>
          <w:lang w:eastAsia="en-US"/>
          <w14:ligatures w14:val="standardContextual"/>
        </w:rPr>
      </w:pPr>
    </w:p>
    <w:p w:rsidR="008926AE" w:rsidRPr="00770CB3" w:rsidRDefault="008926AE" w:rsidP="00770CB3">
      <w:pPr>
        <w:rPr>
          <w:rFonts w:eastAsia="Calibri"/>
        </w:rPr>
      </w:pPr>
      <w:bookmarkStart w:id="1" w:name="_GoBack"/>
      <w:bookmarkEnd w:id="1"/>
    </w:p>
    <w:sectPr w:rsidR="008926AE" w:rsidRPr="00770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C1AB0"/>
    <w:rsid w:val="0010443E"/>
    <w:rsid w:val="00147B5A"/>
    <w:rsid w:val="001764E8"/>
    <w:rsid w:val="00336B91"/>
    <w:rsid w:val="0040279E"/>
    <w:rsid w:val="004204C5"/>
    <w:rsid w:val="005669D6"/>
    <w:rsid w:val="005F0727"/>
    <w:rsid w:val="005F790B"/>
    <w:rsid w:val="0062219E"/>
    <w:rsid w:val="006F2894"/>
    <w:rsid w:val="007140FC"/>
    <w:rsid w:val="0072713F"/>
    <w:rsid w:val="00736078"/>
    <w:rsid w:val="00745731"/>
    <w:rsid w:val="00770CB3"/>
    <w:rsid w:val="007C3B6C"/>
    <w:rsid w:val="00853717"/>
    <w:rsid w:val="008926AE"/>
    <w:rsid w:val="0091069F"/>
    <w:rsid w:val="00922BB1"/>
    <w:rsid w:val="00945F4B"/>
    <w:rsid w:val="00947364"/>
    <w:rsid w:val="009C0CBA"/>
    <w:rsid w:val="00A32DA4"/>
    <w:rsid w:val="00A500D1"/>
    <w:rsid w:val="00B62C7E"/>
    <w:rsid w:val="00B90E5E"/>
    <w:rsid w:val="00BF25F5"/>
    <w:rsid w:val="00C30585"/>
    <w:rsid w:val="00CA389A"/>
    <w:rsid w:val="00DC2A0D"/>
    <w:rsid w:val="00E4664D"/>
    <w:rsid w:val="00E55D71"/>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41</cp:revision>
  <dcterms:created xsi:type="dcterms:W3CDTF">2026-03-30T13:53:00Z</dcterms:created>
  <dcterms:modified xsi:type="dcterms:W3CDTF">2026-04-28T09:30:00Z</dcterms:modified>
</cp:coreProperties>
</file>