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550" w:rsidRPr="009821D5" w:rsidRDefault="00F43550" w:rsidP="00F43550">
      <w:pPr>
        <w:jc w:val="center"/>
      </w:pPr>
      <w:r w:rsidRPr="009821D5">
        <w:t>СРАВНИТЕЛЬНАЯ ТАБЛИЦА</w:t>
      </w:r>
    </w:p>
    <w:p w:rsidR="00F43550" w:rsidRPr="009821D5" w:rsidRDefault="00F43550" w:rsidP="00F43550">
      <w:pPr>
        <w:jc w:val="center"/>
      </w:pPr>
      <w:r w:rsidRPr="009821D5">
        <w:t>к проекту закона Приднестровской Молдавской Республики</w:t>
      </w:r>
    </w:p>
    <w:p w:rsidR="00F43550" w:rsidRPr="009821D5" w:rsidRDefault="00F43550" w:rsidP="00F43550">
      <w:pPr>
        <w:jc w:val="center"/>
      </w:pPr>
      <w:r w:rsidRPr="009821D5">
        <w:t>«О внесении изменений в Гражданский процессуальный кодекс Приднестровской Молдавской Республики»</w:t>
      </w:r>
    </w:p>
    <w:p w:rsidR="00F43550" w:rsidRPr="009821D5" w:rsidRDefault="00F43550" w:rsidP="00F43550">
      <w:pPr>
        <w:ind w:firstLine="709"/>
        <w:rPr>
          <w:sz w:val="28"/>
          <w:szCs w:val="28"/>
        </w:rPr>
      </w:pPr>
    </w:p>
    <w:tbl>
      <w:tblPr>
        <w:tblStyle w:val="11"/>
        <w:tblW w:w="0" w:type="auto"/>
        <w:tblLook w:val="04A0" w:firstRow="1" w:lastRow="0" w:firstColumn="1" w:lastColumn="0" w:noHBand="0" w:noVBand="1"/>
      </w:tblPr>
      <w:tblGrid>
        <w:gridCol w:w="4672"/>
        <w:gridCol w:w="4673"/>
      </w:tblGrid>
      <w:tr w:rsidR="00F43550" w:rsidRPr="009821D5" w:rsidTr="004943AB">
        <w:tc>
          <w:tcPr>
            <w:tcW w:w="4672" w:type="dxa"/>
          </w:tcPr>
          <w:p w:rsidR="00F43550" w:rsidRPr="009821D5" w:rsidRDefault="00F43550" w:rsidP="004943AB">
            <w:pPr>
              <w:tabs>
                <w:tab w:val="left" w:pos="1060"/>
              </w:tabs>
            </w:pPr>
            <w:r w:rsidRPr="009821D5">
              <w:rPr>
                <w:sz w:val="28"/>
                <w:szCs w:val="28"/>
              </w:rPr>
              <w:tab/>
            </w:r>
            <w:r w:rsidRPr="009821D5">
              <w:t>Действующая редакция</w:t>
            </w:r>
          </w:p>
        </w:tc>
        <w:tc>
          <w:tcPr>
            <w:tcW w:w="4673" w:type="dxa"/>
          </w:tcPr>
          <w:p w:rsidR="00F43550" w:rsidRPr="009821D5" w:rsidRDefault="00F43550" w:rsidP="004943AB">
            <w:pPr>
              <w:tabs>
                <w:tab w:val="left" w:pos="1060"/>
              </w:tabs>
              <w:rPr>
                <w:sz w:val="28"/>
                <w:szCs w:val="28"/>
              </w:rPr>
            </w:pPr>
            <w:r w:rsidRPr="009821D5">
              <w:rPr>
                <w:sz w:val="28"/>
                <w:szCs w:val="28"/>
              </w:rPr>
              <w:tab/>
              <w:t>Предлагаемая редакция</w:t>
            </w:r>
          </w:p>
        </w:tc>
      </w:tr>
      <w:tr w:rsidR="00F43550" w:rsidRPr="009821D5" w:rsidTr="004943AB">
        <w:tc>
          <w:tcPr>
            <w:tcW w:w="4672" w:type="dxa"/>
          </w:tcPr>
          <w:p w:rsidR="00F43550" w:rsidRPr="009821D5" w:rsidRDefault="00F43550" w:rsidP="004943AB">
            <w:pPr>
              <w:jc w:val="both"/>
            </w:pPr>
            <w:r w:rsidRPr="009821D5">
              <w:t>Статья 328. Подача заявления о признании движимой вещи бесхозяйной или о признании права собственности на бесхозяйную недвижимую вещь</w:t>
            </w:r>
          </w:p>
          <w:p w:rsidR="00F43550" w:rsidRPr="009821D5" w:rsidRDefault="00F43550" w:rsidP="004943AB">
            <w:pPr>
              <w:jc w:val="both"/>
            </w:pPr>
            <w:r w:rsidRPr="009821D5">
              <w:t>…</w:t>
            </w:r>
          </w:p>
          <w:p w:rsidR="00F43550" w:rsidRPr="009821D5" w:rsidRDefault="00F43550" w:rsidP="004943AB">
            <w:pPr>
              <w:ind w:firstLine="306"/>
              <w:jc w:val="both"/>
            </w:pPr>
            <w:r w:rsidRPr="009821D5">
              <w:t>2. Заявление о признании права собственности на бесхозяйную недвижимую вещь подается в суд по месту ее нахождения органом, уполномоченным управлять соответствующим имуществом.</w:t>
            </w:r>
          </w:p>
          <w:p w:rsidR="00F43550" w:rsidRPr="009821D5" w:rsidRDefault="00F43550" w:rsidP="004943AB">
            <w:pPr>
              <w:ind w:firstLine="306"/>
              <w:jc w:val="both"/>
            </w:pPr>
            <w:r w:rsidRPr="009821D5">
              <w:t>В случае, если орган, уполномоченный управлять соответствующим имуществом, обращается в суд с заявлением до истечения 1 (одного) года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tc>
        <w:tc>
          <w:tcPr>
            <w:tcW w:w="4673" w:type="dxa"/>
          </w:tcPr>
          <w:p w:rsidR="00F43550" w:rsidRPr="009821D5" w:rsidRDefault="00F43550" w:rsidP="004943AB">
            <w:r w:rsidRPr="009821D5">
              <w:t>Статья 328. Подача заявления о признании движимой вещи бесхозяйной или о признании права собственности на бесхозяйную недвижимую вещь</w:t>
            </w:r>
          </w:p>
          <w:p w:rsidR="00F43550" w:rsidRPr="009821D5" w:rsidRDefault="00F43550" w:rsidP="004943AB">
            <w:pPr>
              <w:rPr>
                <w:sz w:val="28"/>
                <w:szCs w:val="28"/>
              </w:rPr>
            </w:pPr>
            <w:r w:rsidRPr="009821D5">
              <w:rPr>
                <w:sz w:val="28"/>
                <w:szCs w:val="28"/>
              </w:rPr>
              <w:t>…</w:t>
            </w:r>
          </w:p>
          <w:p w:rsidR="00F43550" w:rsidRPr="005D6F62" w:rsidRDefault="00F43550" w:rsidP="004943AB">
            <w:pPr>
              <w:ind w:firstLine="709"/>
              <w:jc w:val="both"/>
            </w:pPr>
            <w:r w:rsidRPr="009821D5">
              <w:t xml:space="preserve">2. Заявление о признании права собственности на бесхозяйную недвижимую вещь подается в суд по месту ее нахождения органом, уполномоченным управлять соответствующим имуществом </w:t>
            </w:r>
            <w:r w:rsidRPr="009821D5">
              <w:rPr>
                <w:b/>
              </w:rPr>
              <w:t xml:space="preserve">или исполнительным органом государственной власти в области безопасности гидротехнических сооружений, или юридическими лицами, обеспечивающими предоставление коммунальных услуг посредством бесхозяйных инженерных сетей, </w:t>
            </w:r>
            <w:r w:rsidRPr="005D6F62">
              <w:rPr>
                <w:b/>
              </w:rPr>
              <w:t>необходимых для обеспечения снабжения электрической энергией, тепловой энергией, природным газом, водой, а также для водоотведения соответственно.</w:t>
            </w:r>
          </w:p>
          <w:p w:rsidR="00F43550" w:rsidRPr="009821D5" w:rsidRDefault="00F43550" w:rsidP="004943AB">
            <w:pPr>
              <w:ind w:firstLine="461"/>
              <w:jc w:val="both"/>
            </w:pPr>
            <w:r w:rsidRPr="005D6F62">
              <w:t xml:space="preserve">В случае, если орган, уполномоченный управлять соответствующим имуществом, </w:t>
            </w:r>
            <w:r w:rsidRPr="005D6F62">
              <w:rPr>
                <w:b/>
              </w:rPr>
              <w:t>или исполнительный</w:t>
            </w:r>
            <w:r w:rsidRPr="009821D5">
              <w:rPr>
                <w:b/>
              </w:rPr>
              <w:t xml:space="preserve"> орган государственной власти в области безопасности гидротехнических сооружений, или юридическое лицо, обеспечивающее предоставление коммунальных услуг посредством бесхозяйных инженерных сетей</w:t>
            </w:r>
            <w:r w:rsidRPr="009821D5">
              <w:t xml:space="preserve">, обращается в суд с заявлением до истечения </w:t>
            </w:r>
            <w:r w:rsidRPr="009821D5">
              <w:rPr>
                <w:b/>
              </w:rPr>
              <w:t>срока, установленного статьей 242 Гражданского кодекса Приднестровской Молдавской Республики</w:t>
            </w:r>
            <w:r w:rsidRPr="009821D5">
              <w:t>,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F43550" w:rsidRPr="009821D5" w:rsidRDefault="00F43550" w:rsidP="004943AB">
            <w:pPr>
              <w:rPr>
                <w:sz w:val="28"/>
                <w:szCs w:val="28"/>
              </w:rPr>
            </w:pPr>
          </w:p>
        </w:tc>
      </w:tr>
      <w:tr w:rsidR="00F43550" w:rsidRPr="009821D5" w:rsidTr="004943AB">
        <w:tc>
          <w:tcPr>
            <w:tcW w:w="4672" w:type="dxa"/>
          </w:tcPr>
          <w:p w:rsidR="00F43550" w:rsidRPr="009821D5" w:rsidRDefault="00F43550" w:rsidP="004943AB">
            <w:pPr>
              <w:jc w:val="both"/>
            </w:pPr>
            <w:r w:rsidRPr="009821D5">
              <w:lastRenderedPageBreak/>
              <w:t>Статья 329. Содержание заявления о признании движимой вещи бесхозяйной или о признании права собственности на бесхозяйную недвижимую вещь.</w:t>
            </w:r>
          </w:p>
          <w:p w:rsidR="00F43550" w:rsidRPr="009821D5" w:rsidRDefault="00F43550" w:rsidP="004943AB">
            <w:pPr>
              <w:jc w:val="both"/>
            </w:pPr>
            <w:r w:rsidRPr="009821D5">
              <w:t>…</w:t>
            </w:r>
          </w:p>
          <w:p w:rsidR="00F43550" w:rsidRPr="005D6F62" w:rsidRDefault="00F43550" w:rsidP="004943AB">
            <w:pPr>
              <w:ind w:firstLine="589"/>
              <w:jc w:val="both"/>
            </w:pPr>
            <w:r w:rsidRPr="009821D5">
              <w:t xml:space="preserve">2. В заявлении органа, уполномоченного управлять имуществом,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w:t>
            </w:r>
            <w:r w:rsidRPr="005D6F62">
              <w:t>собственника.</w:t>
            </w:r>
          </w:p>
          <w:p w:rsidR="00F43550" w:rsidRPr="009821D5" w:rsidRDefault="00F43550" w:rsidP="004943AB">
            <w:pPr>
              <w:ind w:firstLine="589"/>
              <w:jc w:val="both"/>
            </w:pPr>
            <w:r w:rsidRPr="005D6F62">
              <w:t>…</w:t>
            </w:r>
          </w:p>
        </w:tc>
        <w:tc>
          <w:tcPr>
            <w:tcW w:w="4673" w:type="dxa"/>
          </w:tcPr>
          <w:p w:rsidR="00F43550" w:rsidRPr="009821D5" w:rsidRDefault="00F43550" w:rsidP="004943AB">
            <w:pPr>
              <w:jc w:val="both"/>
            </w:pPr>
            <w:r w:rsidRPr="009821D5">
              <w:t>Статья 329. Содержание заявления о признании движимой вещи бесхозяйной или о признании права собственности на бесхозяйную недвижимую вещь.</w:t>
            </w:r>
          </w:p>
          <w:p w:rsidR="00F43550" w:rsidRPr="009821D5" w:rsidRDefault="00F43550" w:rsidP="004943AB">
            <w:pPr>
              <w:jc w:val="both"/>
            </w:pPr>
            <w:r w:rsidRPr="009821D5">
              <w:t>…</w:t>
            </w:r>
          </w:p>
          <w:p w:rsidR="00F43550" w:rsidRDefault="00F43550" w:rsidP="004943AB">
            <w:pPr>
              <w:ind w:firstLine="461"/>
              <w:jc w:val="both"/>
            </w:pPr>
            <w:r w:rsidRPr="009821D5">
              <w:t xml:space="preserve">2. В заявлении органа, уполномоченного управлять имуществом </w:t>
            </w:r>
            <w:r w:rsidRPr="009821D5">
              <w:rPr>
                <w:b/>
              </w:rPr>
              <w:t>или исполнительного органа государственной власти в области безопасности гидротехнических сооружений, или юридического лица, обеспечивающего предоставление коммунальных услуг посредством бесхозяйных инженерных сетей, необходимых для обеспечения снабжения электрической энергией, тепловой энергией, природным газом, водой, а также для водоотведения</w:t>
            </w:r>
            <w:r w:rsidRPr="009821D5">
              <w:t>,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F43550" w:rsidRPr="009821D5" w:rsidRDefault="00F43550" w:rsidP="004943AB">
            <w:pPr>
              <w:ind w:firstLine="461"/>
              <w:jc w:val="both"/>
            </w:pPr>
            <w:r w:rsidRPr="005D6F62">
              <w:t>…</w:t>
            </w:r>
          </w:p>
        </w:tc>
      </w:tr>
      <w:tr w:rsidR="00F43550" w:rsidRPr="009821D5" w:rsidTr="004943AB">
        <w:tc>
          <w:tcPr>
            <w:tcW w:w="4672" w:type="dxa"/>
          </w:tcPr>
          <w:p w:rsidR="00F43550" w:rsidRPr="009821D5" w:rsidRDefault="00F43550" w:rsidP="004943AB">
            <w:pPr>
              <w:jc w:val="both"/>
            </w:pPr>
            <w:r w:rsidRPr="009821D5">
              <w:t>Статья 331.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F43550" w:rsidRPr="009821D5" w:rsidRDefault="00F43550" w:rsidP="004943AB">
            <w:pPr>
              <w:jc w:val="both"/>
            </w:pPr>
            <w:r w:rsidRPr="009821D5">
              <w:t>…</w:t>
            </w:r>
          </w:p>
          <w:p w:rsidR="00F43550" w:rsidRPr="009821D5" w:rsidRDefault="00F43550" w:rsidP="004943AB">
            <w:pPr>
              <w:ind w:firstLine="447"/>
              <w:jc w:val="both"/>
            </w:pPr>
            <w:r w:rsidRPr="009821D5">
              <w:t xml:space="preserve">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w:t>
            </w:r>
            <w:r w:rsidRPr="009821D5">
              <w:rPr>
                <w:b/>
              </w:rPr>
              <w:t>муниципальной</w:t>
            </w:r>
            <w:r w:rsidRPr="009821D5">
              <w:t xml:space="preserve"> собственности на эту вещь.</w:t>
            </w:r>
          </w:p>
        </w:tc>
        <w:tc>
          <w:tcPr>
            <w:tcW w:w="4673" w:type="dxa"/>
          </w:tcPr>
          <w:p w:rsidR="00F43550" w:rsidRPr="009821D5" w:rsidRDefault="00F43550" w:rsidP="004943AB">
            <w:pPr>
              <w:jc w:val="both"/>
            </w:pPr>
            <w:r w:rsidRPr="009821D5">
              <w:t>Статья 331.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F43550" w:rsidRPr="009821D5" w:rsidRDefault="00F43550" w:rsidP="004943AB">
            <w:pPr>
              <w:jc w:val="both"/>
            </w:pPr>
            <w:r w:rsidRPr="009821D5">
              <w:t>…</w:t>
            </w:r>
          </w:p>
          <w:p w:rsidR="00F43550" w:rsidRPr="009821D5" w:rsidRDefault="00F43550" w:rsidP="004943AB">
            <w:pPr>
              <w:ind w:firstLine="461"/>
              <w:jc w:val="both"/>
            </w:pPr>
            <w:r w:rsidRPr="009821D5">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собственности на эту вещь.</w:t>
            </w:r>
          </w:p>
        </w:tc>
      </w:tr>
    </w:tbl>
    <w:p w:rsidR="00465FD2" w:rsidRPr="00FA5CCB" w:rsidRDefault="00465FD2" w:rsidP="00F710CA">
      <w:pPr>
        <w:ind w:left="0"/>
      </w:pPr>
      <w:bookmarkStart w:id="0" w:name="_GoBack"/>
      <w:bookmarkEnd w:id="0"/>
    </w:p>
    <w:sectPr w:rsidR="00465FD2" w:rsidRPr="00FA5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A1DF8"/>
    <w:rsid w:val="00336B91"/>
    <w:rsid w:val="003C02A1"/>
    <w:rsid w:val="00401B73"/>
    <w:rsid w:val="0040279E"/>
    <w:rsid w:val="00402C3C"/>
    <w:rsid w:val="004204C5"/>
    <w:rsid w:val="00465FD2"/>
    <w:rsid w:val="0049279D"/>
    <w:rsid w:val="004F2BFD"/>
    <w:rsid w:val="0051274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70CB3"/>
    <w:rsid w:val="007B3047"/>
    <w:rsid w:val="007C3B6C"/>
    <w:rsid w:val="007F3FF0"/>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52549"/>
    <w:rsid w:val="00A92FB9"/>
    <w:rsid w:val="00B02400"/>
    <w:rsid w:val="00B44CED"/>
    <w:rsid w:val="00B62C7E"/>
    <w:rsid w:val="00B90E5E"/>
    <w:rsid w:val="00BF25F5"/>
    <w:rsid w:val="00C30074"/>
    <w:rsid w:val="00C30585"/>
    <w:rsid w:val="00C54BC4"/>
    <w:rsid w:val="00CA0A80"/>
    <w:rsid w:val="00CA389A"/>
    <w:rsid w:val="00D45EF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2D5D"/>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616</Words>
  <Characters>3513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97</cp:revision>
  <dcterms:created xsi:type="dcterms:W3CDTF">2026-03-30T13:53:00Z</dcterms:created>
  <dcterms:modified xsi:type="dcterms:W3CDTF">2026-05-21T12:16:00Z</dcterms:modified>
</cp:coreProperties>
</file>