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35C" w:rsidRPr="0057635C" w:rsidRDefault="0057635C" w:rsidP="0057635C">
      <w:pPr>
        <w:autoSpaceDE w:val="0"/>
        <w:autoSpaceDN w:val="0"/>
        <w:adjustRightInd w:val="0"/>
        <w:ind w:left="0"/>
        <w:jc w:val="center"/>
        <w:rPr>
          <w:rFonts w:eastAsia="Calibri"/>
          <w:b/>
          <w:bCs/>
          <w:color w:val="000000"/>
        </w:rPr>
      </w:pPr>
      <w:r w:rsidRPr="0057635C">
        <w:rPr>
          <w:rFonts w:eastAsia="Calibri"/>
          <w:b/>
          <w:bCs/>
          <w:color w:val="000000"/>
        </w:rPr>
        <w:t>СРАВНИТЕЛЬНАЯ ТАБЛИЦА</w:t>
      </w:r>
    </w:p>
    <w:p w:rsidR="0057635C" w:rsidRPr="0057635C" w:rsidRDefault="0057635C" w:rsidP="0057635C">
      <w:pPr>
        <w:autoSpaceDE w:val="0"/>
        <w:autoSpaceDN w:val="0"/>
        <w:adjustRightInd w:val="0"/>
        <w:ind w:left="0"/>
        <w:jc w:val="center"/>
        <w:rPr>
          <w:rFonts w:eastAsia="Calibri"/>
          <w:bCs/>
          <w:iCs/>
          <w:color w:val="000000"/>
        </w:rPr>
      </w:pPr>
      <w:r w:rsidRPr="0057635C">
        <w:rPr>
          <w:rFonts w:eastAsia="Calibri"/>
          <w:bCs/>
          <w:iCs/>
          <w:color w:val="000000"/>
        </w:rPr>
        <w:t>к проекту закона Приднестровской Молдавской Республики</w:t>
      </w:r>
    </w:p>
    <w:p w:rsidR="0057635C" w:rsidRPr="0057635C" w:rsidRDefault="0057635C" w:rsidP="0057635C">
      <w:pPr>
        <w:autoSpaceDE w:val="0"/>
        <w:autoSpaceDN w:val="0"/>
        <w:adjustRightInd w:val="0"/>
        <w:ind w:left="0"/>
        <w:jc w:val="center"/>
        <w:rPr>
          <w:rFonts w:eastAsia="Calibri"/>
          <w:bCs/>
          <w:iCs/>
          <w:color w:val="000000"/>
        </w:rPr>
      </w:pPr>
      <w:r w:rsidRPr="0057635C">
        <w:rPr>
          <w:rFonts w:eastAsia="Calibri"/>
          <w:bCs/>
          <w:iCs/>
          <w:color w:val="000000"/>
        </w:rPr>
        <w:t xml:space="preserve">«О внесении изменения в Закон Приднестровской Молдавской Республики </w:t>
      </w:r>
    </w:p>
    <w:p w:rsidR="0057635C" w:rsidRPr="0057635C" w:rsidRDefault="0057635C" w:rsidP="0057635C">
      <w:pPr>
        <w:autoSpaceDE w:val="0"/>
        <w:autoSpaceDN w:val="0"/>
        <w:adjustRightInd w:val="0"/>
        <w:ind w:left="0"/>
        <w:jc w:val="center"/>
        <w:rPr>
          <w:rFonts w:eastAsia="Calibri"/>
          <w:bCs/>
          <w:iCs/>
          <w:color w:val="000000"/>
        </w:rPr>
      </w:pPr>
      <w:r w:rsidRPr="0057635C">
        <w:rPr>
          <w:rFonts w:eastAsia="Calibri"/>
          <w:bCs/>
          <w:iCs/>
          <w:color w:val="000000"/>
        </w:rPr>
        <w:t xml:space="preserve">«О приобретении государством и муниципальными образованиями </w:t>
      </w:r>
    </w:p>
    <w:p w:rsidR="0057635C" w:rsidRPr="0057635C" w:rsidRDefault="0057635C" w:rsidP="0057635C">
      <w:pPr>
        <w:autoSpaceDE w:val="0"/>
        <w:autoSpaceDN w:val="0"/>
        <w:adjustRightInd w:val="0"/>
        <w:ind w:left="0"/>
        <w:jc w:val="center"/>
        <w:rPr>
          <w:color w:val="000000"/>
        </w:rPr>
      </w:pPr>
      <w:r w:rsidRPr="0057635C">
        <w:rPr>
          <w:rFonts w:eastAsia="Calibri"/>
          <w:bCs/>
          <w:iCs/>
          <w:color w:val="000000"/>
        </w:rPr>
        <w:t>Приднестровской Молдавской Республики выморочного имущества»</w:t>
      </w:r>
    </w:p>
    <w:p w:rsidR="0057635C" w:rsidRPr="0057635C" w:rsidRDefault="0057635C" w:rsidP="0057635C">
      <w:pPr>
        <w:autoSpaceDE w:val="0"/>
        <w:autoSpaceDN w:val="0"/>
        <w:adjustRightInd w:val="0"/>
        <w:ind w:left="0"/>
        <w:jc w:val="center"/>
        <w:rPr>
          <w:color w:val="000000"/>
        </w:rPr>
      </w:pPr>
    </w:p>
    <w:tbl>
      <w:tblPr>
        <w:tblW w:w="15592" w:type="dxa"/>
        <w:tblInd w:w="-717" w:type="dxa"/>
        <w:tblLayout w:type="fixed"/>
        <w:tblLook w:val="00A0" w:firstRow="1" w:lastRow="0" w:firstColumn="1" w:lastColumn="0" w:noHBand="0" w:noVBand="0"/>
      </w:tblPr>
      <w:tblGrid>
        <w:gridCol w:w="5104"/>
        <w:gridCol w:w="5244"/>
        <w:gridCol w:w="5244"/>
      </w:tblGrid>
      <w:tr w:rsidR="0057635C" w:rsidRPr="0057635C" w:rsidTr="00946FC1">
        <w:trPr>
          <w:gridAfter w:val="1"/>
          <w:wAfter w:w="5244" w:type="dxa"/>
        </w:trPr>
        <w:tc>
          <w:tcPr>
            <w:tcW w:w="5104" w:type="dxa"/>
            <w:tcBorders>
              <w:top w:val="single" w:sz="6" w:space="0" w:color="000000"/>
              <w:left w:val="single" w:sz="6" w:space="0" w:color="000000"/>
              <w:bottom w:val="single" w:sz="6" w:space="0" w:color="000000"/>
              <w:right w:val="single" w:sz="6" w:space="0" w:color="000000"/>
            </w:tcBorders>
          </w:tcPr>
          <w:p w:rsidR="0057635C" w:rsidRPr="0057635C" w:rsidRDefault="0057635C" w:rsidP="0057635C">
            <w:pPr>
              <w:autoSpaceDE w:val="0"/>
              <w:autoSpaceDN w:val="0"/>
              <w:adjustRightInd w:val="0"/>
              <w:ind w:left="0"/>
              <w:jc w:val="center"/>
              <w:rPr>
                <w:rFonts w:eastAsia="Calibri"/>
                <w:b/>
                <w:bCs/>
                <w:color w:val="000000"/>
              </w:rPr>
            </w:pPr>
            <w:r w:rsidRPr="0057635C">
              <w:rPr>
                <w:rFonts w:eastAsia="Calibri"/>
                <w:b/>
                <w:bCs/>
                <w:color w:val="000000"/>
              </w:rPr>
              <w:t>Действующая редакция</w:t>
            </w:r>
          </w:p>
        </w:tc>
        <w:tc>
          <w:tcPr>
            <w:tcW w:w="5244" w:type="dxa"/>
            <w:tcBorders>
              <w:top w:val="single" w:sz="6" w:space="0" w:color="000000"/>
              <w:left w:val="single" w:sz="6" w:space="0" w:color="000000"/>
              <w:bottom w:val="single" w:sz="6" w:space="0" w:color="000000"/>
              <w:right w:val="single" w:sz="6" w:space="0" w:color="000000"/>
            </w:tcBorders>
          </w:tcPr>
          <w:p w:rsidR="0057635C" w:rsidRPr="0057635C" w:rsidRDefault="0057635C" w:rsidP="0057635C">
            <w:pPr>
              <w:autoSpaceDE w:val="0"/>
              <w:autoSpaceDN w:val="0"/>
              <w:adjustRightInd w:val="0"/>
              <w:ind w:left="0"/>
              <w:jc w:val="center"/>
              <w:rPr>
                <w:rFonts w:eastAsia="Calibri"/>
                <w:b/>
                <w:bCs/>
                <w:color w:val="000000"/>
              </w:rPr>
            </w:pPr>
            <w:r w:rsidRPr="0057635C">
              <w:rPr>
                <w:rFonts w:eastAsia="Calibri"/>
                <w:b/>
                <w:bCs/>
                <w:color w:val="000000"/>
              </w:rPr>
              <w:t>Предлагаемая редакция</w:t>
            </w:r>
          </w:p>
        </w:tc>
      </w:tr>
      <w:tr w:rsidR="0057635C" w:rsidRPr="0057635C" w:rsidTr="00946FC1">
        <w:tc>
          <w:tcPr>
            <w:tcW w:w="5104" w:type="dxa"/>
            <w:tcBorders>
              <w:top w:val="single" w:sz="6" w:space="0" w:color="000000"/>
              <w:left w:val="single" w:sz="6" w:space="0" w:color="000000"/>
              <w:bottom w:val="single" w:sz="6" w:space="0" w:color="000000"/>
              <w:right w:val="single" w:sz="6" w:space="0" w:color="000000"/>
            </w:tcBorders>
          </w:tcPr>
          <w:p w:rsidR="0057635C" w:rsidRPr="0057635C" w:rsidRDefault="0057635C" w:rsidP="0057635C">
            <w:pPr>
              <w:ind w:left="0"/>
              <w:outlineLvl w:val="0"/>
              <w:rPr>
                <w:rFonts w:cs="Courier New"/>
              </w:rPr>
            </w:pPr>
            <w:r w:rsidRPr="0057635C">
              <w:rPr>
                <w:rFonts w:cs="Courier New"/>
                <w:b/>
              </w:rPr>
              <w:t>Статья 10.</w:t>
            </w:r>
            <w:r w:rsidRPr="0057635C">
              <w:rPr>
                <w:rFonts w:cs="Courier New"/>
              </w:rPr>
              <w:t xml:space="preserve"> Порядок распоряжения приобретенным государством и муниципальными образованиями Приднестровской Молдавской Республики</w:t>
            </w:r>
          </w:p>
          <w:p w:rsidR="0057635C" w:rsidRPr="0057635C" w:rsidRDefault="0057635C" w:rsidP="0057635C">
            <w:pPr>
              <w:ind w:left="0"/>
              <w:rPr>
                <w:rFonts w:cs="Courier New"/>
              </w:rPr>
            </w:pPr>
            <w:r w:rsidRPr="0057635C">
              <w:rPr>
                <w:rFonts w:cs="Courier New"/>
              </w:rPr>
              <w:t>выморочным имуществом</w:t>
            </w:r>
          </w:p>
          <w:p w:rsidR="0057635C" w:rsidRPr="0057635C" w:rsidRDefault="0057635C" w:rsidP="0057635C">
            <w:pPr>
              <w:ind w:left="0" w:firstLine="708"/>
              <w:rPr>
                <w:rFonts w:cs="Courier New"/>
              </w:rPr>
            </w:pPr>
            <w:r w:rsidRPr="0057635C">
              <w:rPr>
                <w:rFonts w:cs="Courier New"/>
              </w:rPr>
              <w:t>1. Распоряжение (кроме отчуждения) приобретенным государством, муниципальными образованиями Приднестровской Молдавской Республики выморочным имуществом осуществляется в следующем порядке:</w:t>
            </w:r>
          </w:p>
          <w:p w:rsidR="0057635C" w:rsidRPr="0057635C" w:rsidRDefault="0057635C" w:rsidP="0057635C">
            <w:pPr>
              <w:ind w:left="0" w:firstLine="708"/>
              <w:rPr>
                <w:rFonts w:cs="Courier New"/>
              </w:rPr>
            </w:pPr>
            <w:r w:rsidRPr="0057635C">
              <w:rPr>
                <w:rFonts w:cs="Courier New"/>
                <w:b/>
              </w:rPr>
              <w:t>…</w:t>
            </w:r>
          </w:p>
          <w:p w:rsidR="0057635C" w:rsidRPr="0057635C" w:rsidRDefault="0057635C" w:rsidP="0057635C">
            <w:pPr>
              <w:ind w:left="0" w:firstLine="708"/>
              <w:rPr>
                <w:rFonts w:cs="Courier New"/>
                <w:b/>
              </w:rPr>
            </w:pPr>
            <w:r w:rsidRPr="0057635C">
              <w:rPr>
                <w:rFonts w:cs="Courier New"/>
              </w:rPr>
              <w:t>д)</w:t>
            </w:r>
            <w:r w:rsidRPr="0057635C">
              <w:rPr>
                <w:rFonts w:ascii="Courier New" w:hAnsi="Courier New" w:cs="Courier New"/>
                <w:sz w:val="20"/>
                <w:szCs w:val="20"/>
              </w:rPr>
              <w:t xml:space="preserve"> </w:t>
            </w:r>
            <w:r w:rsidRPr="0057635C">
              <w:rPr>
                <w:rFonts w:cs="Courier New"/>
                <w:b/>
              </w:rPr>
              <w:t>валютные ценности, денежные средства в национальной валюте Приднестровской Молдавской Республики</w:t>
            </w:r>
            <w:r w:rsidRPr="0057635C">
              <w:rPr>
                <w:rFonts w:cs="Courier New"/>
              </w:rPr>
              <w:t xml:space="preserve"> </w:t>
            </w:r>
            <w:r w:rsidRPr="0057635C">
              <w:rPr>
                <w:rFonts w:cs="Courier New"/>
                <w:b/>
              </w:rPr>
              <w:t>подлежат</w:t>
            </w:r>
            <w:r w:rsidRPr="0057635C">
              <w:rPr>
                <w:rFonts w:cs="Courier New"/>
              </w:rPr>
              <w:t xml:space="preserve"> </w:t>
            </w:r>
            <w:r w:rsidRPr="0057635C">
              <w:rPr>
                <w:rFonts w:cs="Courier New"/>
                <w:b/>
              </w:rPr>
              <w:t>передаче исполнительным органом государственной власти, уполномоченным на осуществление мер по выявлению и учету выморочного имущества, центральному банку Приднестровской Молдавской Республики.</w:t>
            </w:r>
          </w:p>
          <w:p w:rsidR="0057635C" w:rsidRPr="0057635C" w:rsidRDefault="0057635C" w:rsidP="0057635C">
            <w:pPr>
              <w:ind w:left="0" w:firstLine="708"/>
              <w:rPr>
                <w:rFonts w:cs="Courier New"/>
                <w:b/>
              </w:rPr>
            </w:pPr>
            <w:r w:rsidRPr="0057635C">
              <w:rPr>
                <w:rFonts w:cs="Courier New"/>
                <w:b/>
              </w:rPr>
              <w:t>Центральный банк Приднестровской Молдавской Республики осуществляет продажу валютных ценностей на внутреннем валютном рынке Приднестровской Молдавской Республики в порядке, предусмотренном действующим законодательством Приднестровской Молдавской Республики.</w:t>
            </w:r>
          </w:p>
          <w:p w:rsidR="0057635C" w:rsidRPr="0057635C" w:rsidRDefault="0057635C" w:rsidP="0057635C">
            <w:pPr>
              <w:ind w:left="0" w:firstLine="708"/>
              <w:rPr>
                <w:rFonts w:cs="Courier New"/>
                <w:b/>
              </w:rPr>
            </w:pPr>
            <w:r w:rsidRPr="0057635C">
              <w:rPr>
                <w:rFonts w:cs="Courier New"/>
                <w:b/>
              </w:rPr>
              <w:t>Денежные средства в национальной валюте Приднестровской Молдавской Республики, а также денежные средства, полученные от продажи валютных ценностей, зачисляются центральным банком Приднестровской Молдавской Республики в доход республиканского бюджета Приднестровской Молдавской Республики;</w:t>
            </w:r>
          </w:p>
          <w:p w:rsidR="0057635C" w:rsidRPr="0057635C" w:rsidRDefault="0057635C" w:rsidP="0057635C">
            <w:pPr>
              <w:autoSpaceDE w:val="0"/>
              <w:autoSpaceDN w:val="0"/>
              <w:adjustRightInd w:val="0"/>
              <w:ind w:left="0" w:firstLine="742"/>
              <w:rPr>
                <w:rFonts w:eastAsia="Calibri"/>
                <w:bCs/>
                <w:color w:val="000000"/>
              </w:rPr>
            </w:pPr>
            <w:r w:rsidRPr="0057635C">
              <w:rPr>
                <w:rFonts w:eastAsia="Calibri"/>
                <w:bCs/>
                <w:color w:val="000000"/>
              </w:rPr>
              <w:t>…</w:t>
            </w: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p w:rsidR="0057635C" w:rsidRPr="0057635C" w:rsidRDefault="0057635C" w:rsidP="0057635C">
            <w:pPr>
              <w:autoSpaceDE w:val="0"/>
              <w:autoSpaceDN w:val="0"/>
              <w:adjustRightInd w:val="0"/>
              <w:ind w:left="0" w:firstLine="742"/>
              <w:rPr>
                <w:rFonts w:eastAsia="Calibri"/>
                <w:bCs/>
                <w:color w:val="000000"/>
              </w:rPr>
            </w:pPr>
          </w:p>
        </w:tc>
        <w:tc>
          <w:tcPr>
            <w:tcW w:w="5244" w:type="dxa"/>
            <w:tcBorders>
              <w:top w:val="single" w:sz="6" w:space="0" w:color="000000"/>
              <w:left w:val="single" w:sz="6" w:space="0" w:color="000000"/>
              <w:bottom w:val="single" w:sz="6" w:space="0" w:color="000000"/>
              <w:right w:val="single" w:sz="6" w:space="0" w:color="000000"/>
            </w:tcBorders>
          </w:tcPr>
          <w:p w:rsidR="0057635C" w:rsidRPr="0057635C" w:rsidRDefault="0057635C" w:rsidP="0057635C">
            <w:pPr>
              <w:ind w:left="0"/>
              <w:outlineLvl w:val="0"/>
              <w:rPr>
                <w:rFonts w:cs="Courier New"/>
              </w:rPr>
            </w:pPr>
            <w:r w:rsidRPr="0057635C">
              <w:rPr>
                <w:rFonts w:cs="Courier New"/>
                <w:b/>
              </w:rPr>
              <w:lastRenderedPageBreak/>
              <w:t>Статья 10.</w:t>
            </w:r>
            <w:r w:rsidRPr="0057635C">
              <w:rPr>
                <w:rFonts w:cs="Courier New"/>
              </w:rPr>
              <w:t xml:space="preserve"> Порядок распоряжения приобретенным государством и муниципальными образованиями Приднестровской Молдавской Республики</w:t>
            </w:r>
          </w:p>
          <w:p w:rsidR="0057635C" w:rsidRPr="0057635C" w:rsidRDefault="0057635C" w:rsidP="0057635C">
            <w:pPr>
              <w:ind w:left="0"/>
              <w:rPr>
                <w:rFonts w:cs="Courier New"/>
              </w:rPr>
            </w:pPr>
            <w:r w:rsidRPr="0057635C">
              <w:rPr>
                <w:rFonts w:cs="Courier New"/>
              </w:rPr>
              <w:t>выморочным имуществом</w:t>
            </w:r>
          </w:p>
          <w:p w:rsidR="0057635C" w:rsidRPr="0057635C" w:rsidRDefault="0057635C" w:rsidP="0057635C">
            <w:pPr>
              <w:ind w:left="0" w:firstLine="708"/>
              <w:rPr>
                <w:rFonts w:cs="Courier New"/>
              </w:rPr>
            </w:pPr>
            <w:r w:rsidRPr="0057635C">
              <w:rPr>
                <w:rFonts w:cs="Courier New"/>
              </w:rPr>
              <w:t>1. Распоряжение (кроме отчуждения) приобретенным государством, муниципальными образованиями Приднестровской Молдавской Республики выморочным имуществом осуществляется в следующем порядке:</w:t>
            </w:r>
          </w:p>
          <w:p w:rsidR="0057635C" w:rsidRPr="0057635C" w:rsidRDefault="0057635C" w:rsidP="0057635C">
            <w:pPr>
              <w:ind w:left="0" w:firstLine="708"/>
              <w:rPr>
                <w:rFonts w:cs="Courier New"/>
                <w:b/>
              </w:rPr>
            </w:pPr>
          </w:p>
          <w:p w:rsidR="0057635C" w:rsidRPr="0057635C" w:rsidRDefault="0057635C" w:rsidP="0057635C">
            <w:pPr>
              <w:ind w:left="0" w:firstLine="708"/>
              <w:rPr>
                <w:rFonts w:cs="Courier New"/>
                <w:b/>
              </w:rPr>
            </w:pPr>
            <w:r w:rsidRPr="0057635C">
              <w:rPr>
                <w:rFonts w:cs="Courier New"/>
                <w:b/>
              </w:rPr>
              <w:t xml:space="preserve">… </w:t>
            </w:r>
          </w:p>
          <w:p w:rsidR="0057635C" w:rsidRPr="0057635C" w:rsidRDefault="0057635C" w:rsidP="0057635C">
            <w:pPr>
              <w:autoSpaceDE w:val="0"/>
              <w:autoSpaceDN w:val="0"/>
              <w:adjustRightInd w:val="0"/>
              <w:ind w:left="0" w:firstLine="604"/>
              <w:rPr>
                <w:rFonts w:eastAsia="Calibri"/>
                <w:b/>
                <w:color w:val="000000"/>
              </w:rPr>
            </w:pPr>
            <w:r w:rsidRPr="0057635C">
              <w:rPr>
                <w:rFonts w:eastAsia="Calibri"/>
                <w:b/>
                <w:color w:val="000000"/>
              </w:rPr>
              <w:t>д) денежные средства в иностранной валюте и валюте Приднестровской Молдавской Республики поступают в доход республиканского бюджета на соответствующие счета, обслуживаемые центральным банком Приднестровской Молдавской Республики, в следующем порядке:</w:t>
            </w:r>
          </w:p>
          <w:p w:rsidR="0057635C" w:rsidRPr="0057635C" w:rsidRDefault="0057635C" w:rsidP="0057635C">
            <w:pPr>
              <w:autoSpaceDE w:val="0"/>
              <w:autoSpaceDN w:val="0"/>
              <w:adjustRightInd w:val="0"/>
              <w:ind w:left="0" w:firstLine="604"/>
              <w:rPr>
                <w:rFonts w:eastAsia="Calibri"/>
                <w:b/>
                <w:color w:val="000000"/>
              </w:rPr>
            </w:pPr>
            <w:r w:rsidRPr="0057635C">
              <w:rPr>
                <w:rFonts w:eastAsia="Calibri"/>
                <w:b/>
                <w:color w:val="000000"/>
              </w:rPr>
              <w:t>1) безналичные денежные  средства в валюте Приднестровской Молдавской Республики, находящиеся на счетах в кредитных организациях Приднестровской Молдавской Республики, перечисляются кредитными организациями на основании письменного  обращения исполнительного органа государственной власти, уполномоченного приобретать от имени Приднестровской Молдавской Республики выморочное имущество, с приложением заверенной копии свидетельства о праве на наследство, на соответствующие счета республиканского бюджета, обслуживаемые центральным банком Приднестровской Молдавской Республики;</w:t>
            </w:r>
          </w:p>
          <w:p w:rsidR="0057635C" w:rsidRPr="0057635C" w:rsidRDefault="0057635C" w:rsidP="0057635C">
            <w:pPr>
              <w:autoSpaceDE w:val="0"/>
              <w:autoSpaceDN w:val="0"/>
              <w:adjustRightInd w:val="0"/>
              <w:ind w:left="0" w:firstLine="604"/>
              <w:rPr>
                <w:rFonts w:eastAsia="Calibri"/>
                <w:b/>
                <w:color w:val="000000"/>
              </w:rPr>
            </w:pPr>
            <w:r w:rsidRPr="0057635C">
              <w:rPr>
                <w:rFonts w:eastAsia="Calibri"/>
                <w:b/>
                <w:color w:val="000000"/>
              </w:rPr>
              <w:t>2) наличные денежные средства в валюте Приднестровской Молдавской Республики вносятся исполнительным органом государственной власти, уполномоченным приобретать от имени Приднестровской Молдавской Республики выморочное имущество, на соответствующие счета республиканского бюджета, обслуживаемые центральным банком Приднестровской Молдавской Республики;</w:t>
            </w:r>
          </w:p>
          <w:p w:rsidR="0057635C" w:rsidRPr="0057635C" w:rsidRDefault="0057635C" w:rsidP="0057635C">
            <w:pPr>
              <w:autoSpaceDE w:val="0"/>
              <w:autoSpaceDN w:val="0"/>
              <w:adjustRightInd w:val="0"/>
              <w:ind w:left="0" w:firstLine="604"/>
              <w:rPr>
                <w:rFonts w:eastAsia="Calibri"/>
                <w:b/>
                <w:color w:val="000000"/>
              </w:rPr>
            </w:pPr>
            <w:r w:rsidRPr="0057635C">
              <w:rPr>
                <w:rFonts w:eastAsia="Calibri"/>
                <w:b/>
                <w:color w:val="000000"/>
              </w:rPr>
              <w:lastRenderedPageBreak/>
              <w:t>3) безналичные денежные средства в иностранной валюте, находящиеся на счетах в кредитных организациях Приднестровской Молдавской Республики, перечисляются кредитными организациями на основании письменного обращения исполнительного органа государственной власти, уполномоченного приобретать от имени Приднестровской Молдавской Республики выморочное имущество, с приложением заверенной копии свидетельства о праве на наследство, на соответствующие валютные счета исполнительного органа государственной власти, ответственного за исполнение республиканского бюджета, обслуживаемые центральным банком Приднестровской Молдавской Республики;</w:t>
            </w:r>
          </w:p>
          <w:p w:rsidR="0057635C" w:rsidRPr="0057635C" w:rsidRDefault="0057635C" w:rsidP="0057635C">
            <w:pPr>
              <w:autoSpaceDE w:val="0"/>
              <w:autoSpaceDN w:val="0"/>
              <w:adjustRightInd w:val="0"/>
              <w:ind w:left="0" w:firstLine="604"/>
              <w:rPr>
                <w:rFonts w:eastAsia="Calibri"/>
                <w:b/>
                <w:color w:val="000000"/>
              </w:rPr>
            </w:pPr>
            <w:r w:rsidRPr="0057635C">
              <w:rPr>
                <w:rFonts w:eastAsia="Calibri"/>
                <w:b/>
                <w:color w:val="000000"/>
              </w:rPr>
              <w:t>4) наличные денежные средства в иностранной валюте вносятся исполнительным органом государственной власти, уполномоченным приобретать от имени Приднестровской Молдавской Республики выморочное имущество, на соответствующие валютные счета исполнительного органа государственной власти, ответственного за исполнение республиканского бюджета, обслуживаемые центральным банком Приднестровской Молдавской Республики</w:t>
            </w:r>
          </w:p>
          <w:p w:rsidR="0057635C" w:rsidRPr="0057635C" w:rsidRDefault="0057635C" w:rsidP="0057635C">
            <w:pPr>
              <w:autoSpaceDE w:val="0"/>
              <w:autoSpaceDN w:val="0"/>
              <w:adjustRightInd w:val="0"/>
              <w:ind w:left="0" w:firstLine="604"/>
              <w:rPr>
                <w:rFonts w:eastAsia="Calibri"/>
                <w:b/>
                <w:color w:val="000000"/>
              </w:rPr>
            </w:pPr>
            <w:r w:rsidRPr="0057635C">
              <w:rPr>
                <w:rFonts w:eastAsia="Calibri"/>
                <w:b/>
                <w:color w:val="000000"/>
              </w:rPr>
              <w:t xml:space="preserve">Центральный банк Приднестровской Молдавской Республики по поручению исполнительного органа государственной власти, ответственного за исполнение республиканского бюджета, </w:t>
            </w:r>
            <w:proofErr w:type="gramStart"/>
            <w:r w:rsidRPr="0057635C">
              <w:rPr>
                <w:rFonts w:eastAsia="Calibri"/>
                <w:b/>
                <w:color w:val="000000"/>
              </w:rPr>
              <w:t>осуществляет  конвертацию</w:t>
            </w:r>
            <w:proofErr w:type="gramEnd"/>
            <w:r w:rsidRPr="0057635C">
              <w:rPr>
                <w:rFonts w:eastAsia="Calibri"/>
                <w:b/>
                <w:color w:val="000000"/>
              </w:rPr>
              <w:t xml:space="preserve"> наличных и безналичных денежных средств в иностранной валюте в рубли Приднестровской Молдавской Республики по официальному курсу центрального банка Приднестровской Молдавской Республики и зачисляет полученные средства в доход республиканского бюджета Приднестровской Молдавской Республики;</w:t>
            </w:r>
          </w:p>
          <w:p w:rsidR="0057635C" w:rsidRPr="0057635C" w:rsidRDefault="0057635C" w:rsidP="0057635C">
            <w:pPr>
              <w:autoSpaceDE w:val="0"/>
              <w:autoSpaceDN w:val="0"/>
              <w:adjustRightInd w:val="0"/>
              <w:ind w:left="0" w:firstLine="604"/>
              <w:rPr>
                <w:rFonts w:eastAsia="Calibri"/>
              </w:rPr>
            </w:pPr>
            <w:r w:rsidRPr="0057635C">
              <w:rPr>
                <w:rFonts w:eastAsia="Calibri"/>
              </w:rPr>
              <w:t>…</w:t>
            </w:r>
          </w:p>
        </w:tc>
        <w:tc>
          <w:tcPr>
            <w:tcW w:w="5244" w:type="dxa"/>
          </w:tcPr>
          <w:p w:rsidR="0057635C" w:rsidRPr="0057635C" w:rsidRDefault="0057635C" w:rsidP="0057635C">
            <w:pPr>
              <w:autoSpaceDE w:val="0"/>
              <w:autoSpaceDN w:val="0"/>
              <w:adjustRightInd w:val="0"/>
              <w:ind w:left="0"/>
              <w:rPr>
                <w:rFonts w:eastAsia="Calibri"/>
                <w:b/>
                <w:bCs/>
                <w:color w:val="000000"/>
              </w:rPr>
            </w:pPr>
          </w:p>
        </w:tc>
      </w:tr>
    </w:tbl>
    <w:p w:rsidR="00465FD2" w:rsidRPr="00D3691D" w:rsidRDefault="00465FD2" w:rsidP="0057635C">
      <w:pPr>
        <w:ind w:left="0"/>
      </w:pPr>
      <w:bookmarkStart w:id="0" w:name="_GoBack"/>
      <w:bookmarkEnd w:id="0"/>
    </w:p>
    <w:sectPr w:rsidR="00465FD2" w:rsidRPr="00D3691D" w:rsidSect="00B32A89">
      <w:pgSz w:w="11906" w:h="16838" w:code="9"/>
      <w:pgMar w:top="567" w:right="851" w:bottom="1134" w:left="1418" w:header="284" w:footer="709"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1B73"/>
    <w:rsid w:val="0040279E"/>
    <w:rsid w:val="00402C3C"/>
    <w:rsid w:val="004204C5"/>
    <w:rsid w:val="00465FD2"/>
    <w:rsid w:val="0049279D"/>
    <w:rsid w:val="004F2BFD"/>
    <w:rsid w:val="0051274D"/>
    <w:rsid w:val="005669D6"/>
    <w:rsid w:val="0057635C"/>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46728"/>
    <w:rsid w:val="00770CB3"/>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52549"/>
    <w:rsid w:val="00A92FB9"/>
    <w:rsid w:val="00B02400"/>
    <w:rsid w:val="00B44CED"/>
    <w:rsid w:val="00B62C7E"/>
    <w:rsid w:val="00B90E5E"/>
    <w:rsid w:val="00BF25F5"/>
    <w:rsid w:val="00C30074"/>
    <w:rsid w:val="00C30585"/>
    <w:rsid w:val="00C310B8"/>
    <w:rsid w:val="00C54BC4"/>
    <w:rsid w:val="00CA0A80"/>
    <w:rsid w:val="00CA389A"/>
    <w:rsid w:val="00D3691D"/>
    <w:rsid w:val="00D45EF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DE6C"/>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684</Words>
  <Characters>3904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101</cp:revision>
  <dcterms:created xsi:type="dcterms:W3CDTF">2026-03-30T13:53:00Z</dcterms:created>
  <dcterms:modified xsi:type="dcterms:W3CDTF">2026-05-22T07:05:00Z</dcterms:modified>
</cp:coreProperties>
</file>