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D55" w:rsidRPr="00D46D55" w:rsidRDefault="00D46D55" w:rsidP="00D46D55">
      <w:pPr>
        <w:autoSpaceDE w:val="0"/>
        <w:autoSpaceDN w:val="0"/>
        <w:adjustRightInd w:val="0"/>
        <w:ind w:left="0"/>
        <w:jc w:val="center"/>
        <w:rPr>
          <w:rFonts w:eastAsiaTheme="minorHAnsi"/>
          <w:b/>
          <w:bCs/>
          <w:color w:val="000000"/>
          <w:sz w:val="28"/>
          <w:lang w:eastAsia="en-US"/>
        </w:rPr>
      </w:pPr>
      <w:r w:rsidRPr="00D46D55">
        <w:rPr>
          <w:rFonts w:eastAsiaTheme="minorHAnsi"/>
          <w:b/>
          <w:bCs/>
          <w:color w:val="000000"/>
          <w:sz w:val="28"/>
          <w:lang w:eastAsia="en-US"/>
        </w:rPr>
        <w:t>СРАВНИТЕЛЬНАЯ ТАБЛИЦА</w:t>
      </w:r>
    </w:p>
    <w:p w:rsidR="00D46D55" w:rsidRPr="00D46D55" w:rsidRDefault="00D46D55" w:rsidP="00D46D55">
      <w:pPr>
        <w:autoSpaceDE w:val="0"/>
        <w:autoSpaceDN w:val="0"/>
        <w:adjustRightInd w:val="0"/>
        <w:ind w:left="0"/>
        <w:jc w:val="center"/>
        <w:rPr>
          <w:rFonts w:eastAsiaTheme="minorHAnsi"/>
          <w:b/>
          <w:bCs/>
          <w:sz w:val="28"/>
          <w:lang w:eastAsia="en-US"/>
        </w:rPr>
      </w:pPr>
      <w:r w:rsidRPr="00D46D55">
        <w:rPr>
          <w:rFonts w:eastAsiaTheme="minorHAnsi"/>
          <w:b/>
          <w:bCs/>
          <w:iCs/>
          <w:color w:val="000000"/>
          <w:sz w:val="28"/>
          <w:lang w:eastAsia="en-US"/>
        </w:rPr>
        <w:t>к проекту закона Приднестровской Молдавской Республики</w:t>
      </w:r>
      <w:r w:rsidRPr="00D46D55">
        <w:rPr>
          <w:rFonts w:eastAsiaTheme="minorHAnsi"/>
          <w:b/>
          <w:bCs/>
          <w:sz w:val="28"/>
          <w:lang w:eastAsia="en-US"/>
        </w:rPr>
        <w:t xml:space="preserve"> </w:t>
      </w:r>
    </w:p>
    <w:p w:rsidR="00D46D55" w:rsidRPr="00D46D55" w:rsidRDefault="00D46D55" w:rsidP="00D46D55">
      <w:pPr>
        <w:autoSpaceDE w:val="0"/>
        <w:autoSpaceDN w:val="0"/>
        <w:adjustRightInd w:val="0"/>
        <w:ind w:left="0"/>
        <w:jc w:val="center"/>
        <w:rPr>
          <w:rFonts w:eastAsiaTheme="minorHAnsi"/>
          <w:b/>
          <w:bCs/>
          <w:sz w:val="28"/>
          <w:lang w:eastAsia="en-US"/>
        </w:rPr>
      </w:pPr>
      <w:r w:rsidRPr="00D46D55">
        <w:rPr>
          <w:rFonts w:eastAsiaTheme="minorHAnsi"/>
          <w:b/>
          <w:bCs/>
          <w:sz w:val="28"/>
          <w:lang w:eastAsia="en-US"/>
        </w:rPr>
        <w:t xml:space="preserve">«О внесении изменения в Гражданский кодекс </w:t>
      </w:r>
    </w:p>
    <w:p w:rsidR="00D46D55" w:rsidRPr="00D46D55" w:rsidRDefault="00D46D55" w:rsidP="00D46D55">
      <w:pPr>
        <w:autoSpaceDE w:val="0"/>
        <w:autoSpaceDN w:val="0"/>
        <w:adjustRightInd w:val="0"/>
        <w:ind w:left="0"/>
        <w:jc w:val="center"/>
        <w:rPr>
          <w:rFonts w:eastAsiaTheme="minorHAnsi"/>
          <w:b/>
          <w:bCs/>
          <w:sz w:val="28"/>
          <w:lang w:eastAsia="en-US"/>
        </w:rPr>
      </w:pPr>
      <w:r w:rsidRPr="00D46D55">
        <w:rPr>
          <w:rFonts w:eastAsiaTheme="minorHAnsi"/>
          <w:b/>
          <w:bCs/>
          <w:sz w:val="28"/>
          <w:lang w:eastAsia="en-US"/>
        </w:rPr>
        <w:t>Приднестровской Молдавской Республики»</w:t>
      </w:r>
    </w:p>
    <w:p w:rsidR="00D46D55" w:rsidRPr="00D46D55" w:rsidRDefault="00D46D55" w:rsidP="00D46D55">
      <w:pPr>
        <w:autoSpaceDE w:val="0"/>
        <w:autoSpaceDN w:val="0"/>
        <w:adjustRightInd w:val="0"/>
        <w:ind w:left="0"/>
        <w:jc w:val="center"/>
        <w:rPr>
          <w:rFonts w:eastAsiaTheme="minorHAnsi"/>
          <w:b/>
          <w:bCs/>
          <w:color w:val="000000"/>
          <w:lang w:eastAsia="en-US"/>
        </w:rPr>
      </w:pPr>
    </w:p>
    <w:tbl>
      <w:tblPr>
        <w:tblStyle w:val="15"/>
        <w:tblW w:w="9351" w:type="dxa"/>
        <w:tblLook w:val="04A0" w:firstRow="1" w:lastRow="0" w:firstColumn="1" w:lastColumn="0" w:noHBand="0" w:noVBand="1"/>
      </w:tblPr>
      <w:tblGrid>
        <w:gridCol w:w="4673"/>
        <w:gridCol w:w="4678"/>
      </w:tblGrid>
      <w:tr w:rsidR="00D46D55" w:rsidRPr="00D46D55" w:rsidTr="00946FC1">
        <w:trPr>
          <w:trHeight w:val="435"/>
        </w:trPr>
        <w:tc>
          <w:tcPr>
            <w:tcW w:w="4673" w:type="dxa"/>
          </w:tcPr>
          <w:p w:rsidR="00D46D55" w:rsidRPr="00D46D55" w:rsidRDefault="00D46D55" w:rsidP="00D46D55">
            <w:pPr>
              <w:spacing w:before="100" w:beforeAutospacing="1" w:after="100" w:afterAutospacing="1"/>
              <w:ind w:left="0"/>
              <w:jc w:val="center"/>
              <w:rPr>
                <w:b/>
                <w:sz w:val="28"/>
                <w:szCs w:val="28"/>
              </w:rPr>
            </w:pPr>
            <w:r w:rsidRPr="00D46D55">
              <w:rPr>
                <w:b/>
                <w:sz w:val="28"/>
                <w:szCs w:val="28"/>
              </w:rPr>
              <w:t xml:space="preserve">Действующая редакция </w:t>
            </w:r>
          </w:p>
        </w:tc>
        <w:tc>
          <w:tcPr>
            <w:tcW w:w="4678" w:type="dxa"/>
          </w:tcPr>
          <w:p w:rsidR="00D46D55" w:rsidRPr="00D46D55" w:rsidRDefault="00D46D55" w:rsidP="00D46D55">
            <w:pPr>
              <w:spacing w:before="100" w:beforeAutospacing="1" w:after="100" w:afterAutospacing="1"/>
              <w:ind w:left="0"/>
              <w:jc w:val="center"/>
              <w:rPr>
                <w:b/>
                <w:sz w:val="28"/>
                <w:szCs w:val="28"/>
              </w:rPr>
            </w:pPr>
            <w:r w:rsidRPr="00D46D55">
              <w:rPr>
                <w:b/>
                <w:sz w:val="28"/>
                <w:szCs w:val="28"/>
              </w:rPr>
              <w:t xml:space="preserve">Предлагаемая редакция </w:t>
            </w:r>
          </w:p>
        </w:tc>
      </w:tr>
      <w:tr w:rsidR="00D46D55" w:rsidRPr="00D46D55" w:rsidTr="00946FC1">
        <w:tc>
          <w:tcPr>
            <w:tcW w:w="4673" w:type="dxa"/>
          </w:tcPr>
          <w:p w:rsidR="00D46D55" w:rsidRPr="00D46D55" w:rsidRDefault="00D46D55" w:rsidP="00D46D55">
            <w:pPr>
              <w:spacing w:after="160" w:line="259" w:lineRule="auto"/>
              <w:ind w:left="0" w:firstLine="589"/>
              <w:jc w:val="both"/>
              <w:outlineLvl w:val="0"/>
              <w:rPr>
                <w:sz w:val="28"/>
                <w:szCs w:val="28"/>
              </w:rPr>
            </w:pPr>
            <w:r w:rsidRPr="00D46D55">
              <w:rPr>
                <w:b/>
                <w:sz w:val="28"/>
                <w:szCs w:val="28"/>
              </w:rPr>
              <w:t>Статья 315.</w:t>
            </w:r>
            <w:r w:rsidRPr="00D46D55">
              <w:rPr>
                <w:sz w:val="28"/>
                <w:szCs w:val="28"/>
              </w:rPr>
              <w:t xml:space="preserve"> Распоряжение имуществом учреждения</w:t>
            </w:r>
          </w:p>
          <w:p w:rsidR="00D46D55" w:rsidRPr="00D46D55" w:rsidRDefault="00D46D55" w:rsidP="00D46D55">
            <w:pPr>
              <w:ind w:left="0" w:firstLine="589"/>
              <w:jc w:val="both"/>
              <w:rPr>
                <w:b/>
                <w:sz w:val="28"/>
                <w:szCs w:val="28"/>
              </w:rPr>
            </w:pPr>
          </w:p>
          <w:p w:rsidR="00D46D55" w:rsidRPr="00D46D55" w:rsidRDefault="00D46D55" w:rsidP="00D46D55">
            <w:pPr>
              <w:spacing w:after="160" w:line="259" w:lineRule="auto"/>
              <w:ind w:left="0" w:firstLine="589"/>
              <w:jc w:val="both"/>
              <w:rPr>
                <w:sz w:val="28"/>
                <w:szCs w:val="28"/>
              </w:rPr>
            </w:pPr>
            <w:r w:rsidRPr="00D46D55">
              <w:rPr>
                <w:sz w:val="28"/>
                <w:szCs w:val="28"/>
              </w:rPr>
              <w:t>1.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D46D55" w:rsidRPr="00D46D55" w:rsidRDefault="00D46D55" w:rsidP="00D46D55">
            <w:pPr>
              <w:spacing w:after="160" w:line="259" w:lineRule="auto"/>
              <w:ind w:left="0" w:firstLine="589"/>
              <w:jc w:val="both"/>
              <w:rPr>
                <w:sz w:val="28"/>
                <w:szCs w:val="28"/>
              </w:rPr>
            </w:pPr>
            <w:r w:rsidRPr="00D46D55">
              <w:rPr>
                <w:sz w:val="28"/>
                <w:szCs w:val="28"/>
              </w:rPr>
              <w:t>2. Если в соответствии с учредительными документами учреждению предоставлено право осуществлять приносящую доходы деятельность, то доходы, полученные от такой деятельности</w:t>
            </w:r>
            <w:r w:rsidRPr="00D46D55">
              <w:rPr>
                <w:b/>
                <w:sz w:val="28"/>
                <w:szCs w:val="28"/>
              </w:rPr>
              <w:t xml:space="preserve">, </w:t>
            </w:r>
            <w:r w:rsidRPr="00D46D55">
              <w:rPr>
                <w:sz w:val="28"/>
                <w:szCs w:val="28"/>
              </w:rPr>
              <w:t>и приобретенное за счет этих доходов имущество поступают в самостоятельное распоряжение учреждения без права отчуждения и учитываются на отдельном балансе.</w:t>
            </w:r>
          </w:p>
          <w:p w:rsidR="00D46D55" w:rsidRPr="00D46D55" w:rsidRDefault="00D46D55" w:rsidP="00D46D55">
            <w:pPr>
              <w:spacing w:before="100" w:beforeAutospacing="1" w:after="100" w:afterAutospacing="1"/>
              <w:ind w:left="0"/>
              <w:jc w:val="center"/>
              <w:rPr>
                <w:sz w:val="28"/>
                <w:szCs w:val="28"/>
              </w:rPr>
            </w:pPr>
          </w:p>
        </w:tc>
        <w:tc>
          <w:tcPr>
            <w:tcW w:w="4678" w:type="dxa"/>
          </w:tcPr>
          <w:p w:rsidR="00D46D55" w:rsidRPr="00D46D55" w:rsidRDefault="00D46D55" w:rsidP="00D46D55">
            <w:pPr>
              <w:spacing w:after="160" w:line="259" w:lineRule="auto"/>
              <w:ind w:left="0" w:firstLine="461"/>
              <w:jc w:val="both"/>
              <w:outlineLvl w:val="0"/>
              <w:rPr>
                <w:sz w:val="28"/>
                <w:szCs w:val="28"/>
              </w:rPr>
            </w:pPr>
            <w:r w:rsidRPr="00D46D55">
              <w:rPr>
                <w:b/>
                <w:sz w:val="28"/>
                <w:szCs w:val="28"/>
              </w:rPr>
              <w:t>Статья 315.</w:t>
            </w:r>
            <w:r w:rsidRPr="00D46D55">
              <w:rPr>
                <w:sz w:val="28"/>
                <w:szCs w:val="28"/>
              </w:rPr>
              <w:t xml:space="preserve"> Распоряжение имуществом учреждения</w:t>
            </w:r>
          </w:p>
          <w:p w:rsidR="00D46D55" w:rsidRPr="00D46D55" w:rsidRDefault="00D46D55" w:rsidP="00D46D55">
            <w:pPr>
              <w:ind w:left="0" w:firstLine="461"/>
              <w:jc w:val="both"/>
              <w:rPr>
                <w:b/>
                <w:sz w:val="28"/>
                <w:szCs w:val="28"/>
              </w:rPr>
            </w:pPr>
          </w:p>
          <w:p w:rsidR="00D46D55" w:rsidRPr="00D46D55" w:rsidRDefault="00D46D55" w:rsidP="00D46D55">
            <w:pPr>
              <w:spacing w:after="160" w:line="259" w:lineRule="auto"/>
              <w:ind w:left="0" w:firstLine="461"/>
              <w:jc w:val="both"/>
              <w:rPr>
                <w:sz w:val="28"/>
                <w:szCs w:val="28"/>
              </w:rPr>
            </w:pPr>
            <w:r w:rsidRPr="00D46D55">
              <w:rPr>
                <w:sz w:val="28"/>
                <w:szCs w:val="28"/>
              </w:rPr>
              <w:t>1.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D46D55" w:rsidRPr="00D46D55" w:rsidRDefault="00D46D55" w:rsidP="00D46D55">
            <w:pPr>
              <w:spacing w:after="160" w:line="259" w:lineRule="auto"/>
              <w:ind w:left="0" w:firstLine="461"/>
              <w:jc w:val="both"/>
              <w:rPr>
                <w:sz w:val="28"/>
                <w:szCs w:val="28"/>
              </w:rPr>
            </w:pPr>
            <w:r w:rsidRPr="00D46D55">
              <w:rPr>
                <w:sz w:val="28"/>
                <w:szCs w:val="28"/>
              </w:rPr>
              <w:t xml:space="preserve">2. Если в соответствии с учредительными документами учреждению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поступают в самостоятельное распоряжение учреждения без права отчуждения и учитываются на отдельном балансе, </w:t>
            </w:r>
            <w:r w:rsidRPr="00D46D55">
              <w:rPr>
                <w:rFonts w:eastAsiaTheme="minorHAnsi"/>
                <w:b/>
                <w:i/>
                <w:sz w:val="28"/>
                <w:szCs w:val="28"/>
                <w:lang w:eastAsia="en-US"/>
              </w:rPr>
              <w:t>если иное не предусмотрено законом о республиканском бюджете на соответствующий финансовый год</w:t>
            </w:r>
            <w:r w:rsidRPr="00D46D55">
              <w:rPr>
                <w:rFonts w:eastAsiaTheme="minorHAnsi"/>
                <w:i/>
                <w:sz w:val="28"/>
                <w:szCs w:val="28"/>
                <w:lang w:eastAsia="en-US"/>
              </w:rPr>
              <w:t>.</w:t>
            </w:r>
          </w:p>
        </w:tc>
      </w:tr>
    </w:tbl>
    <w:p w:rsidR="00465FD2" w:rsidRPr="00294BF3" w:rsidRDefault="00465FD2" w:rsidP="00D46D55">
      <w:pPr>
        <w:ind w:left="0"/>
      </w:pPr>
      <w:bookmarkStart w:id="0" w:name="_GoBack"/>
      <w:bookmarkEnd w:id="0"/>
    </w:p>
    <w:sectPr w:rsidR="00465FD2" w:rsidRPr="00294BF3" w:rsidSect="00E60C42">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04F8C"/>
    <w:rsid w:val="00113964"/>
    <w:rsid w:val="00147B5A"/>
    <w:rsid w:val="001764E8"/>
    <w:rsid w:val="00234162"/>
    <w:rsid w:val="00276593"/>
    <w:rsid w:val="00294BF3"/>
    <w:rsid w:val="002A1DF8"/>
    <w:rsid w:val="00336B91"/>
    <w:rsid w:val="003C02A1"/>
    <w:rsid w:val="00401B73"/>
    <w:rsid w:val="0040279E"/>
    <w:rsid w:val="00402C3C"/>
    <w:rsid w:val="004204C5"/>
    <w:rsid w:val="00465FD2"/>
    <w:rsid w:val="0049279D"/>
    <w:rsid w:val="004F2BFD"/>
    <w:rsid w:val="0051274D"/>
    <w:rsid w:val="005669D6"/>
    <w:rsid w:val="0057635C"/>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46728"/>
    <w:rsid w:val="00770CB3"/>
    <w:rsid w:val="007B3047"/>
    <w:rsid w:val="007C3B6C"/>
    <w:rsid w:val="007F3FF0"/>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52549"/>
    <w:rsid w:val="00A92FB9"/>
    <w:rsid w:val="00B02400"/>
    <w:rsid w:val="00B44CED"/>
    <w:rsid w:val="00B62C7E"/>
    <w:rsid w:val="00B90E5E"/>
    <w:rsid w:val="00BF25F5"/>
    <w:rsid w:val="00C30074"/>
    <w:rsid w:val="00C30585"/>
    <w:rsid w:val="00C310B8"/>
    <w:rsid w:val="00C54BC4"/>
    <w:rsid w:val="00CA0A80"/>
    <w:rsid w:val="00CA389A"/>
    <w:rsid w:val="00D3691D"/>
    <w:rsid w:val="00D45EF5"/>
    <w:rsid w:val="00D46D55"/>
    <w:rsid w:val="00DA4182"/>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DE6C"/>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102</cp:revision>
  <dcterms:created xsi:type="dcterms:W3CDTF">2026-03-30T13:53:00Z</dcterms:created>
  <dcterms:modified xsi:type="dcterms:W3CDTF">2026-05-22T07:36:00Z</dcterms:modified>
</cp:coreProperties>
</file>