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90" w:rsidRPr="00B41F64" w:rsidRDefault="00403590" w:rsidP="00403590">
      <w:pPr>
        <w:autoSpaceDE w:val="0"/>
        <w:autoSpaceDN w:val="0"/>
        <w:adjustRightInd w:val="0"/>
        <w:jc w:val="center"/>
        <w:rPr>
          <w:szCs w:val="28"/>
        </w:rPr>
      </w:pPr>
      <w:r w:rsidRPr="00B41F64">
        <w:rPr>
          <w:szCs w:val="28"/>
        </w:rPr>
        <w:t>СРАВНИТЕЛЬНАЯ ТАБЛИЦА</w:t>
      </w:r>
    </w:p>
    <w:p w:rsidR="00403590" w:rsidRPr="00901153" w:rsidRDefault="00403590" w:rsidP="00403590">
      <w:pPr>
        <w:autoSpaceDE w:val="0"/>
        <w:autoSpaceDN w:val="0"/>
        <w:adjustRightInd w:val="0"/>
        <w:jc w:val="center"/>
        <w:rPr>
          <w:sz w:val="28"/>
          <w:szCs w:val="28"/>
        </w:rPr>
      </w:pPr>
      <w:r w:rsidRPr="00901153">
        <w:rPr>
          <w:sz w:val="28"/>
          <w:szCs w:val="28"/>
        </w:rPr>
        <w:t>к проекту закона Приднестровской Молдавской Республики</w:t>
      </w:r>
    </w:p>
    <w:p w:rsidR="00403590" w:rsidRPr="00901153" w:rsidRDefault="00403590" w:rsidP="00403590">
      <w:pPr>
        <w:autoSpaceDE w:val="0"/>
        <w:autoSpaceDN w:val="0"/>
        <w:adjustRightInd w:val="0"/>
        <w:jc w:val="center"/>
        <w:rPr>
          <w:sz w:val="28"/>
          <w:szCs w:val="28"/>
        </w:rPr>
      </w:pPr>
      <w:r w:rsidRPr="00901153">
        <w:rPr>
          <w:sz w:val="28"/>
          <w:szCs w:val="28"/>
        </w:rPr>
        <w:t>«О внесении изменения в Закон Приднестровской Молдавской Республики</w:t>
      </w:r>
    </w:p>
    <w:p w:rsidR="00403590" w:rsidRPr="00901153" w:rsidRDefault="00403590" w:rsidP="00403590">
      <w:pPr>
        <w:autoSpaceDE w:val="0"/>
        <w:autoSpaceDN w:val="0"/>
        <w:adjustRightInd w:val="0"/>
        <w:jc w:val="center"/>
        <w:rPr>
          <w:sz w:val="28"/>
          <w:szCs w:val="28"/>
        </w:rPr>
      </w:pPr>
      <w:r w:rsidRPr="00901153">
        <w:rPr>
          <w:sz w:val="28"/>
          <w:szCs w:val="28"/>
        </w:rPr>
        <w:t>«О всеобщей воинской обязанности и военной службе»</w:t>
      </w:r>
    </w:p>
    <w:p w:rsidR="00403590" w:rsidRPr="00901153" w:rsidRDefault="00403590" w:rsidP="00403590">
      <w:pPr>
        <w:tabs>
          <w:tab w:val="left" w:pos="3416"/>
        </w:tabs>
        <w:ind w:firstLine="709"/>
        <w:rPr>
          <w:b/>
          <w:sz w:val="28"/>
          <w:szCs w:val="28"/>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5118"/>
      </w:tblGrid>
      <w:tr w:rsidR="00403590" w:rsidRPr="00AD5CC3" w:rsidTr="00545781">
        <w:tc>
          <w:tcPr>
            <w:tcW w:w="4712" w:type="dxa"/>
            <w:tcBorders>
              <w:top w:val="single" w:sz="4" w:space="0" w:color="auto"/>
              <w:left w:val="single" w:sz="4" w:space="0" w:color="auto"/>
              <w:bottom w:val="single" w:sz="4" w:space="0" w:color="auto"/>
              <w:right w:val="single" w:sz="4" w:space="0" w:color="auto"/>
            </w:tcBorders>
            <w:hideMark/>
          </w:tcPr>
          <w:p w:rsidR="00403590" w:rsidRPr="00AD5CC3" w:rsidRDefault="00403590" w:rsidP="00545781">
            <w:pPr>
              <w:tabs>
                <w:tab w:val="left" w:pos="3416"/>
              </w:tabs>
              <w:jc w:val="center"/>
              <w:rPr>
                <w:b/>
                <w:szCs w:val="28"/>
              </w:rPr>
            </w:pPr>
            <w:r w:rsidRPr="00AD5CC3">
              <w:rPr>
                <w:b/>
                <w:szCs w:val="28"/>
              </w:rPr>
              <w:t>Действующая редакция</w:t>
            </w:r>
          </w:p>
        </w:tc>
        <w:tc>
          <w:tcPr>
            <w:tcW w:w="4967" w:type="dxa"/>
            <w:tcBorders>
              <w:top w:val="single" w:sz="4" w:space="0" w:color="auto"/>
              <w:left w:val="single" w:sz="4" w:space="0" w:color="auto"/>
              <w:bottom w:val="single" w:sz="4" w:space="0" w:color="auto"/>
              <w:right w:val="single" w:sz="4" w:space="0" w:color="auto"/>
            </w:tcBorders>
            <w:hideMark/>
          </w:tcPr>
          <w:p w:rsidR="00403590" w:rsidRPr="00AD5CC3" w:rsidRDefault="00403590" w:rsidP="00545781">
            <w:pPr>
              <w:tabs>
                <w:tab w:val="left" w:pos="3416"/>
              </w:tabs>
              <w:ind w:firstLine="28"/>
              <w:jc w:val="center"/>
              <w:rPr>
                <w:b/>
                <w:szCs w:val="28"/>
              </w:rPr>
            </w:pPr>
            <w:r w:rsidRPr="00AD5CC3">
              <w:rPr>
                <w:b/>
                <w:szCs w:val="28"/>
              </w:rPr>
              <w:t>Предлагаемая редакция</w:t>
            </w:r>
          </w:p>
        </w:tc>
      </w:tr>
      <w:tr w:rsidR="00403590" w:rsidRPr="00AD5CC3" w:rsidTr="00545781">
        <w:trPr>
          <w:trHeight w:val="3597"/>
        </w:trPr>
        <w:tc>
          <w:tcPr>
            <w:tcW w:w="4712" w:type="dxa"/>
            <w:tcBorders>
              <w:top w:val="single" w:sz="4" w:space="0" w:color="auto"/>
              <w:left w:val="single" w:sz="4" w:space="0" w:color="auto"/>
              <w:bottom w:val="single" w:sz="4" w:space="0" w:color="auto"/>
              <w:right w:val="single" w:sz="4" w:space="0" w:color="auto"/>
            </w:tcBorders>
            <w:hideMark/>
          </w:tcPr>
          <w:p w:rsidR="00403590" w:rsidRPr="00AD5CC3" w:rsidRDefault="00403590" w:rsidP="00545781">
            <w:pPr>
              <w:pStyle w:val="a4"/>
              <w:ind w:firstLine="709"/>
              <w:jc w:val="both"/>
              <w:outlineLvl w:val="0"/>
              <w:rPr>
                <w:rFonts w:ascii="Times New Roman" w:hAnsi="Times New Roman" w:cs="Times New Roman"/>
                <w:sz w:val="24"/>
                <w:szCs w:val="28"/>
                <w:lang w:eastAsia="en-US"/>
              </w:rPr>
            </w:pPr>
            <w:r w:rsidRPr="00AD5CC3">
              <w:rPr>
                <w:rFonts w:ascii="Times New Roman" w:hAnsi="Times New Roman" w:cs="Times New Roman"/>
                <w:b/>
                <w:sz w:val="24"/>
                <w:szCs w:val="28"/>
                <w:lang w:eastAsia="en-US"/>
              </w:rPr>
              <w:t>Статья 50.</w:t>
            </w:r>
            <w:r w:rsidRPr="00AD5CC3">
              <w:rPr>
                <w:rFonts w:ascii="Times New Roman" w:hAnsi="Times New Roman" w:cs="Times New Roman"/>
                <w:sz w:val="24"/>
                <w:szCs w:val="28"/>
                <w:lang w:eastAsia="en-US"/>
              </w:rPr>
              <w:t xml:space="preserve"> Основания увольнения с военной службы</w:t>
            </w:r>
          </w:p>
          <w:p w:rsidR="00403590" w:rsidRPr="00AD5CC3" w:rsidRDefault="00403590" w:rsidP="00545781">
            <w:pPr>
              <w:tabs>
                <w:tab w:val="left" w:pos="709"/>
                <w:tab w:val="left" w:pos="9498"/>
                <w:tab w:val="left" w:pos="9720"/>
              </w:tabs>
              <w:ind w:firstLine="709"/>
              <w:rPr>
                <w:color w:val="000000"/>
                <w:szCs w:val="28"/>
              </w:rPr>
            </w:pPr>
            <w:r w:rsidRPr="00AD5CC3">
              <w:rPr>
                <w:color w:val="000000"/>
                <w:szCs w:val="28"/>
              </w:rPr>
              <w:t>…</w:t>
            </w:r>
          </w:p>
          <w:p w:rsidR="00403590" w:rsidRPr="00AD5CC3" w:rsidRDefault="00403590" w:rsidP="00545781">
            <w:pPr>
              <w:pStyle w:val="a4"/>
              <w:ind w:firstLine="709"/>
              <w:jc w:val="both"/>
              <w:rPr>
                <w:rFonts w:ascii="Times New Roman" w:hAnsi="Times New Roman" w:cs="Times New Roman"/>
                <w:sz w:val="24"/>
                <w:szCs w:val="28"/>
                <w:lang w:eastAsia="en-US"/>
              </w:rPr>
            </w:pPr>
            <w:r w:rsidRPr="00AD5CC3">
              <w:rPr>
                <w:rFonts w:ascii="Times New Roman" w:hAnsi="Times New Roman" w:cs="Times New Roman"/>
                <w:sz w:val="24"/>
                <w:szCs w:val="28"/>
                <w:lang w:eastAsia="en-US"/>
              </w:rPr>
              <w:t xml:space="preserve">4-1. Военнослужащие, заключившие контракт о прохождении военной службы в период прохождения военной службы по призыву, подлежащие увольнению с военной службы по основаниям, предусмотренным подпунктом ж) пункта 1, подпунктами в) </w:t>
            </w:r>
            <w:r w:rsidRPr="00AD5CC3">
              <w:rPr>
                <w:rFonts w:ascii="Times New Roman" w:hAnsi="Times New Roman" w:cs="Times New Roman"/>
                <w:b/>
                <w:sz w:val="24"/>
                <w:szCs w:val="28"/>
                <w:lang w:eastAsia="en-US"/>
              </w:rPr>
              <w:t>и</w:t>
            </w:r>
            <w:r w:rsidRPr="00AD5CC3">
              <w:rPr>
                <w:rFonts w:ascii="Times New Roman" w:hAnsi="Times New Roman" w:cs="Times New Roman"/>
                <w:sz w:val="24"/>
                <w:szCs w:val="28"/>
                <w:lang w:eastAsia="en-US"/>
              </w:rPr>
              <w:t xml:space="preserve"> ж) пункта 4 настоящей статьи, и на момент увольнения не выслужившие срок военной службы по призыву,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w:t>
            </w:r>
          </w:p>
          <w:p w:rsidR="00403590" w:rsidRPr="00AD5CC3" w:rsidRDefault="00403590" w:rsidP="00545781">
            <w:pPr>
              <w:pStyle w:val="a4"/>
              <w:ind w:firstLine="709"/>
              <w:jc w:val="both"/>
              <w:rPr>
                <w:rFonts w:ascii="Times New Roman" w:hAnsi="Times New Roman" w:cs="Times New Roman"/>
                <w:sz w:val="24"/>
                <w:szCs w:val="28"/>
                <w:lang w:eastAsia="en-US"/>
              </w:rPr>
            </w:pPr>
            <w:r w:rsidRPr="00AD5CC3">
              <w:rPr>
                <w:rFonts w:ascii="Times New Roman" w:hAnsi="Times New Roman" w:cs="Times New Roman"/>
                <w:color w:val="000000"/>
                <w:sz w:val="24"/>
                <w:szCs w:val="28"/>
                <w:lang w:eastAsia="en-US"/>
              </w:rPr>
              <w:t>…</w:t>
            </w:r>
          </w:p>
        </w:tc>
        <w:tc>
          <w:tcPr>
            <w:tcW w:w="4967" w:type="dxa"/>
            <w:tcBorders>
              <w:top w:val="single" w:sz="4" w:space="0" w:color="auto"/>
              <w:left w:val="single" w:sz="4" w:space="0" w:color="auto"/>
              <w:bottom w:val="single" w:sz="4" w:space="0" w:color="auto"/>
              <w:right w:val="single" w:sz="4" w:space="0" w:color="auto"/>
            </w:tcBorders>
          </w:tcPr>
          <w:p w:rsidR="00403590" w:rsidRPr="00AD5CC3" w:rsidRDefault="00403590" w:rsidP="00545781">
            <w:pPr>
              <w:ind w:firstLine="709"/>
              <w:outlineLvl w:val="0"/>
              <w:rPr>
                <w:szCs w:val="28"/>
              </w:rPr>
            </w:pPr>
            <w:r w:rsidRPr="00AD5CC3">
              <w:rPr>
                <w:b/>
                <w:szCs w:val="28"/>
              </w:rPr>
              <w:t>Статья 50.</w:t>
            </w:r>
            <w:r w:rsidRPr="00AD5CC3">
              <w:rPr>
                <w:szCs w:val="28"/>
              </w:rPr>
              <w:t xml:space="preserve"> Основания увольнения с военной службы</w:t>
            </w:r>
          </w:p>
          <w:p w:rsidR="00403590" w:rsidRPr="00AD5CC3" w:rsidRDefault="00403590" w:rsidP="00545781">
            <w:pPr>
              <w:tabs>
                <w:tab w:val="left" w:pos="3416"/>
              </w:tabs>
              <w:ind w:firstLine="709"/>
              <w:outlineLvl w:val="0"/>
              <w:rPr>
                <w:bCs/>
                <w:szCs w:val="28"/>
              </w:rPr>
            </w:pPr>
            <w:r w:rsidRPr="00AD5CC3">
              <w:rPr>
                <w:bCs/>
                <w:szCs w:val="28"/>
              </w:rPr>
              <w:t>…</w:t>
            </w:r>
          </w:p>
          <w:p w:rsidR="00403590" w:rsidRPr="00AD5CC3" w:rsidRDefault="00403590" w:rsidP="00545781">
            <w:pPr>
              <w:tabs>
                <w:tab w:val="left" w:pos="3416"/>
              </w:tabs>
              <w:ind w:firstLine="709"/>
              <w:outlineLvl w:val="0"/>
              <w:rPr>
                <w:bCs/>
                <w:szCs w:val="28"/>
              </w:rPr>
            </w:pPr>
            <w:r w:rsidRPr="00AD5CC3">
              <w:rPr>
                <w:bCs/>
                <w:szCs w:val="28"/>
              </w:rPr>
              <w:t>4-1. Военнослужащие, заключившие контракт о прохождении военной службы в период прохождения военной службы по призыву, подлежащие увольнению с военной службы по основаниям, предусмотренным подпунктом ж) пункта 1, подпунктами в)</w:t>
            </w:r>
            <w:r w:rsidRPr="00AD5CC3">
              <w:rPr>
                <w:b/>
                <w:bCs/>
                <w:szCs w:val="28"/>
              </w:rPr>
              <w:t>,</w:t>
            </w:r>
            <w:r w:rsidRPr="00AD5CC3">
              <w:rPr>
                <w:bCs/>
                <w:szCs w:val="28"/>
              </w:rPr>
              <w:t xml:space="preserve"> ж)</w:t>
            </w:r>
            <w:r w:rsidRPr="00AD5CC3">
              <w:rPr>
                <w:b/>
                <w:bCs/>
                <w:szCs w:val="28"/>
              </w:rPr>
              <w:t>,</w:t>
            </w:r>
            <w:r w:rsidRPr="00AD5CC3">
              <w:rPr>
                <w:bCs/>
                <w:szCs w:val="28"/>
              </w:rPr>
              <w:t xml:space="preserve"> </w:t>
            </w:r>
            <w:r w:rsidRPr="00AD5CC3">
              <w:rPr>
                <w:b/>
                <w:bCs/>
                <w:szCs w:val="28"/>
              </w:rPr>
              <w:t>и)</w:t>
            </w:r>
            <w:r w:rsidRPr="00AD5CC3">
              <w:rPr>
                <w:bCs/>
                <w:szCs w:val="28"/>
              </w:rPr>
              <w:t xml:space="preserve"> пункта 4 настоящей статьи, и на момент увольнения не выслужившие срок военной службы по призыву, направляются для прохождения военной службы по призыву. При этом продолжительность военной службы по контракту засчитывается им в срок военной службы по призыву из расчета два дня военной службы по контракту за один день военной службы по призыву.</w:t>
            </w:r>
          </w:p>
          <w:p w:rsidR="00403590" w:rsidRDefault="00403590" w:rsidP="00545781">
            <w:pPr>
              <w:tabs>
                <w:tab w:val="left" w:pos="3416"/>
              </w:tabs>
              <w:ind w:firstLine="709"/>
              <w:outlineLvl w:val="0"/>
              <w:rPr>
                <w:bCs/>
                <w:szCs w:val="28"/>
              </w:rPr>
            </w:pPr>
            <w:r w:rsidRPr="00AD5CC3">
              <w:rPr>
                <w:bCs/>
                <w:szCs w:val="28"/>
              </w:rPr>
              <w:t>…</w:t>
            </w:r>
          </w:p>
          <w:p w:rsidR="00403590" w:rsidRPr="00AD5CC3" w:rsidRDefault="00403590" w:rsidP="00545781">
            <w:pPr>
              <w:tabs>
                <w:tab w:val="left" w:pos="3416"/>
              </w:tabs>
              <w:ind w:firstLine="709"/>
              <w:outlineLvl w:val="0"/>
              <w:rPr>
                <w:bCs/>
                <w:szCs w:val="28"/>
              </w:rPr>
            </w:pPr>
          </w:p>
        </w:tc>
      </w:tr>
    </w:tbl>
    <w:p w:rsidR="00465FD2" w:rsidRPr="006364A9" w:rsidRDefault="00465FD2" w:rsidP="006364A9">
      <w:bookmarkStart w:id="0" w:name="_GoBack"/>
      <w:bookmarkEnd w:id="0"/>
    </w:p>
    <w:sectPr w:rsidR="00465FD2" w:rsidRPr="006364A9"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D5D" w:rsidRDefault="00751D5D">
      <w:r>
        <w:separator/>
      </w:r>
    </w:p>
  </w:endnote>
  <w:endnote w:type="continuationSeparator" w:id="0">
    <w:p w:rsidR="00751D5D" w:rsidRDefault="0075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D5D" w:rsidRDefault="00751D5D">
      <w:r>
        <w:separator/>
      </w:r>
    </w:p>
  </w:footnote>
  <w:footnote w:type="continuationSeparator" w:id="0">
    <w:p w:rsidR="00751D5D" w:rsidRDefault="0075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Pr>
            <w:rFonts w:ascii="Times New Roman" w:hAnsi="Times New Roman" w:cs="Times New Roman"/>
            <w:noProof/>
            <w:sz w:val="24"/>
          </w:rPr>
          <w:t>- 8 -</w:t>
        </w:r>
        <w:r w:rsidRPr="001038FE">
          <w:rPr>
            <w:rFonts w:ascii="Times New Roman" w:hAnsi="Times New Roman" w:cs="Times New Roman"/>
            <w:sz w:val="24"/>
          </w:rPr>
          <w:fldChar w:fldCharType="end"/>
        </w:r>
      </w:p>
    </w:sdtContent>
  </w:sdt>
  <w:p w:rsidR="001038FE" w:rsidRDefault="00751D5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A5F03"/>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1274D"/>
    <w:rsid w:val="00564E06"/>
    <w:rsid w:val="005669D6"/>
    <w:rsid w:val="0057635C"/>
    <w:rsid w:val="005B3CC2"/>
    <w:rsid w:val="005F0727"/>
    <w:rsid w:val="005F790B"/>
    <w:rsid w:val="0062219E"/>
    <w:rsid w:val="006354AC"/>
    <w:rsid w:val="006364A9"/>
    <w:rsid w:val="00666CFF"/>
    <w:rsid w:val="00677842"/>
    <w:rsid w:val="00694279"/>
    <w:rsid w:val="006C5421"/>
    <w:rsid w:val="006D0F80"/>
    <w:rsid w:val="006E4576"/>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926AE"/>
    <w:rsid w:val="008B7DBE"/>
    <w:rsid w:val="008D7455"/>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90E5E"/>
    <w:rsid w:val="00BF25F5"/>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126</cp:revision>
  <dcterms:created xsi:type="dcterms:W3CDTF">2026-03-30T13:53:00Z</dcterms:created>
  <dcterms:modified xsi:type="dcterms:W3CDTF">2026-06-09T12:49:00Z</dcterms:modified>
</cp:coreProperties>
</file>