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212" w:rsidRPr="006D1212" w:rsidRDefault="006D1212" w:rsidP="006D1212">
      <w:pPr>
        <w:ind w:left="0"/>
        <w:jc w:val="center"/>
        <w:outlineLvl w:val="0"/>
        <w:rPr>
          <w:rFonts w:eastAsia="Calibri"/>
          <w:lang w:eastAsia="en-US"/>
        </w:rPr>
      </w:pPr>
      <w:r w:rsidRPr="006D1212">
        <w:rPr>
          <w:rFonts w:eastAsia="Calibri"/>
          <w:lang w:eastAsia="en-US"/>
        </w:rPr>
        <w:t xml:space="preserve">СРАВНИТЕЛЬНАЯ ТАБЛИЦА </w:t>
      </w:r>
    </w:p>
    <w:p w:rsidR="006D1212" w:rsidRPr="006D1212" w:rsidRDefault="006D1212" w:rsidP="006D1212">
      <w:pPr>
        <w:ind w:left="0"/>
        <w:jc w:val="center"/>
        <w:outlineLvl w:val="0"/>
        <w:rPr>
          <w:rFonts w:eastAsia="Calibri"/>
          <w:lang w:eastAsia="en-US"/>
        </w:rPr>
      </w:pPr>
      <w:r w:rsidRPr="006D1212">
        <w:rPr>
          <w:rFonts w:eastAsia="Calibri"/>
          <w:lang w:eastAsia="en-US"/>
        </w:rPr>
        <w:t>к проекту закона Приднестровской Молдавской Республики</w:t>
      </w:r>
    </w:p>
    <w:p w:rsidR="006D1212" w:rsidRPr="006D1212" w:rsidRDefault="006D1212" w:rsidP="006D1212">
      <w:pPr>
        <w:ind w:left="0"/>
        <w:jc w:val="center"/>
      </w:pPr>
      <w:r w:rsidRPr="006D1212">
        <w:t xml:space="preserve">«О внесении изменений в Закон Приднестровской Молдавской Республики                            </w:t>
      </w:r>
      <w:proofErr w:type="gramStart"/>
      <w:r w:rsidRPr="006D1212">
        <w:t xml:space="preserve">   «</w:t>
      </w:r>
      <w:proofErr w:type="gramEnd"/>
      <w:r w:rsidRPr="006D1212">
        <w:t>Об утверждении Государственной программы по восстановлению высокоствольных дубрав на землях Государственного лесного фонда Приднестровской Молдавской Республики на 2021-2041 годы»</w:t>
      </w:r>
    </w:p>
    <w:p w:rsidR="006D1212" w:rsidRPr="006D1212" w:rsidRDefault="006D1212" w:rsidP="006D1212">
      <w:pPr>
        <w:ind w:left="0"/>
        <w:jc w:val="center"/>
      </w:pPr>
    </w:p>
    <w:p w:rsidR="006D1212" w:rsidRPr="006D1212" w:rsidRDefault="006D1212" w:rsidP="006D1212">
      <w:pPr>
        <w:ind w:left="0"/>
        <w:jc w:val="center"/>
      </w:pPr>
      <w:r w:rsidRPr="006D1212">
        <w:t>Паспорт Программы</w:t>
      </w:r>
    </w:p>
    <w:p w:rsidR="006D1212" w:rsidRPr="006D1212" w:rsidRDefault="006D1212" w:rsidP="006D1212">
      <w:pPr>
        <w:ind w:left="0"/>
        <w:jc w:val="center"/>
      </w:pPr>
    </w:p>
    <w:p w:rsidR="006D1212" w:rsidRPr="006D1212" w:rsidRDefault="006D1212" w:rsidP="006D1212">
      <w:pPr>
        <w:ind w:left="0"/>
        <w:jc w:val="center"/>
      </w:pPr>
      <w:r w:rsidRPr="006D1212">
        <w:t>Действующая редакция</w:t>
      </w:r>
    </w:p>
    <w:p w:rsidR="006D1212" w:rsidRPr="006D1212" w:rsidRDefault="006D1212" w:rsidP="006D1212">
      <w:pPr>
        <w:ind w:left="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26"/>
      </w:tblGrid>
      <w:tr w:rsidR="006D1212" w:rsidRPr="006D1212" w:rsidTr="004C3C5C">
        <w:tc>
          <w:tcPr>
            <w:tcW w:w="4922" w:type="dxa"/>
            <w:tcBorders>
              <w:top w:val="single" w:sz="4" w:space="0" w:color="auto"/>
              <w:left w:val="single" w:sz="4" w:space="0" w:color="auto"/>
              <w:bottom w:val="single" w:sz="4" w:space="0" w:color="auto"/>
              <w:right w:val="single" w:sz="4" w:space="0" w:color="auto"/>
            </w:tcBorders>
            <w:shd w:val="clear" w:color="auto" w:fill="auto"/>
          </w:tcPr>
          <w:p w:rsidR="006D1212" w:rsidRPr="006D1212" w:rsidRDefault="006D1212" w:rsidP="006D1212">
            <w:pPr>
              <w:ind w:left="0"/>
              <w:jc w:val="left"/>
              <w:rPr>
                <w:szCs w:val="28"/>
              </w:rPr>
            </w:pPr>
            <w:r w:rsidRPr="006D1212">
              <w:rPr>
                <w:szCs w:val="28"/>
              </w:rPr>
              <w:t>8. Ответственные исполнители Государственной программы</w:t>
            </w:r>
          </w:p>
        </w:tc>
        <w:tc>
          <w:tcPr>
            <w:tcW w:w="4932" w:type="dxa"/>
            <w:tcBorders>
              <w:top w:val="single" w:sz="4" w:space="0" w:color="auto"/>
              <w:left w:val="single" w:sz="4" w:space="0" w:color="auto"/>
              <w:bottom w:val="single" w:sz="4" w:space="0" w:color="auto"/>
              <w:right w:val="single" w:sz="4" w:space="0" w:color="auto"/>
            </w:tcBorders>
            <w:shd w:val="clear" w:color="auto" w:fill="auto"/>
          </w:tcPr>
          <w:p w:rsidR="006D1212" w:rsidRPr="006D1212" w:rsidRDefault="006D1212" w:rsidP="006D1212">
            <w:pPr>
              <w:ind w:left="0"/>
              <w:rPr>
                <w:szCs w:val="28"/>
              </w:rPr>
            </w:pPr>
            <w:r w:rsidRPr="006D1212">
              <w:rPr>
                <w:szCs w:val="28"/>
              </w:rPr>
              <w:t>а) Министерство сельского хозяйства и природных ресурсов Приднестровской Молдавской Республики;</w:t>
            </w:r>
          </w:p>
          <w:p w:rsidR="006D1212" w:rsidRPr="006D1212" w:rsidRDefault="006D1212" w:rsidP="006D1212">
            <w:pPr>
              <w:ind w:left="0"/>
              <w:rPr>
                <w:szCs w:val="28"/>
              </w:rPr>
            </w:pPr>
            <w:r w:rsidRPr="006D1212">
              <w:rPr>
                <w:szCs w:val="28"/>
              </w:rPr>
              <w:t>б) государственное унитарное предприятие «Приднестровье-лес»</w:t>
            </w:r>
          </w:p>
        </w:tc>
      </w:tr>
      <w:tr w:rsidR="006D1212" w:rsidRPr="006D1212" w:rsidTr="004C3C5C">
        <w:tc>
          <w:tcPr>
            <w:tcW w:w="4922" w:type="dxa"/>
            <w:tcBorders>
              <w:top w:val="single" w:sz="4" w:space="0" w:color="auto"/>
              <w:left w:val="single" w:sz="4" w:space="0" w:color="auto"/>
              <w:bottom w:val="single" w:sz="4" w:space="0" w:color="auto"/>
              <w:right w:val="single" w:sz="4" w:space="0" w:color="auto"/>
            </w:tcBorders>
            <w:shd w:val="clear" w:color="auto" w:fill="auto"/>
          </w:tcPr>
          <w:p w:rsidR="006D1212" w:rsidRPr="006D1212" w:rsidRDefault="006D1212" w:rsidP="006D1212">
            <w:pPr>
              <w:ind w:left="0"/>
              <w:jc w:val="left"/>
              <w:rPr>
                <w:szCs w:val="28"/>
              </w:rPr>
            </w:pPr>
            <w:r w:rsidRPr="006D1212">
              <w:rPr>
                <w:szCs w:val="28"/>
              </w:rPr>
              <w:t>9. Объемы и источники финансирования</w:t>
            </w:r>
          </w:p>
        </w:tc>
        <w:tc>
          <w:tcPr>
            <w:tcW w:w="4932" w:type="dxa"/>
            <w:tcBorders>
              <w:top w:val="single" w:sz="4" w:space="0" w:color="auto"/>
              <w:left w:val="single" w:sz="4" w:space="0" w:color="auto"/>
              <w:bottom w:val="single" w:sz="4" w:space="0" w:color="auto"/>
              <w:right w:val="single" w:sz="4" w:space="0" w:color="auto"/>
            </w:tcBorders>
            <w:shd w:val="clear" w:color="auto" w:fill="auto"/>
          </w:tcPr>
          <w:p w:rsidR="006D1212" w:rsidRPr="006D1212" w:rsidRDefault="006D1212" w:rsidP="006D1212">
            <w:pPr>
              <w:ind w:left="0"/>
              <w:rPr>
                <w:szCs w:val="28"/>
              </w:rPr>
            </w:pPr>
            <w:r w:rsidRPr="006D1212">
              <w:rPr>
                <w:szCs w:val="28"/>
              </w:rPr>
              <w:t>объем финансирования на 2021–2041 годы составляет 22 672 195 рублей Приднестровской Молдавской Республики, в том числе:</w:t>
            </w:r>
          </w:p>
          <w:p w:rsidR="006D1212" w:rsidRPr="006D1212" w:rsidRDefault="006D1212" w:rsidP="006D1212">
            <w:pPr>
              <w:ind w:left="0"/>
              <w:rPr>
                <w:szCs w:val="28"/>
              </w:rPr>
            </w:pPr>
            <w:r w:rsidRPr="006D1212">
              <w:rPr>
                <w:szCs w:val="28"/>
              </w:rPr>
              <w:t>а) из Республиканского экологического фонда Приднестровской Молдавской Республики 16 672 195 рублей;</w:t>
            </w:r>
          </w:p>
          <w:p w:rsidR="006D1212" w:rsidRPr="006D1212" w:rsidRDefault="006D1212" w:rsidP="006D1212">
            <w:pPr>
              <w:ind w:left="0"/>
              <w:rPr>
                <w:szCs w:val="28"/>
              </w:rPr>
            </w:pPr>
            <w:r w:rsidRPr="006D1212">
              <w:rPr>
                <w:szCs w:val="28"/>
              </w:rPr>
              <w:t xml:space="preserve">б) собственные средства государственного унитарного предприятия «Приднестровье-лес» (от реализации древесины запланированных рубок </w:t>
            </w:r>
            <w:r w:rsidRPr="006D1212">
              <w:rPr>
                <w:szCs w:val="28"/>
              </w:rPr>
              <w:br/>
              <w:t xml:space="preserve">на лесных площадях под </w:t>
            </w:r>
            <w:proofErr w:type="spellStart"/>
            <w:r w:rsidRPr="006D1212">
              <w:rPr>
                <w:szCs w:val="28"/>
              </w:rPr>
              <w:t>лесовосстановление</w:t>
            </w:r>
            <w:proofErr w:type="spellEnd"/>
            <w:r w:rsidRPr="006D1212">
              <w:rPr>
                <w:szCs w:val="28"/>
              </w:rPr>
              <w:t>) 6 000 000 рублей</w:t>
            </w:r>
          </w:p>
        </w:tc>
      </w:tr>
    </w:tbl>
    <w:p w:rsidR="006D1212" w:rsidRPr="006D1212" w:rsidRDefault="006D1212" w:rsidP="00EB480D">
      <w:pPr>
        <w:ind w:left="0"/>
      </w:pPr>
    </w:p>
    <w:p w:rsidR="006D1212" w:rsidRPr="006D1212" w:rsidRDefault="006D1212" w:rsidP="006D1212">
      <w:pPr>
        <w:ind w:left="0"/>
        <w:jc w:val="center"/>
      </w:pPr>
      <w:r w:rsidRPr="006D1212">
        <w:t>Предлагаемая редакция</w:t>
      </w:r>
    </w:p>
    <w:p w:rsidR="006D1212" w:rsidRPr="006D1212" w:rsidRDefault="006D1212" w:rsidP="006D1212">
      <w:pPr>
        <w:ind w:left="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26"/>
      </w:tblGrid>
      <w:tr w:rsidR="006D1212" w:rsidRPr="006D1212" w:rsidTr="004C3C5C">
        <w:tc>
          <w:tcPr>
            <w:tcW w:w="4922" w:type="dxa"/>
            <w:tcBorders>
              <w:top w:val="single" w:sz="4" w:space="0" w:color="auto"/>
              <w:left w:val="single" w:sz="4" w:space="0" w:color="auto"/>
              <w:bottom w:val="single" w:sz="4" w:space="0" w:color="auto"/>
              <w:right w:val="single" w:sz="4" w:space="0" w:color="auto"/>
            </w:tcBorders>
            <w:shd w:val="clear" w:color="auto" w:fill="auto"/>
          </w:tcPr>
          <w:p w:rsidR="006D1212" w:rsidRPr="006D1212" w:rsidRDefault="006D1212" w:rsidP="006D1212">
            <w:pPr>
              <w:ind w:left="0"/>
              <w:jc w:val="left"/>
              <w:rPr>
                <w:szCs w:val="28"/>
              </w:rPr>
            </w:pPr>
            <w:r w:rsidRPr="006D1212">
              <w:rPr>
                <w:szCs w:val="28"/>
              </w:rPr>
              <w:t>8. Ответственные исполнители Государственной программы</w:t>
            </w:r>
          </w:p>
        </w:tc>
        <w:tc>
          <w:tcPr>
            <w:tcW w:w="4932" w:type="dxa"/>
            <w:tcBorders>
              <w:top w:val="single" w:sz="4" w:space="0" w:color="auto"/>
              <w:left w:val="single" w:sz="4" w:space="0" w:color="auto"/>
              <w:bottom w:val="single" w:sz="4" w:space="0" w:color="auto"/>
              <w:right w:val="single" w:sz="4" w:space="0" w:color="auto"/>
            </w:tcBorders>
            <w:shd w:val="clear" w:color="auto" w:fill="auto"/>
          </w:tcPr>
          <w:p w:rsidR="006D1212" w:rsidRPr="006D1212" w:rsidRDefault="006D1212" w:rsidP="006D1212">
            <w:pPr>
              <w:ind w:left="0"/>
              <w:rPr>
                <w:szCs w:val="28"/>
              </w:rPr>
            </w:pPr>
            <w:r w:rsidRPr="006D1212">
              <w:rPr>
                <w:szCs w:val="28"/>
              </w:rPr>
              <w:t xml:space="preserve">а) </w:t>
            </w:r>
            <w:r w:rsidRPr="006D1212">
              <w:rPr>
                <w:b/>
                <w:szCs w:val="28"/>
              </w:rPr>
              <w:t>Государственная служба экологического контроля и охраны окружающей среды Приднестровской Молдавской Республики</w:t>
            </w:r>
            <w:r w:rsidRPr="006D1212">
              <w:rPr>
                <w:szCs w:val="28"/>
              </w:rPr>
              <w:t>;</w:t>
            </w:r>
          </w:p>
          <w:p w:rsidR="006D1212" w:rsidRPr="006D1212" w:rsidRDefault="006D1212" w:rsidP="006D1212">
            <w:pPr>
              <w:ind w:left="0"/>
              <w:rPr>
                <w:szCs w:val="28"/>
              </w:rPr>
            </w:pPr>
            <w:r w:rsidRPr="006D1212">
              <w:rPr>
                <w:szCs w:val="28"/>
              </w:rPr>
              <w:t xml:space="preserve">б) государственное унитарное предприятие «Приднестровье-лес» </w:t>
            </w:r>
            <w:r w:rsidRPr="006D1212">
              <w:rPr>
                <w:b/>
                <w:szCs w:val="28"/>
              </w:rPr>
              <w:t>Государственной служба экологического контроля и охраны окружающей среды Приднестровской Молдавской Республики (далее - государственное унитарное предприятие «Приднестровье-лес»)</w:t>
            </w:r>
          </w:p>
        </w:tc>
      </w:tr>
      <w:tr w:rsidR="006D1212" w:rsidRPr="006D1212" w:rsidTr="004C3C5C">
        <w:tc>
          <w:tcPr>
            <w:tcW w:w="4922" w:type="dxa"/>
            <w:tcBorders>
              <w:top w:val="single" w:sz="4" w:space="0" w:color="auto"/>
              <w:left w:val="single" w:sz="4" w:space="0" w:color="auto"/>
              <w:bottom w:val="single" w:sz="4" w:space="0" w:color="auto"/>
              <w:right w:val="single" w:sz="4" w:space="0" w:color="auto"/>
            </w:tcBorders>
            <w:shd w:val="clear" w:color="auto" w:fill="auto"/>
          </w:tcPr>
          <w:p w:rsidR="006D1212" w:rsidRPr="006D1212" w:rsidRDefault="006D1212" w:rsidP="006D1212">
            <w:pPr>
              <w:ind w:left="0"/>
              <w:jc w:val="left"/>
              <w:rPr>
                <w:szCs w:val="28"/>
              </w:rPr>
            </w:pPr>
            <w:r w:rsidRPr="006D1212">
              <w:rPr>
                <w:szCs w:val="28"/>
              </w:rPr>
              <w:t>9. Объемы и источники финансирования</w:t>
            </w:r>
          </w:p>
        </w:tc>
        <w:tc>
          <w:tcPr>
            <w:tcW w:w="4932" w:type="dxa"/>
            <w:tcBorders>
              <w:top w:val="single" w:sz="4" w:space="0" w:color="auto"/>
              <w:left w:val="single" w:sz="4" w:space="0" w:color="auto"/>
              <w:bottom w:val="single" w:sz="4" w:space="0" w:color="auto"/>
              <w:right w:val="single" w:sz="4" w:space="0" w:color="auto"/>
            </w:tcBorders>
            <w:shd w:val="clear" w:color="auto" w:fill="auto"/>
          </w:tcPr>
          <w:p w:rsidR="006D1212" w:rsidRPr="006D1212" w:rsidRDefault="006D1212" w:rsidP="006D1212">
            <w:pPr>
              <w:ind w:left="0"/>
              <w:rPr>
                <w:szCs w:val="28"/>
              </w:rPr>
            </w:pPr>
            <w:r w:rsidRPr="006D1212">
              <w:rPr>
                <w:szCs w:val="28"/>
              </w:rPr>
              <w:t xml:space="preserve">объем финансирования на 2021–2041 годы составляет 22 672 195 рублей Приднестровской Молдавской Республики </w:t>
            </w:r>
            <w:r w:rsidRPr="006D1212">
              <w:rPr>
                <w:b/>
                <w:szCs w:val="28"/>
              </w:rPr>
              <w:t>(далее – рубли)</w:t>
            </w:r>
            <w:r w:rsidRPr="006D1212">
              <w:rPr>
                <w:szCs w:val="28"/>
              </w:rPr>
              <w:t>, в том числе:</w:t>
            </w:r>
          </w:p>
          <w:p w:rsidR="006D1212" w:rsidRPr="006D1212" w:rsidRDefault="006D1212" w:rsidP="006D1212">
            <w:pPr>
              <w:ind w:left="0"/>
              <w:rPr>
                <w:szCs w:val="28"/>
              </w:rPr>
            </w:pPr>
            <w:r w:rsidRPr="006D1212">
              <w:rPr>
                <w:szCs w:val="28"/>
              </w:rPr>
              <w:t xml:space="preserve">а) </w:t>
            </w:r>
            <w:r w:rsidRPr="006D1212">
              <w:rPr>
                <w:b/>
                <w:szCs w:val="28"/>
              </w:rPr>
              <w:t>из средств республиканского бюджета</w:t>
            </w:r>
            <w:r w:rsidRPr="006D1212">
              <w:rPr>
                <w:szCs w:val="28"/>
              </w:rPr>
              <w:t>, из Республиканского экологического фонда Приднестровской Молдавской Республики 16 672 195 рублей;</w:t>
            </w:r>
          </w:p>
          <w:p w:rsidR="006D1212" w:rsidRPr="006D1212" w:rsidRDefault="006D1212" w:rsidP="006D1212">
            <w:pPr>
              <w:ind w:left="0"/>
              <w:rPr>
                <w:szCs w:val="28"/>
              </w:rPr>
            </w:pPr>
            <w:r w:rsidRPr="006D1212">
              <w:rPr>
                <w:szCs w:val="28"/>
              </w:rPr>
              <w:t>б) собственные средства государственного унитарного предприятия «Приднестровье-</w:t>
            </w:r>
            <w:r w:rsidRPr="006D1212">
              <w:rPr>
                <w:szCs w:val="28"/>
              </w:rPr>
              <w:lastRenderedPageBreak/>
              <w:t xml:space="preserve">лес» (от реализации древесины запланированных рубок </w:t>
            </w:r>
            <w:r w:rsidRPr="006D1212">
              <w:rPr>
                <w:szCs w:val="28"/>
              </w:rPr>
              <w:br/>
              <w:t xml:space="preserve">на лесных площадях под </w:t>
            </w:r>
            <w:proofErr w:type="spellStart"/>
            <w:r w:rsidRPr="006D1212">
              <w:rPr>
                <w:szCs w:val="28"/>
              </w:rPr>
              <w:t>лесовосстановление</w:t>
            </w:r>
            <w:proofErr w:type="spellEnd"/>
            <w:r w:rsidRPr="006D1212">
              <w:rPr>
                <w:szCs w:val="28"/>
              </w:rPr>
              <w:t>) 6 000 000 рублей</w:t>
            </w:r>
          </w:p>
        </w:tc>
      </w:tr>
    </w:tbl>
    <w:p w:rsidR="006D1212" w:rsidRPr="006D1212" w:rsidRDefault="006D1212" w:rsidP="006D1212">
      <w:pPr>
        <w:ind w:left="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6D1212" w:rsidRPr="006D1212" w:rsidTr="00EB480D">
        <w:tc>
          <w:tcPr>
            <w:tcW w:w="4811" w:type="dxa"/>
            <w:shd w:val="clear" w:color="auto" w:fill="auto"/>
          </w:tcPr>
          <w:p w:rsidR="006D1212" w:rsidRPr="006D1212" w:rsidRDefault="006D1212" w:rsidP="006D1212">
            <w:pPr>
              <w:ind w:left="0"/>
            </w:pPr>
            <w:r w:rsidRPr="006D1212">
              <w:t>Действующая редакция</w:t>
            </w:r>
          </w:p>
        </w:tc>
        <w:tc>
          <w:tcPr>
            <w:tcW w:w="4817" w:type="dxa"/>
            <w:shd w:val="clear" w:color="auto" w:fill="auto"/>
          </w:tcPr>
          <w:p w:rsidR="006D1212" w:rsidRPr="006D1212" w:rsidRDefault="006D1212" w:rsidP="006D1212">
            <w:pPr>
              <w:ind w:left="0"/>
            </w:pPr>
            <w:r w:rsidRPr="006D1212">
              <w:t>Предлагаемая редакция</w:t>
            </w:r>
          </w:p>
        </w:tc>
      </w:tr>
      <w:tr w:rsidR="006D1212" w:rsidRPr="006D1212" w:rsidTr="00EB480D">
        <w:tc>
          <w:tcPr>
            <w:tcW w:w="4811" w:type="dxa"/>
            <w:shd w:val="clear" w:color="auto" w:fill="auto"/>
          </w:tcPr>
          <w:p w:rsidR="006D1212" w:rsidRPr="006D1212" w:rsidRDefault="006D1212" w:rsidP="006D1212">
            <w:pPr>
              <w:ind w:left="0"/>
            </w:pPr>
            <w:r w:rsidRPr="006D1212">
              <w:t>6. Финансовое обеспечение Государственной программы</w:t>
            </w:r>
          </w:p>
          <w:p w:rsidR="006D1212" w:rsidRPr="006D1212" w:rsidRDefault="006D1212" w:rsidP="006D1212">
            <w:pPr>
              <w:ind w:left="0"/>
            </w:pPr>
            <w:r w:rsidRPr="006D1212">
              <w:t>…...</w:t>
            </w:r>
          </w:p>
          <w:p w:rsidR="006D1212" w:rsidRPr="006D1212" w:rsidRDefault="006D1212" w:rsidP="006D1212">
            <w:pPr>
              <w:ind w:left="0"/>
            </w:pPr>
            <w:r w:rsidRPr="006D1212">
              <w:t>а) из Республиканского экологического фонда Приднестровской Молдавской Республики – 16 672 195 рублей;</w:t>
            </w:r>
          </w:p>
          <w:p w:rsidR="006D1212" w:rsidRPr="006D1212" w:rsidRDefault="006D1212" w:rsidP="006D1212">
            <w:pPr>
              <w:ind w:left="0"/>
            </w:pPr>
            <w:r w:rsidRPr="006D1212">
              <w:t>…...</w:t>
            </w:r>
          </w:p>
        </w:tc>
        <w:tc>
          <w:tcPr>
            <w:tcW w:w="4817" w:type="dxa"/>
            <w:shd w:val="clear" w:color="auto" w:fill="auto"/>
          </w:tcPr>
          <w:p w:rsidR="006D1212" w:rsidRPr="006D1212" w:rsidRDefault="006D1212" w:rsidP="006D1212">
            <w:pPr>
              <w:ind w:left="0"/>
            </w:pPr>
            <w:r w:rsidRPr="006D1212">
              <w:t>6. Финансовое обеспечение Государственной программы</w:t>
            </w:r>
          </w:p>
          <w:p w:rsidR="006D1212" w:rsidRPr="006D1212" w:rsidRDefault="006D1212" w:rsidP="006D1212">
            <w:pPr>
              <w:ind w:left="0"/>
            </w:pPr>
            <w:r w:rsidRPr="006D1212">
              <w:t>…...</w:t>
            </w:r>
          </w:p>
          <w:p w:rsidR="006D1212" w:rsidRPr="006D1212" w:rsidRDefault="006D1212" w:rsidP="006D1212">
            <w:pPr>
              <w:ind w:left="0"/>
            </w:pPr>
            <w:r w:rsidRPr="006D1212">
              <w:t xml:space="preserve">а) </w:t>
            </w:r>
            <w:r w:rsidRPr="006D1212">
              <w:rPr>
                <w:b/>
              </w:rPr>
              <w:t>из средств республиканского бюджета,</w:t>
            </w:r>
            <w:r w:rsidRPr="006D1212">
              <w:t xml:space="preserve"> Республиканского экологического фонда Приднестровской Молдавской Республики – 16 672 195 рублей;</w:t>
            </w:r>
          </w:p>
          <w:p w:rsidR="006D1212" w:rsidRPr="006D1212" w:rsidRDefault="006D1212" w:rsidP="006D1212">
            <w:pPr>
              <w:ind w:left="0"/>
            </w:pPr>
            <w:r w:rsidRPr="006D1212">
              <w:t>…...</w:t>
            </w:r>
          </w:p>
        </w:tc>
      </w:tr>
      <w:tr w:rsidR="006D1212" w:rsidRPr="006D1212" w:rsidTr="00EB480D">
        <w:tc>
          <w:tcPr>
            <w:tcW w:w="4811" w:type="dxa"/>
            <w:shd w:val="clear" w:color="auto" w:fill="auto"/>
          </w:tcPr>
          <w:p w:rsidR="006D1212" w:rsidRPr="006D1212" w:rsidRDefault="006D1212" w:rsidP="006D1212">
            <w:pPr>
              <w:ind w:left="0"/>
            </w:pPr>
            <w:r w:rsidRPr="006D1212">
              <w:t xml:space="preserve">8. Механизм реализации Государственной программы, </w:t>
            </w:r>
          </w:p>
          <w:p w:rsidR="006D1212" w:rsidRPr="006D1212" w:rsidRDefault="006D1212" w:rsidP="006D1212">
            <w:pPr>
              <w:ind w:left="0"/>
            </w:pPr>
            <w:r w:rsidRPr="006D1212">
              <w:t>контроль и ответственность исполнителей</w:t>
            </w:r>
          </w:p>
          <w:p w:rsidR="006D1212" w:rsidRPr="006D1212" w:rsidRDefault="006D1212" w:rsidP="006D1212">
            <w:pPr>
              <w:ind w:left="0"/>
            </w:pPr>
            <w:r w:rsidRPr="006D1212">
              <w:t>…...</w:t>
            </w:r>
          </w:p>
          <w:p w:rsidR="006D1212" w:rsidRPr="006D1212" w:rsidRDefault="006D1212" w:rsidP="006D1212">
            <w:pPr>
              <w:ind w:left="0"/>
            </w:pPr>
            <w:r w:rsidRPr="006D1212">
              <w:t>Реализацию Государственной программы осуществляет Министерство сельского хозяйства и природных ресурсов Приднестровской Молдавской Республики и государственное унитарное предприятие «Приднестровье-лес».</w:t>
            </w:r>
          </w:p>
          <w:p w:rsidR="006D1212" w:rsidRPr="006D1212" w:rsidRDefault="006D1212" w:rsidP="006D1212">
            <w:pPr>
              <w:ind w:left="0"/>
            </w:pPr>
            <w:r w:rsidRPr="006D1212">
              <w:t>…….</w:t>
            </w:r>
          </w:p>
          <w:p w:rsidR="006D1212" w:rsidRPr="006D1212" w:rsidRDefault="006D1212" w:rsidP="006D1212">
            <w:pPr>
              <w:ind w:left="0"/>
            </w:pPr>
          </w:p>
          <w:p w:rsidR="006D1212" w:rsidRPr="006D1212" w:rsidRDefault="006D1212" w:rsidP="006D1212">
            <w:pPr>
              <w:ind w:left="0"/>
            </w:pPr>
            <w:r w:rsidRPr="006D1212">
              <w:t>Ответственность за целевое и эффективное использование денежных средств в рамках реализации программных мероприятий несет Министерство сельского хозяйства и природных ресурсов Приднестровской Молдавской Республики.</w:t>
            </w:r>
          </w:p>
        </w:tc>
        <w:tc>
          <w:tcPr>
            <w:tcW w:w="4817" w:type="dxa"/>
            <w:shd w:val="clear" w:color="auto" w:fill="auto"/>
          </w:tcPr>
          <w:p w:rsidR="006D1212" w:rsidRPr="006D1212" w:rsidRDefault="006D1212" w:rsidP="006D1212">
            <w:pPr>
              <w:ind w:left="0"/>
            </w:pPr>
            <w:r w:rsidRPr="006D1212">
              <w:t xml:space="preserve">8. Механизм реализации Государственной программы, </w:t>
            </w:r>
          </w:p>
          <w:p w:rsidR="006D1212" w:rsidRPr="006D1212" w:rsidRDefault="006D1212" w:rsidP="006D1212">
            <w:pPr>
              <w:ind w:left="0"/>
            </w:pPr>
            <w:r w:rsidRPr="006D1212">
              <w:t>контроль и ответственность исполнителей</w:t>
            </w:r>
          </w:p>
          <w:p w:rsidR="006D1212" w:rsidRPr="006D1212" w:rsidRDefault="006D1212" w:rsidP="006D1212">
            <w:pPr>
              <w:ind w:left="0"/>
            </w:pPr>
            <w:r w:rsidRPr="006D1212">
              <w:t>……</w:t>
            </w:r>
          </w:p>
          <w:p w:rsidR="006D1212" w:rsidRPr="006D1212" w:rsidRDefault="006D1212" w:rsidP="006D1212">
            <w:pPr>
              <w:ind w:left="0"/>
            </w:pPr>
            <w:r w:rsidRPr="006D1212">
              <w:t xml:space="preserve">Реализацию Государственной программы осуществляет </w:t>
            </w:r>
            <w:r w:rsidRPr="006D1212">
              <w:rPr>
                <w:b/>
              </w:rPr>
              <w:t>Государственная служба экологического контроля и охраны окружающей среды</w:t>
            </w:r>
            <w:r w:rsidRPr="006D1212">
              <w:t xml:space="preserve"> </w:t>
            </w:r>
            <w:r w:rsidRPr="006D1212">
              <w:rPr>
                <w:b/>
              </w:rPr>
              <w:t>Приднестровской Молдавской Республики</w:t>
            </w:r>
            <w:r w:rsidRPr="006D1212">
              <w:t xml:space="preserve"> и государственное унитарное предприятие «Приднестровье-лес».</w:t>
            </w:r>
          </w:p>
          <w:p w:rsidR="006D1212" w:rsidRPr="006D1212" w:rsidRDefault="006D1212" w:rsidP="006D1212">
            <w:pPr>
              <w:ind w:left="0"/>
            </w:pPr>
            <w:r w:rsidRPr="006D1212">
              <w:t>……</w:t>
            </w:r>
          </w:p>
          <w:p w:rsidR="006D1212" w:rsidRPr="006D1212" w:rsidRDefault="006D1212" w:rsidP="006D1212">
            <w:pPr>
              <w:ind w:left="0"/>
            </w:pPr>
            <w:r w:rsidRPr="006D1212">
              <w:t xml:space="preserve">Ответственность за целевое и эффективное использование денежных средств в рамках реализации программных мероприятий несет </w:t>
            </w:r>
            <w:r w:rsidRPr="006D1212">
              <w:rPr>
                <w:b/>
              </w:rPr>
              <w:t>Государственная служба экологического контроля и охраны окружающей среды</w:t>
            </w:r>
            <w:r w:rsidRPr="006D1212">
              <w:t xml:space="preserve"> </w:t>
            </w:r>
            <w:r w:rsidRPr="006D1212">
              <w:rPr>
                <w:b/>
              </w:rPr>
              <w:t>Приднестровской Молдавской Республики.</w:t>
            </w:r>
          </w:p>
        </w:tc>
      </w:tr>
      <w:tr w:rsidR="006D1212" w:rsidRPr="006D1212" w:rsidTr="00EB480D">
        <w:tc>
          <w:tcPr>
            <w:tcW w:w="4811" w:type="dxa"/>
            <w:shd w:val="clear" w:color="auto" w:fill="auto"/>
          </w:tcPr>
          <w:p w:rsidR="006D1212" w:rsidRPr="006D1212" w:rsidRDefault="006D1212" w:rsidP="006D1212">
            <w:pPr>
              <w:ind w:left="0"/>
            </w:pPr>
            <w:r w:rsidRPr="006D1212">
              <w:t>9. Права и обязанности ответственного исполнителя Государственной программы</w:t>
            </w:r>
          </w:p>
          <w:p w:rsidR="006D1212" w:rsidRPr="006D1212" w:rsidRDefault="006D1212" w:rsidP="006D1212">
            <w:pPr>
              <w:ind w:left="0"/>
            </w:pPr>
            <w:r w:rsidRPr="006D1212">
              <w:t>…..</w:t>
            </w:r>
          </w:p>
          <w:p w:rsidR="006D1212" w:rsidRPr="006D1212" w:rsidRDefault="006D1212" w:rsidP="006D1212">
            <w:pPr>
              <w:ind w:left="0"/>
            </w:pPr>
            <w:r w:rsidRPr="006D1212">
              <w:t>Ответственный исполнитель Государственной программы (Министерство сельского хозяйства и природных ресурсов Приднестровской Молдавской Республики) обязан координировать деятельность ответственного исполнителя Государственной программы (государственного унитарного предприятия «Приднестровье-лес») по реализации мероприятий.</w:t>
            </w:r>
          </w:p>
        </w:tc>
        <w:tc>
          <w:tcPr>
            <w:tcW w:w="4817" w:type="dxa"/>
            <w:shd w:val="clear" w:color="auto" w:fill="auto"/>
          </w:tcPr>
          <w:p w:rsidR="006D1212" w:rsidRPr="006D1212" w:rsidRDefault="006D1212" w:rsidP="006D1212">
            <w:pPr>
              <w:ind w:left="0"/>
            </w:pPr>
            <w:r w:rsidRPr="006D1212">
              <w:t>9. Права и обязанности ответственного исполнителя Государственной программы</w:t>
            </w:r>
          </w:p>
          <w:p w:rsidR="006D1212" w:rsidRPr="006D1212" w:rsidRDefault="006D1212" w:rsidP="006D1212">
            <w:pPr>
              <w:ind w:left="0"/>
            </w:pPr>
            <w:r w:rsidRPr="006D1212">
              <w:t>……</w:t>
            </w:r>
          </w:p>
          <w:p w:rsidR="006D1212" w:rsidRPr="006D1212" w:rsidRDefault="006D1212" w:rsidP="006D1212">
            <w:pPr>
              <w:ind w:left="0"/>
            </w:pPr>
            <w:r w:rsidRPr="006D1212">
              <w:t>Ответственный исполнитель Государственной программы (</w:t>
            </w:r>
            <w:r w:rsidRPr="006D1212">
              <w:rPr>
                <w:b/>
              </w:rPr>
              <w:t>Государственная служба экологического контроля и охраны окружающей среды</w:t>
            </w:r>
            <w:r w:rsidRPr="006D1212">
              <w:t xml:space="preserve"> </w:t>
            </w:r>
            <w:r w:rsidRPr="006D1212">
              <w:rPr>
                <w:b/>
              </w:rPr>
              <w:t>Приднестровской Молдавской Республики</w:t>
            </w:r>
            <w:r w:rsidRPr="006D1212">
              <w:t>) обязан координировать деятельность ответственного исполнителя Государственной программы (государственного унитарного предприятия «Приднестровье-лес») по реализации мероприятий.</w:t>
            </w:r>
          </w:p>
        </w:tc>
      </w:tr>
    </w:tbl>
    <w:p w:rsidR="006D1212" w:rsidRPr="006D1212" w:rsidRDefault="006D1212" w:rsidP="006D1212">
      <w:pPr>
        <w:ind w:left="0"/>
        <w:jc w:val="left"/>
      </w:pPr>
    </w:p>
    <w:p w:rsidR="006D1212" w:rsidRPr="006D1212" w:rsidRDefault="006D1212" w:rsidP="006D1212">
      <w:pPr>
        <w:ind w:left="0"/>
        <w:jc w:val="center"/>
      </w:pPr>
    </w:p>
    <w:p w:rsidR="006D1212" w:rsidRPr="006D1212" w:rsidRDefault="006D1212" w:rsidP="006D1212">
      <w:pPr>
        <w:ind w:left="0"/>
        <w:jc w:val="center"/>
      </w:pPr>
    </w:p>
    <w:p w:rsidR="006D1212" w:rsidRPr="006D1212" w:rsidRDefault="006D1212" w:rsidP="006D1212">
      <w:pPr>
        <w:ind w:left="0"/>
        <w:jc w:val="center"/>
      </w:pPr>
    </w:p>
    <w:p w:rsidR="006D1212" w:rsidRPr="006D1212" w:rsidRDefault="006D1212" w:rsidP="006D1212">
      <w:pPr>
        <w:ind w:left="0"/>
        <w:jc w:val="center"/>
      </w:pPr>
    </w:p>
    <w:p w:rsidR="006D1212" w:rsidRPr="006D1212" w:rsidRDefault="006D1212" w:rsidP="006D1212">
      <w:pPr>
        <w:ind w:left="0"/>
        <w:jc w:val="center"/>
      </w:pPr>
    </w:p>
    <w:p w:rsidR="006D1212" w:rsidRPr="006D1212" w:rsidRDefault="006D1212" w:rsidP="00EB480D">
      <w:pPr>
        <w:ind w:left="0"/>
        <w:jc w:val="center"/>
      </w:pPr>
      <w:r w:rsidRPr="006D1212">
        <w:t>Действующая редакция</w:t>
      </w:r>
      <w:bookmarkStart w:id="0" w:name="_GoBack"/>
      <w:bookmarkEnd w:id="0"/>
    </w:p>
    <w:p w:rsidR="006D1212" w:rsidRPr="006D1212" w:rsidRDefault="006D1212" w:rsidP="006D1212">
      <w:pPr>
        <w:ind w:left="0"/>
        <w:jc w:val="left"/>
      </w:pPr>
    </w:p>
    <w:p w:rsidR="006D1212" w:rsidRPr="006D1212" w:rsidRDefault="006D1212" w:rsidP="006D1212">
      <w:pPr>
        <w:ind w:left="0"/>
        <w:jc w:val="right"/>
      </w:pPr>
      <w:r w:rsidRPr="006D1212">
        <w:t>Таблица № 3</w:t>
      </w:r>
    </w:p>
    <w:p w:rsidR="006D1212" w:rsidRPr="006D1212" w:rsidRDefault="006D1212" w:rsidP="006D1212">
      <w:pPr>
        <w:ind w:left="0"/>
        <w:jc w:val="center"/>
      </w:pPr>
    </w:p>
    <w:p w:rsidR="006D1212" w:rsidRPr="006D1212" w:rsidRDefault="006D1212" w:rsidP="006D1212">
      <w:pPr>
        <w:ind w:left="0"/>
        <w:jc w:val="center"/>
      </w:pPr>
      <w:r w:rsidRPr="006D1212">
        <w:t>Приобретение машин и механизмов</w:t>
      </w:r>
    </w:p>
    <w:p w:rsidR="006D1212" w:rsidRPr="006D1212" w:rsidRDefault="006D1212" w:rsidP="006D1212">
      <w:pPr>
        <w:ind w:left="0"/>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04"/>
        <w:gridCol w:w="1843"/>
        <w:gridCol w:w="1701"/>
        <w:gridCol w:w="2551"/>
      </w:tblGrid>
      <w:tr w:rsidR="006D1212" w:rsidRPr="006D1212" w:rsidTr="004C3C5C">
        <w:tc>
          <w:tcPr>
            <w:tcW w:w="648" w:type="dxa"/>
            <w:shd w:val="clear" w:color="auto" w:fill="auto"/>
          </w:tcPr>
          <w:p w:rsidR="006D1212" w:rsidRPr="006D1212" w:rsidRDefault="006D1212" w:rsidP="006D1212">
            <w:pPr>
              <w:ind w:left="0"/>
              <w:jc w:val="center"/>
            </w:pPr>
            <w:r w:rsidRPr="006D1212">
              <w:t>№ п/п</w:t>
            </w:r>
          </w:p>
        </w:tc>
        <w:tc>
          <w:tcPr>
            <w:tcW w:w="3004" w:type="dxa"/>
            <w:shd w:val="clear" w:color="auto" w:fill="auto"/>
            <w:vAlign w:val="center"/>
          </w:tcPr>
          <w:p w:rsidR="006D1212" w:rsidRPr="006D1212" w:rsidRDefault="006D1212" w:rsidP="006D1212">
            <w:pPr>
              <w:ind w:left="0"/>
              <w:jc w:val="center"/>
            </w:pPr>
            <w:r w:rsidRPr="006D1212">
              <w:t>Наименование</w:t>
            </w:r>
          </w:p>
        </w:tc>
        <w:tc>
          <w:tcPr>
            <w:tcW w:w="1843" w:type="dxa"/>
            <w:shd w:val="clear" w:color="auto" w:fill="auto"/>
            <w:vAlign w:val="center"/>
          </w:tcPr>
          <w:p w:rsidR="006D1212" w:rsidRPr="006D1212" w:rsidRDefault="006D1212" w:rsidP="006D1212">
            <w:pPr>
              <w:ind w:left="0"/>
              <w:jc w:val="center"/>
            </w:pPr>
            <w:r w:rsidRPr="006D1212">
              <w:t xml:space="preserve">Стоимость </w:t>
            </w:r>
          </w:p>
          <w:p w:rsidR="006D1212" w:rsidRPr="006D1212" w:rsidRDefault="006D1212" w:rsidP="006D1212">
            <w:pPr>
              <w:ind w:left="0"/>
              <w:jc w:val="center"/>
            </w:pPr>
            <w:r w:rsidRPr="006D1212">
              <w:t>за единицу, руб.</w:t>
            </w:r>
          </w:p>
        </w:tc>
        <w:tc>
          <w:tcPr>
            <w:tcW w:w="1701" w:type="dxa"/>
            <w:shd w:val="clear" w:color="auto" w:fill="auto"/>
            <w:vAlign w:val="center"/>
          </w:tcPr>
          <w:p w:rsidR="006D1212" w:rsidRPr="006D1212" w:rsidRDefault="006D1212" w:rsidP="006D1212">
            <w:pPr>
              <w:ind w:left="0"/>
              <w:jc w:val="center"/>
            </w:pPr>
            <w:r w:rsidRPr="006D1212">
              <w:t>Количество, единица</w:t>
            </w:r>
          </w:p>
        </w:tc>
        <w:tc>
          <w:tcPr>
            <w:tcW w:w="2551" w:type="dxa"/>
            <w:shd w:val="clear" w:color="auto" w:fill="auto"/>
            <w:vAlign w:val="center"/>
          </w:tcPr>
          <w:p w:rsidR="006D1212" w:rsidRPr="006D1212" w:rsidRDefault="006D1212" w:rsidP="006D1212">
            <w:pPr>
              <w:ind w:left="0"/>
              <w:jc w:val="center"/>
            </w:pPr>
            <w:r w:rsidRPr="006D1212">
              <w:t>Общая стоимость, руб.</w:t>
            </w:r>
          </w:p>
        </w:tc>
      </w:tr>
      <w:tr w:rsidR="006D1212" w:rsidRPr="006D1212" w:rsidTr="004C3C5C">
        <w:tc>
          <w:tcPr>
            <w:tcW w:w="648" w:type="dxa"/>
            <w:shd w:val="clear" w:color="auto" w:fill="auto"/>
          </w:tcPr>
          <w:p w:rsidR="006D1212" w:rsidRPr="006D1212" w:rsidRDefault="006D1212" w:rsidP="006D1212">
            <w:pPr>
              <w:ind w:left="0"/>
              <w:jc w:val="center"/>
            </w:pPr>
            <w:r w:rsidRPr="006D1212">
              <w:t>1.</w:t>
            </w:r>
          </w:p>
        </w:tc>
        <w:tc>
          <w:tcPr>
            <w:tcW w:w="3004" w:type="dxa"/>
            <w:shd w:val="clear" w:color="auto" w:fill="auto"/>
          </w:tcPr>
          <w:p w:rsidR="006D1212" w:rsidRPr="006D1212" w:rsidRDefault="006D1212" w:rsidP="006D1212">
            <w:pPr>
              <w:ind w:left="0"/>
              <w:jc w:val="left"/>
            </w:pPr>
            <w:r w:rsidRPr="006D1212">
              <w:t>Трактор МТЗ-82</w:t>
            </w:r>
          </w:p>
        </w:tc>
        <w:tc>
          <w:tcPr>
            <w:tcW w:w="1843" w:type="dxa"/>
            <w:shd w:val="clear" w:color="auto" w:fill="auto"/>
          </w:tcPr>
          <w:p w:rsidR="006D1212" w:rsidRPr="006D1212" w:rsidRDefault="006D1212" w:rsidP="006D1212">
            <w:pPr>
              <w:ind w:left="0"/>
              <w:jc w:val="center"/>
            </w:pPr>
            <w:r w:rsidRPr="006D1212">
              <w:t>341 000</w:t>
            </w:r>
          </w:p>
        </w:tc>
        <w:tc>
          <w:tcPr>
            <w:tcW w:w="1701" w:type="dxa"/>
            <w:shd w:val="clear" w:color="auto" w:fill="auto"/>
          </w:tcPr>
          <w:p w:rsidR="006D1212" w:rsidRPr="006D1212" w:rsidRDefault="006D1212" w:rsidP="006D1212">
            <w:pPr>
              <w:ind w:left="0"/>
              <w:jc w:val="center"/>
            </w:pPr>
            <w:r w:rsidRPr="006D1212">
              <w:t>2</w:t>
            </w:r>
          </w:p>
        </w:tc>
        <w:tc>
          <w:tcPr>
            <w:tcW w:w="2551" w:type="dxa"/>
            <w:shd w:val="clear" w:color="auto" w:fill="auto"/>
          </w:tcPr>
          <w:p w:rsidR="006D1212" w:rsidRPr="006D1212" w:rsidRDefault="006D1212" w:rsidP="006D1212">
            <w:pPr>
              <w:ind w:left="0"/>
              <w:jc w:val="center"/>
            </w:pPr>
            <w:r w:rsidRPr="006D1212">
              <w:t>682 000</w:t>
            </w:r>
          </w:p>
        </w:tc>
      </w:tr>
      <w:tr w:rsidR="006D1212" w:rsidRPr="006D1212" w:rsidTr="004C3C5C">
        <w:tc>
          <w:tcPr>
            <w:tcW w:w="648" w:type="dxa"/>
            <w:shd w:val="clear" w:color="auto" w:fill="auto"/>
          </w:tcPr>
          <w:p w:rsidR="006D1212" w:rsidRPr="006D1212" w:rsidRDefault="006D1212" w:rsidP="006D1212">
            <w:pPr>
              <w:ind w:left="0"/>
              <w:jc w:val="center"/>
            </w:pPr>
            <w:r w:rsidRPr="006D1212">
              <w:t>2.</w:t>
            </w:r>
          </w:p>
        </w:tc>
        <w:tc>
          <w:tcPr>
            <w:tcW w:w="3004" w:type="dxa"/>
            <w:shd w:val="clear" w:color="auto" w:fill="auto"/>
          </w:tcPr>
          <w:p w:rsidR="006D1212" w:rsidRPr="006D1212" w:rsidRDefault="006D1212" w:rsidP="006D1212">
            <w:pPr>
              <w:ind w:left="0"/>
              <w:jc w:val="left"/>
            </w:pPr>
            <w:proofErr w:type="spellStart"/>
            <w:r w:rsidRPr="006D1212">
              <w:t>Мульчер</w:t>
            </w:r>
            <w:proofErr w:type="spellEnd"/>
            <w:r w:rsidRPr="006D1212">
              <w:t xml:space="preserve"> МЛ-1,5</w:t>
            </w:r>
          </w:p>
        </w:tc>
        <w:tc>
          <w:tcPr>
            <w:tcW w:w="1843" w:type="dxa"/>
            <w:shd w:val="clear" w:color="auto" w:fill="auto"/>
          </w:tcPr>
          <w:p w:rsidR="006D1212" w:rsidRPr="006D1212" w:rsidRDefault="006D1212" w:rsidP="006D1212">
            <w:pPr>
              <w:ind w:left="0"/>
              <w:jc w:val="center"/>
            </w:pPr>
            <w:r w:rsidRPr="006D1212">
              <w:t>77 500</w:t>
            </w:r>
          </w:p>
        </w:tc>
        <w:tc>
          <w:tcPr>
            <w:tcW w:w="1701" w:type="dxa"/>
            <w:shd w:val="clear" w:color="auto" w:fill="auto"/>
          </w:tcPr>
          <w:p w:rsidR="006D1212" w:rsidRPr="006D1212" w:rsidRDefault="006D1212" w:rsidP="006D1212">
            <w:pPr>
              <w:ind w:left="0"/>
              <w:jc w:val="center"/>
            </w:pPr>
            <w:r w:rsidRPr="006D1212">
              <w:t>2</w:t>
            </w:r>
          </w:p>
        </w:tc>
        <w:tc>
          <w:tcPr>
            <w:tcW w:w="2551" w:type="dxa"/>
            <w:shd w:val="clear" w:color="auto" w:fill="auto"/>
          </w:tcPr>
          <w:p w:rsidR="006D1212" w:rsidRPr="006D1212" w:rsidRDefault="006D1212" w:rsidP="006D1212">
            <w:pPr>
              <w:ind w:left="0"/>
              <w:jc w:val="center"/>
            </w:pPr>
            <w:r w:rsidRPr="006D1212">
              <w:t>155 000</w:t>
            </w:r>
          </w:p>
        </w:tc>
      </w:tr>
      <w:tr w:rsidR="006D1212" w:rsidRPr="006D1212" w:rsidTr="004C3C5C">
        <w:tc>
          <w:tcPr>
            <w:tcW w:w="648" w:type="dxa"/>
            <w:shd w:val="clear" w:color="auto" w:fill="auto"/>
          </w:tcPr>
          <w:p w:rsidR="006D1212" w:rsidRPr="006D1212" w:rsidRDefault="006D1212" w:rsidP="006D1212">
            <w:pPr>
              <w:ind w:left="0"/>
              <w:jc w:val="center"/>
            </w:pPr>
            <w:r w:rsidRPr="006D1212">
              <w:t>3.</w:t>
            </w:r>
          </w:p>
        </w:tc>
        <w:tc>
          <w:tcPr>
            <w:tcW w:w="3004" w:type="dxa"/>
            <w:shd w:val="clear" w:color="auto" w:fill="auto"/>
          </w:tcPr>
          <w:p w:rsidR="006D1212" w:rsidRPr="006D1212" w:rsidRDefault="006D1212" w:rsidP="006D1212">
            <w:pPr>
              <w:ind w:left="0"/>
            </w:pPr>
            <w:r w:rsidRPr="006D1212">
              <w:t>Механизм для понижения пней ДЭМ-121</w:t>
            </w:r>
          </w:p>
        </w:tc>
        <w:tc>
          <w:tcPr>
            <w:tcW w:w="1843" w:type="dxa"/>
            <w:shd w:val="clear" w:color="auto" w:fill="auto"/>
            <w:vAlign w:val="center"/>
          </w:tcPr>
          <w:p w:rsidR="006D1212" w:rsidRPr="006D1212" w:rsidRDefault="006D1212" w:rsidP="006D1212">
            <w:pPr>
              <w:ind w:left="0"/>
              <w:jc w:val="center"/>
            </w:pPr>
            <w:r w:rsidRPr="006D1212">
              <w:t>108 500</w:t>
            </w:r>
          </w:p>
        </w:tc>
        <w:tc>
          <w:tcPr>
            <w:tcW w:w="1701" w:type="dxa"/>
            <w:shd w:val="clear" w:color="auto" w:fill="auto"/>
            <w:vAlign w:val="center"/>
          </w:tcPr>
          <w:p w:rsidR="006D1212" w:rsidRPr="006D1212" w:rsidRDefault="006D1212" w:rsidP="006D1212">
            <w:pPr>
              <w:ind w:left="0"/>
              <w:jc w:val="center"/>
            </w:pPr>
            <w:r w:rsidRPr="006D1212">
              <w:t>2</w:t>
            </w:r>
          </w:p>
        </w:tc>
        <w:tc>
          <w:tcPr>
            <w:tcW w:w="2551" w:type="dxa"/>
            <w:shd w:val="clear" w:color="auto" w:fill="auto"/>
            <w:vAlign w:val="center"/>
          </w:tcPr>
          <w:p w:rsidR="006D1212" w:rsidRPr="006D1212" w:rsidRDefault="006D1212" w:rsidP="006D1212">
            <w:pPr>
              <w:ind w:left="0"/>
              <w:jc w:val="center"/>
            </w:pPr>
            <w:r w:rsidRPr="006D1212">
              <w:t>217 000</w:t>
            </w:r>
          </w:p>
        </w:tc>
      </w:tr>
      <w:tr w:rsidR="006D1212" w:rsidRPr="006D1212" w:rsidTr="004C3C5C">
        <w:tc>
          <w:tcPr>
            <w:tcW w:w="5495" w:type="dxa"/>
            <w:gridSpan w:val="3"/>
            <w:shd w:val="clear" w:color="auto" w:fill="auto"/>
          </w:tcPr>
          <w:p w:rsidR="006D1212" w:rsidRPr="006D1212" w:rsidRDefault="006D1212" w:rsidP="006D1212">
            <w:pPr>
              <w:ind w:left="0"/>
              <w:jc w:val="left"/>
            </w:pPr>
            <w:r w:rsidRPr="006D1212">
              <w:t>Итого</w:t>
            </w:r>
          </w:p>
        </w:tc>
        <w:tc>
          <w:tcPr>
            <w:tcW w:w="1701" w:type="dxa"/>
            <w:shd w:val="clear" w:color="auto" w:fill="auto"/>
          </w:tcPr>
          <w:p w:rsidR="006D1212" w:rsidRPr="006D1212" w:rsidRDefault="006D1212" w:rsidP="006D1212">
            <w:pPr>
              <w:ind w:left="0"/>
              <w:jc w:val="left"/>
            </w:pPr>
          </w:p>
        </w:tc>
        <w:tc>
          <w:tcPr>
            <w:tcW w:w="2551" w:type="dxa"/>
            <w:shd w:val="clear" w:color="auto" w:fill="auto"/>
          </w:tcPr>
          <w:p w:rsidR="006D1212" w:rsidRPr="006D1212" w:rsidRDefault="006D1212" w:rsidP="006D1212">
            <w:pPr>
              <w:ind w:left="0"/>
              <w:jc w:val="center"/>
            </w:pPr>
            <w:r w:rsidRPr="006D1212">
              <w:t>1 054 000</w:t>
            </w:r>
          </w:p>
        </w:tc>
      </w:tr>
    </w:tbl>
    <w:p w:rsidR="006D1212" w:rsidRPr="006D1212" w:rsidRDefault="006D1212" w:rsidP="006D1212">
      <w:pPr>
        <w:ind w:left="0"/>
        <w:jc w:val="left"/>
      </w:pPr>
    </w:p>
    <w:p w:rsidR="006D1212" w:rsidRPr="006D1212" w:rsidRDefault="006D1212" w:rsidP="006D1212">
      <w:pPr>
        <w:ind w:left="0"/>
        <w:jc w:val="center"/>
      </w:pPr>
      <w:r w:rsidRPr="006D1212">
        <w:t>Предлагаемая редакция</w:t>
      </w:r>
    </w:p>
    <w:p w:rsidR="006D1212" w:rsidRPr="006D1212" w:rsidRDefault="006D1212" w:rsidP="006D1212">
      <w:pPr>
        <w:ind w:left="0"/>
        <w:jc w:val="left"/>
      </w:pPr>
    </w:p>
    <w:p w:rsidR="006D1212" w:rsidRPr="006D1212" w:rsidRDefault="006D1212" w:rsidP="006D1212">
      <w:pPr>
        <w:ind w:left="0" w:right="-127" w:firstLine="709"/>
      </w:pPr>
      <w:r w:rsidRPr="006D1212">
        <w:t xml:space="preserve">                                                                                                                                Таблица № 3</w:t>
      </w:r>
    </w:p>
    <w:p w:rsidR="006D1212" w:rsidRPr="006D1212" w:rsidRDefault="006D1212" w:rsidP="006D1212">
      <w:pPr>
        <w:ind w:left="0" w:right="-127" w:firstLine="709"/>
        <w:jc w:val="center"/>
      </w:pPr>
      <w:r w:rsidRPr="006D1212">
        <w:t>Приобретение машин и механизмов</w:t>
      </w:r>
    </w:p>
    <w:p w:rsidR="006D1212" w:rsidRPr="006D1212" w:rsidRDefault="006D1212" w:rsidP="006D1212">
      <w:pPr>
        <w:ind w:left="0" w:right="-127"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80"/>
        <w:gridCol w:w="1929"/>
        <w:gridCol w:w="1949"/>
        <w:gridCol w:w="1930"/>
      </w:tblGrid>
      <w:tr w:rsidR="006D1212" w:rsidRPr="006D1212" w:rsidTr="004C3C5C">
        <w:tc>
          <w:tcPr>
            <w:tcW w:w="534" w:type="dxa"/>
            <w:shd w:val="clear" w:color="auto" w:fill="auto"/>
          </w:tcPr>
          <w:p w:rsidR="006D1212" w:rsidRPr="006D1212" w:rsidRDefault="006D1212" w:rsidP="006D1212">
            <w:pPr>
              <w:ind w:left="0" w:right="-127"/>
            </w:pPr>
            <w:r w:rsidRPr="006D1212">
              <w:t>№ п/п</w:t>
            </w:r>
          </w:p>
        </w:tc>
        <w:tc>
          <w:tcPr>
            <w:tcW w:w="3470" w:type="dxa"/>
            <w:shd w:val="clear" w:color="auto" w:fill="auto"/>
            <w:vAlign w:val="center"/>
          </w:tcPr>
          <w:p w:rsidR="006D1212" w:rsidRPr="006D1212" w:rsidRDefault="006D1212" w:rsidP="006D1212">
            <w:pPr>
              <w:ind w:left="0"/>
              <w:jc w:val="center"/>
            </w:pPr>
            <w:r w:rsidRPr="006D1212">
              <w:t>Наименование</w:t>
            </w:r>
          </w:p>
        </w:tc>
        <w:tc>
          <w:tcPr>
            <w:tcW w:w="2002" w:type="dxa"/>
            <w:shd w:val="clear" w:color="auto" w:fill="auto"/>
            <w:vAlign w:val="center"/>
          </w:tcPr>
          <w:p w:rsidR="006D1212" w:rsidRPr="006D1212" w:rsidRDefault="006D1212" w:rsidP="006D1212">
            <w:pPr>
              <w:ind w:left="0"/>
              <w:jc w:val="center"/>
            </w:pPr>
            <w:r w:rsidRPr="006D1212">
              <w:t xml:space="preserve">Стоимость </w:t>
            </w:r>
          </w:p>
          <w:p w:rsidR="006D1212" w:rsidRPr="006D1212" w:rsidRDefault="006D1212" w:rsidP="006D1212">
            <w:pPr>
              <w:ind w:left="0"/>
              <w:jc w:val="center"/>
            </w:pPr>
            <w:r w:rsidRPr="006D1212">
              <w:t>за единицу, рублей</w:t>
            </w:r>
          </w:p>
        </w:tc>
        <w:tc>
          <w:tcPr>
            <w:tcW w:w="2003" w:type="dxa"/>
            <w:shd w:val="clear" w:color="auto" w:fill="auto"/>
            <w:vAlign w:val="center"/>
          </w:tcPr>
          <w:p w:rsidR="006D1212" w:rsidRPr="006D1212" w:rsidRDefault="006D1212" w:rsidP="006D1212">
            <w:pPr>
              <w:ind w:left="0"/>
              <w:jc w:val="center"/>
            </w:pPr>
            <w:r w:rsidRPr="006D1212">
              <w:t>Количество, единица</w:t>
            </w:r>
          </w:p>
        </w:tc>
        <w:tc>
          <w:tcPr>
            <w:tcW w:w="2003" w:type="dxa"/>
            <w:shd w:val="clear" w:color="auto" w:fill="auto"/>
            <w:vAlign w:val="center"/>
          </w:tcPr>
          <w:p w:rsidR="006D1212" w:rsidRPr="006D1212" w:rsidRDefault="006D1212" w:rsidP="006D1212">
            <w:pPr>
              <w:ind w:left="0"/>
              <w:jc w:val="center"/>
            </w:pPr>
            <w:r w:rsidRPr="006D1212">
              <w:t>Общая стоимость, рублей</w:t>
            </w:r>
          </w:p>
        </w:tc>
      </w:tr>
      <w:tr w:rsidR="006D1212" w:rsidRPr="006D1212" w:rsidTr="004C3C5C">
        <w:tc>
          <w:tcPr>
            <w:tcW w:w="534" w:type="dxa"/>
            <w:shd w:val="clear" w:color="auto" w:fill="auto"/>
          </w:tcPr>
          <w:p w:rsidR="006D1212" w:rsidRPr="006D1212" w:rsidRDefault="006D1212" w:rsidP="006D1212">
            <w:pPr>
              <w:ind w:left="0" w:right="-127"/>
            </w:pPr>
            <w:r w:rsidRPr="006D1212">
              <w:t>1.</w:t>
            </w:r>
          </w:p>
        </w:tc>
        <w:tc>
          <w:tcPr>
            <w:tcW w:w="3470" w:type="dxa"/>
            <w:shd w:val="clear" w:color="auto" w:fill="auto"/>
          </w:tcPr>
          <w:p w:rsidR="006D1212" w:rsidRPr="006D1212" w:rsidRDefault="006D1212" w:rsidP="006D1212">
            <w:pPr>
              <w:ind w:left="0" w:right="-127"/>
              <w:rPr>
                <w:lang w:val="en-US"/>
              </w:rPr>
            </w:pPr>
            <w:proofErr w:type="spellStart"/>
            <w:r w:rsidRPr="006D1212">
              <w:t>Мульчер</w:t>
            </w:r>
            <w:proofErr w:type="spellEnd"/>
            <w:r w:rsidRPr="006D1212">
              <w:t xml:space="preserve"> </w:t>
            </w:r>
            <w:r w:rsidRPr="006D1212">
              <w:rPr>
                <w:lang w:val="en-US"/>
              </w:rPr>
              <w:t>UM-Forest-140 m</w:t>
            </w:r>
          </w:p>
        </w:tc>
        <w:tc>
          <w:tcPr>
            <w:tcW w:w="2002" w:type="dxa"/>
            <w:shd w:val="clear" w:color="auto" w:fill="auto"/>
          </w:tcPr>
          <w:p w:rsidR="006D1212" w:rsidRPr="006D1212" w:rsidRDefault="006D1212" w:rsidP="006D1212">
            <w:pPr>
              <w:ind w:left="0" w:right="-127"/>
            </w:pPr>
            <w:r w:rsidRPr="006D1212">
              <w:t>175 150</w:t>
            </w:r>
          </w:p>
        </w:tc>
        <w:tc>
          <w:tcPr>
            <w:tcW w:w="2003" w:type="dxa"/>
            <w:shd w:val="clear" w:color="auto" w:fill="auto"/>
          </w:tcPr>
          <w:p w:rsidR="006D1212" w:rsidRPr="006D1212" w:rsidRDefault="006D1212" w:rsidP="006D1212">
            <w:pPr>
              <w:ind w:left="0" w:right="-127"/>
            </w:pPr>
            <w:r w:rsidRPr="006D1212">
              <w:t>1</w:t>
            </w:r>
          </w:p>
        </w:tc>
        <w:tc>
          <w:tcPr>
            <w:tcW w:w="2003" w:type="dxa"/>
            <w:shd w:val="clear" w:color="auto" w:fill="auto"/>
          </w:tcPr>
          <w:p w:rsidR="006D1212" w:rsidRPr="006D1212" w:rsidRDefault="006D1212" w:rsidP="006D1212">
            <w:pPr>
              <w:ind w:left="0" w:right="-127"/>
            </w:pPr>
            <w:r w:rsidRPr="006D1212">
              <w:t>175 150</w:t>
            </w:r>
          </w:p>
        </w:tc>
      </w:tr>
      <w:tr w:rsidR="006D1212" w:rsidRPr="006D1212" w:rsidTr="004C3C5C">
        <w:tc>
          <w:tcPr>
            <w:tcW w:w="534" w:type="dxa"/>
            <w:shd w:val="clear" w:color="auto" w:fill="auto"/>
          </w:tcPr>
          <w:p w:rsidR="006D1212" w:rsidRPr="006D1212" w:rsidRDefault="006D1212" w:rsidP="006D1212">
            <w:pPr>
              <w:ind w:left="0" w:right="-127"/>
            </w:pPr>
            <w:r w:rsidRPr="006D1212">
              <w:t>2.</w:t>
            </w:r>
          </w:p>
        </w:tc>
        <w:tc>
          <w:tcPr>
            <w:tcW w:w="3470" w:type="dxa"/>
            <w:shd w:val="clear" w:color="auto" w:fill="auto"/>
          </w:tcPr>
          <w:p w:rsidR="006D1212" w:rsidRPr="006D1212" w:rsidRDefault="006D1212" w:rsidP="006D1212">
            <w:pPr>
              <w:ind w:left="0" w:right="-127"/>
            </w:pPr>
            <w:r w:rsidRPr="006D1212">
              <w:t>Механизм для понижения пней БЗГТ-400</w:t>
            </w:r>
          </w:p>
        </w:tc>
        <w:tc>
          <w:tcPr>
            <w:tcW w:w="2002" w:type="dxa"/>
            <w:shd w:val="clear" w:color="auto" w:fill="auto"/>
          </w:tcPr>
          <w:p w:rsidR="006D1212" w:rsidRPr="006D1212" w:rsidRDefault="006D1212" w:rsidP="006D1212">
            <w:pPr>
              <w:ind w:left="0" w:right="-127"/>
            </w:pPr>
            <w:r w:rsidRPr="006D1212">
              <w:t>128 850</w:t>
            </w:r>
          </w:p>
        </w:tc>
        <w:tc>
          <w:tcPr>
            <w:tcW w:w="2003" w:type="dxa"/>
            <w:shd w:val="clear" w:color="auto" w:fill="auto"/>
          </w:tcPr>
          <w:p w:rsidR="006D1212" w:rsidRPr="006D1212" w:rsidRDefault="006D1212" w:rsidP="006D1212">
            <w:pPr>
              <w:ind w:left="0" w:right="-127"/>
            </w:pPr>
            <w:r w:rsidRPr="006D1212">
              <w:t>1</w:t>
            </w:r>
          </w:p>
        </w:tc>
        <w:tc>
          <w:tcPr>
            <w:tcW w:w="2003" w:type="dxa"/>
            <w:shd w:val="clear" w:color="auto" w:fill="auto"/>
          </w:tcPr>
          <w:p w:rsidR="006D1212" w:rsidRPr="006D1212" w:rsidRDefault="006D1212" w:rsidP="006D1212">
            <w:pPr>
              <w:ind w:left="0" w:right="-127"/>
            </w:pPr>
            <w:r w:rsidRPr="006D1212">
              <w:t>128 850</w:t>
            </w:r>
          </w:p>
        </w:tc>
      </w:tr>
      <w:tr w:rsidR="006D1212" w:rsidRPr="006D1212" w:rsidTr="004C3C5C">
        <w:tc>
          <w:tcPr>
            <w:tcW w:w="6003" w:type="dxa"/>
            <w:gridSpan w:val="3"/>
            <w:shd w:val="clear" w:color="auto" w:fill="auto"/>
          </w:tcPr>
          <w:p w:rsidR="006D1212" w:rsidRPr="006D1212" w:rsidRDefault="006D1212" w:rsidP="006D1212">
            <w:pPr>
              <w:ind w:left="0" w:right="-127"/>
            </w:pPr>
            <w:r w:rsidRPr="006D1212">
              <w:t>Итого</w:t>
            </w:r>
          </w:p>
        </w:tc>
        <w:tc>
          <w:tcPr>
            <w:tcW w:w="2006" w:type="dxa"/>
            <w:shd w:val="clear" w:color="auto" w:fill="auto"/>
          </w:tcPr>
          <w:p w:rsidR="006D1212" w:rsidRPr="006D1212" w:rsidRDefault="006D1212" w:rsidP="006D1212">
            <w:pPr>
              <w:ind w:left="0" w:right="-127"/>
            </w:pPr>
          </w:p>
        </w:tc>
        <w:tc>
          <w:tcPr>
            <w:tcW w:w="2003" w:type="dxa"/>
            <w:shd w:val="clear" w:color="auto" w:fill="auto"/>
          </w:tcPr>
          <w:p w:rsidR="006D1212" w:rsidRPr="006D1212" w:rsidRDefault="006D1212" w:rsidP="006D1212">
            <w:pPr>
              <w:ind w:left="0" w:right="-127"/>
            </w:pPr>
            <w:r w:rsidRPr="006D1212">
              <w:t>304 000</w:t>
            </w:r>
          </w:p>
        </w:tc>
      </w:tr>
    </w:tbl>
    <w:p w:rsidR="00465FD2" w:rsidRPr="000D05B9" w:rsidRDefault="00465FD2" w:rsidP="006D1212">
      <w:pPr>
        <w:ind w:left="0"/>
      </w:pPr>
    </w:p>
    <w:sectPr w:rsidR="00465FD2" w:rsidRPr="000D05B9" w:rsidSect="001038FE">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88B" w:rsidRDefault="008C488B">
      <w:r>
        <w:separator/>
      </w:r>
    </w:p>
  </w:endnote>
  <w:endnote w:type="continuationSeparator" w:id="0">
    <w:p w:rsidR="008C488B" w:rsidRDefault="008C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88B" w:rsidRDefault="008C488B">
      <w:r>
        <w:separator/>
      </w:r>
    </w:p>
  </w:footnote>
  <w:footnote w:type="continuationSeparator" w:id="0">
    <w:p w:rsidR="008C488B" w:rsidRDefault="008C4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EB480D">
          <w:rPr>
            <w:rFonts w:ascii="Times New Roman" w:hAnsi="Times New Roman" w:cs="Times New Roman"/>
            <w:noProof/>
            <w:sz w:val="24"/>
          </w:rPr>
          <w:t>- 3 -</w:t>
        </w:r>
        <w:r w:rsidRPr="001038FE">
          <w:rPr>
            <w:rFonts w:ascii="Times New Roman" w:hAnsi="Times New Roman" w:cs="Times New Roman"/>
            <w:sz w:val="24"/>
          </w:rPr>
          <w:fldChar w:fldCharType="end"/>
        </w:r>
      </w:p>
    </w:sdtContent>
  </w:sdt>
  <w:p w:rsidR="001038FE" w:rsidRDefault="008C488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A5F03"/>
    <w:rsid w:val="000C1AB0"/>
    <w:rsid w:val="000C4022"/>
    <w:rsid w:val="000C6412"/>
    <w:rsid w:val="000D05B9"/>
    <w:rsid w:val="0010443E"/>
    <w:rsid w:val="00104F8C"/>
    <w:rsid w:val="00113964"/>
    <w:rsid w:val="001253BC"/>
    <w:rsid w:val="00147B5A"/>
    <w:rsid w:val="001764E8"/>
    <w:rsid w:val="00234162"/>
    <w:rsid w:val="00276593"/>
    <w:rsid w:val="00294BF3"/>
    <w:rsid w:val="002A10C8"/>
    <w:rsid w:val="002A1DF8"/>
    <w:rsid w:val="002D05B6"/>
    <w:rsid w:val="002F03DA"/>
    <w:rsid w:val="00336B91"/>
    <w:rsid w:val="003C02A1"/>
    <w:rsid w:val="003C3902"/>
    <w:rsid w:val="00401B73"/>
    <w:rsid w:val="0040279E"/>
    <w:rsid w:val="00402C3C"/>
    <w:rsid w:val="00403590"/>
    <w:rsid w:val="004204C5"/>
    <w:rsid w:val="00465FD2"/>
    <w:rsid w:val="0049279D"/>
    <w:rsid w:val="004F2BFD"/>
    <w:rsid w:val="0051274D"/>
    <w:rsid w:val="00564E06"/>
    <w:rsid w:val="005669D6"/>
    <w:rsid w:val="0057635C"/>
    <w:rsid w:val="005959A5"/>
    <w:rsid w:val="005B3CC2"/>
    <w:rsid w:val="005F0727"/>
    <w:rsid w:val="005F790B"/>
    <w:rsid w:val="0062219E"/>
    <w:rsid w:val="006354AC"/>
    <w:rsid w:val="006364A9"/>
    <w:rsid w:val="00666CFF"/>
    <w:rsid w:val="00677842"/>
    <w:rsid w:val="00694279"/>
    <w:rsid w:val="006C5421"/>
    <w:rsid w:val="006D0F80"/>
    <w:rsid w:val="006D1212"/>
    <w:rsid w:val="006E4576"/>
    <w:rsid w:val="006F131D"/>
    <w:rsid w:val="006F2712"/>
    <w:rsid w:val="006F2894"/>
    <w:rsid w:val="007140FC"/>
    <w:rsid w:val="00725829"/>
    <w:rsid w:val="0072713F"/>
    <w:rsid w:val="00736078"/>
    <w:rsid w:val="00745731"/>
    <w:rsid w:val="00746728"/>
    <w:rsid w:val="00751D5D"/>
    <w:rsid w:val="00770CB3"/>
    <w:rsid w:val="0077290A"/>
    <w:rsid w:val="00772AB0"/>
    <w:rsid w:val="007B3047"/>
    <w:rsid w:val="007C3B6C"/>
    <w:rsid w:val="007F3FF0"/>
    <w:rsid w:val="00800B0B"/>
    <w:rsid w:val="00836AD0"/>
    <w:rsid w:val="00840B4D"/>
    <w:rsid w:val="00850477"/>
    <w:rsid w:val="00853717"/>
    <w:rsid w:val="008926AE"/>
    <w:rsid w:val="008B7DBE"/>
    <w:rsid w:val="008C488B"/>
    <w:rsid w:val="008D7455"/>
    <w:rsid w:val="008F70B4"/>
    <w:rsid w:val="0091069F"/>
    <w:rsid w:val="00922BB1"/>
    <w:rsid w:val="00945F4B"/>
    <w:rsid w:val="00947364"/>
    <w:rsid w:val="00996A81"/>
    <w:rsid w:val="009A43E7"/>
    <w:rsid w:val="009C0CBA"/>
    <w:rsid w:val="00A17291"/>
    <w:rsid w:val="00A32DA4"/>
    <w:rsid w:val="00A42249"/>
    <w:rsid w:val="00A45323"/>
    <w:rsid w:val="00A500D1"/>
    <w:rsid w:val="00A52549"/>
    <w:rsid w:val="00A5760E"/>
    <w:rsid w:val="00A87F2D"/>
    <w:rsid w:val="00A92FB9"/>
    <w:rsid w:val="00B02400"/>
    <w:rsid w:val="00B232F6"/>
    <w:rsid w:val="00B44CED"/>
    <w:rsid w:val="00B62C7E"/>
    <w:rsid w:val="00B72702"/>
    <w:rsid w:val="00B90E5E"/>
    <w:rsid w:val="00BF25F5"/>
    <w:rsid w:val="00C1671E"/>
    <w:rsid w:val="00C30074"/>
    <w:rsid w:val="00C30585"/>
    <w:rsid w:val="00C310B8"/>
    <w:rsid w:val="00C54BC4"/>
    <w:rsid w:val="00CA0A80"/>
    <w:rsid w:val="00CA389A"/>
    <w:rsid w:val="00D3691D"/>
    <w:rsid w:val="00D45EF5"/>
    <w:rsid w:val="00D46D55"/>
    <w:rsid w:val="00D937A9"/>
    <w:rsid w:val="00DA4182"/>
    <w:rsid w:val="00DA531C"/>
    <w:rsid w:val="00DC2A0D"/>
    <w:rsid w:val="00E3012B"/>
    <w:rsid w:val="00E3031C"/>
    <w:rsid w:val="00E4664D"/>
    <w:rsid w:val="00E55D71"/>
    <w:rsid w:val="00E67E22"/>
    <w:rsid w:val="00EA2A76"/>
    <w:rsid w:val="00EB480D"/>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DB94"/>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751</Words>
  <Characters>4285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132</cp:revision>
  <dcterms:created xsi:type="dcterms:W3CDTF">2026-03-30T13:53:00Z</dcterms:created>
  <dcterms:modified xsi:type="dcterms:W3CDTF">2026-06-15T14:26:00Z</dcterms:modified>
</cp:coreProperties>
</file>