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E3E" w:rsidRPr="00216E3E" w:rsidRDefault="00216E3E" w:rsidP="00216E3E">
      <w:pPr>
        <w:spacing w:line="259" w:lineRule="auto"/>
        <w:ind w:left="0"/>
        <w:jc w:val="center"/>
        <w:rPr>
          <w:rFonts w:eastAsiaTheme="minorHAnsi"/>
          <w:b/>
          <w:sz w:val="28"/>
          <w:szCs w:val="28"/>
          <w:lang w:eastAsia="en-US"/>
        </w:rPr>
      </w:pPr>
      <w:r w:rsidRPr="00216E3E">
        <w:rPr>
          <w:rFonts w:eastAsiaTheme="minorHAnsi"/>
          <w:b/>
          <w:sz w:val="28"/>
          <w:szCs w:val="28"/>
          <w:lang w:eastAsia="en-US"/>
        </w:rPr>
        <w:t>Сравнительная таблица</w:t>
      </w:r>
    </w:p>
    <w:p w:rsidR="00216E3E" w:rsidRPr="00216E3E" w:rsidRDefault="00216E3E" w:rsidP="00216E3E">
      <w:pPr>
        <w:spacing w:line="259" w:lineRule="auto"/>
        <w:ind w:left="0"/>
        <w:jc w:val="center"/>
        <w:rPr>
          <w:rFonts w:eastAsiaTheme="minorHAnsi"/>
          <w:b/>
          <w:sz w:val="28"/>
          <w:lang w:eastAsia="en-US"/>
        </w:rPr>
      </w:pPr>
      <w:r w:rsidRPr="00216E3E">
        <w:rPr>
          <w:rFonts w:eastAsiaTheme="minorHAnsi"/>
          <w:b/>
          <w:sz w:val="28"/>
          <w:szCs w:val="28"/>
          <w:lang w:eastAsia="en-US"/>
        </w:rPr>
        <w:t>к проекту з</w:t>
      </w:r>
      <w:r w:rsidRPr="00216E3E">
        <w:rPr>
          <w:rFonts w:eastAsiaTheme="minorHAnsi"/>
          <w:b/>
          <w:sz w:val="28"/>
          <w:lang w:eastAsia="en-US"/>
        </w:rPr>
        <w:t xml:space="preserve">акона Приднестровской Молдавской Республики </w:t>
      </w:r>
    </w:p>
    <w:p w:rsidR="00216E3E" w:rsidRPr="00216E3E" w:rsidRDefault="00216E3E" w:rsidP="00216E3E">
      <w:pPr>
        <w:spacing w:line="259" w:lineRule="auto"/>
        <w:ind w:left="0"/>
        <w:jc w:val="center"/>
        <w:rPr>
          <w:rFonts w:eastAsiaTheme="minorHAnsi"/>
          <w:b/>
          <w:sz w:val="28"/>
          <w:lang w:eastAsia="en-US"/>
        </w:rPr>
      </w:pPr>
      <w:r w:rsidRPr="00216E3E">
        <w:rPr>
          <w:rFonts w:eastAsiaTheme="minorHAnsi"/>
          <w:b/>
          <w:sz w:val="28"/>
          <w:lang w:eastAsia="en-US"/>
        </w:rPr>
        <w:t xml:space="preserve">«О внесении изменения в Трудовой кодекс </w:t>
      </w:r>
    </w:p>
    <w:p w:rsidR="00216E3E" w:rsidRPr="00216E3E" w:rsidRDefault="00216E3E" w:rsidP="00216E3E">
      <w:pPr>
        <w:spacing w:line="259" w:lineRule="auto"/>
        <w:ind w:left="0"/>
        <w:jc w:val="center"/>
        <w:rPr>
          <w:rFonts w:eastAsiaTheme="minorHAnsi"/>
          <w:b/>
          <w:sz w:val="28"/>
          <w:lang w:eastAsia="en-US"/>
        </w:rPr>
      </w:pPr>
      <w:r w:rsidRPr="00216E3E">
        <w:rPr>
          <w:rFonts w:eastAsiaTheme="minorHAnsi"/>
          <w:b/>
          <w:sz w:val="28"/>
          <w:lang w:eastAsia="en-US"/>
        </w:rPr>
        <w:t>Приднестровской Молдавской Республики»</w:t>
      </w:r>
    </w:p>
    <w:p w:rsidR="00216E3E" w:rsidRPr="00216E3E" w:rsidRDefault="00216E3E" w:rsidP="00216E3E">
      <w:pPr>
        <w:spacing w:line="259" w:lineRule="auto"/>
        <w:ind w:left="0"/>
        <w:jc w:val="center"/>
        <w:rPr>
          <w:rFonts w:eastAsiaTheme="minorHAnsi"/>
          <w:b/>
          <w:sz w:val="28"/>
          <w:szCs w:val="28"/>
          <w:lang w:eastAsia="en-US"/>
        </w:rPr>
      </w:pPr>
    </w:p>
    <w:tbl>
      <w:tblPr>
        <w:tblStyle w:val="18"/>
        <w:tblW w:w="9923" w:type="dxa"/>
        <w:tblInd w:w="-572" w:type="dxa"/>
        <w:tblLook w:val="04A0" w:firstRow="1" w:lastRow="0" w:firstColumn="1" w:lastColumn="0" w:noHBand="0" w:noVBand="1"/>
      </w:tblPr>
      <w:tblGrid>
        <w:gridCol w:w="4962"/>
        <w:gridCol w:w="4961"/>
      </w:tblGrid>
      <w:tr w:rsidR="00216E3E" w:rsidRPr="00216E3E" w:rsidTr="00FD42E8">
        <w:tc>
          <w:tcPr>
            <w:tcW w:w="4962" w:type="dxa"/>
          </w:tcPr>
          <w:p w:rsidR="00216E3E" w:rsidRPr="00216E3E" w:rsidRDefault="00216E3E" w:rsidP="00216E3E">
            <w:pPr>
              <w:ind w:left="0"/>
              <w:jc w:val="center"/>
              <w:rPr>
                <w:b/>
                <w:sz w:val="28"/>
                <w:szCs w:val="28"/>
              </w:rPr>
            </w:pPr>
            <w:r w:rsidRPr="00216E3E">
              <w:rPr>
                <w:b/>
                <w:sz w:val="28"/>
                <w:szCs w:val="28"/>
              </w:rPr>
              <w:t>Действующая редакция</w:t>
            </w:r>
          </w:p>
          <w:p w:rsidR="00216E3E" w:rsidRPr="00216E3E" w:rsidRDefault="00216E3E" w:rsidP="00216E3E">
            <w:pPr>
              <w:ind w:left="0"/>
              <w:jc w:val="center"/>
              <w:rPr>
                <w:b/>
                <w:sz w:val="28"/>
                <w:szCs w:val="28"/>
              </w:rPr>
            </w:pPr>
          </w:p>
        </w:tc>
        <w:tc>
          <w:tcPr>
            <w:tcW w:w="4961" w:type="dxa"/>
          </w:tcPr>
          <w:p w:rsidR="00216E3E" w:rsidRPr="00216E3E" w:rsidRDefault="00216E3E" w:rsidP="00216E3E">
            <w:pPr>
              <w:ind w:left="0"/>
              <w:jc w:val="center"/>
              <w:rPr>
                <w:b/>
                <w:sz w:val="28"/>
                <w:szCs w:val="28"/>
              </w:rPr>
            </w:pPr>
            <w:r w:rsidRPr="00216E3E">
              <w:rPr>
                <w:b/>
                <w:sz w:val="28"/>
                <w:szCs w:val="28"/>
              </w:rPr>
              <w:t>Предлагаемая редакция</w:t>
            </w:r>
          </w:p>
        </w:tc>
      </w:tr>
      <w:tr w:rsidR="00216E3E" w:rsidRPr="00216E3E" w:rsidTr="00FD42E8">
        <w:tc>
          <w:tcPr>
            <w:tcW w:w="4962" w:type="dxa"/>
          </w:tcPr>
          <w:p w:rsidR="00216E3E" w:rsidRPr="00216E3E" w:rsidRDefault="00216E3E" w:rsidP="00216E3E">
            <w:pPr>
              <w:ind w:left="0" w:firstLine="720"/>
              <w:jc w:val="both"/>
              <w:outlineLvl w:val="2"/>
              <w:rPr>
                <w:sz w:val="28"/>
                <w:szCs w:val="28"/>
              </w:rPr>
            </w:pPr>
          </w:p>
          <w:p w:rsidR="00216E3E" w:rsidRPr="00216E3E" w:rsidRDefault="00216E3E" w:rsidP="00216E3E">
            <w:pPr>
              <w:tabs>
                <w:tab w:val="left" w:pos="3933"/>
              </w:tabs>
              <w:ind w:left="0" w:firstLine="709"/>
              <w:jc w:val="both"/>
              <w:outlineLvl w:val="0"/>
              <w:rPr>
                <w:rFonts w:eastAsiaTheme="minorHAnsi"/>
                <w:b/>
                <w:sz w:val="28"/>
                <w:szCs w:val="28"/>
                <w:lang w:eastAsia="en-US"/>
              </w:rPr>
            </w:pPr>
            <w:r w:rsidRPr="00216E3E">
              <w:rPr>
                <w:rFonts w:eastAsiaTheme="minorHAnsi"/>
                <w:b/>
                <w:sz w:val="28"/>
                <w:szCs w:val="28"/>
                <w:lang w:eastAsia="en-US"/>
              </w:rPr>
              <w:t>Пункт 2 статьи 112</w:t>
            </w:r>
          </w:p>
          <w:p w:rsidR="00216E3E" w:rsidRPr="00216E3E" w:rsidRDefault="00216E3E" w:rsidP="00216E3E">
            <w:pPr>
              <w:tabs>
                <w:tab w:val="left" w:pos="3933"/>
              </w:tabs>
              <w:ind w:left="0" w:firstLine="709"/>
              <w:jc w:val="both"/>
              <w:outlineLvl w:val="0"/>
              <w:rPr>
                <w:rFonts w:eastAsiaTheme="minorHAnsi"/>
                <w:b/>
                <w:sz w:val="28"/>
                <w:szCs w:val="28"/>
                <w:lang w:eastAsia="en-US"/>
              </w:rPr>
            </w:pPr>
          </w:p>
          <w:p w:rsidR="00216E3E" w:rsidRPr="00216E3E" w:rsidRDefault="00216E3E" w:rsidP="00216E3E">
            <w:pPr>
              <w:tabs>
                <w:tab w:val="left" w:pos="3933"/>
              </w:tabs>
              <w:ind w:left="0" w:firstLine="709"/>
              <w:jc w:val="both"/>
              <w:outlineLvl w:val="0"/>
              <w:rPr>
                <w:rFonts w:eastAsiaTheme="minorHAnsi"/>
                <w:sz w:val="28"/>
                <w:szCs w:val="28"/>
                <w:lang w:eastAsia="en-US"/>
              </w:rPr>
            </w:pPr>
            <w:r w:rsidRPr="00216E3E">
              <w:rPr>
                <w:rFonts w:eastAsiaTheme="minorHAnsi"/>
                <w:sz w:val="28"/>
                <w:szCs w:val="28"/>
                <w:lang w:eastAsia="en-US"/>
              </w:rPr>
              <w:t>2. При совпадении выходного и нерабочего праздничного дней, дополнительного выходного и нерабочего праздничного дней выходной день, дополнительный выходной день не переносятся на следующий после нерабочего праздничного дня рабочий день.</w:t>
            </w:r>
          </w:p>
          <w:p w:rsidR="00216E3E" w:rsidRPr="00216E3E" w:rsidRDefault="00216E3E" w:rsidP="00216E3E">
            <w:pPr>
              <w:tabs>
                <w:tab w:val="left" w:pos="3933"/>
              </w:tabs>
              <w:ind w:left="0" w:firstLine="709"/>
              <w:jc w:val="both"/>
              <w:outlineLvl w:val="0"/>
              <w:rPr>
                <w:rFonts w:eastAsiaTheme="minorHAnsi"/>
                <w:b/>
                <w:sz w:val="28"/>
                <w:szCs w:val="28"/>
                <w:lang w:eastAsia="en-US"/>
              </w:rPr>
            </w:pPr>
          </w:p>
          <w:p w:rsidR="00216E3E" w:rsidRPr="00216E3E" w:rsidRDefault="00216E3E" w:rsidP="00216E3E">
            <w:pPr>
              <w:ind w:left="0" w:firstLine="720"/>
              <w:jc w:val="both"/>
              <w:outlineLvl w:val="2"/>
              <w:rPr>
                <w:sz w:val="28"/>
                <w:szCs w:val="28"/>
              </w:rPr>
            </w:pPr>
          </w:p>
          <w:p w:rsidR="00216E3E" w:rsidRPr="00216E3E" w:rsidRDefault="00216E3E" w:rsidP="00216E3E">
            <w:pPr>
              <w:ind w:left="0" w:firstLine="720"/>
              <w:jc w:val="both"/>
              <w:outlineLvl w:val="2"/>
              <w:rPr>
                <w:sz w:val="28"/>
                <w:szCs w:val="28"/>
              </w:rPr>
            </w:pPr>
          </w:p>
          <w:p w:rsidR="00216E3E" w:rsidRPr="00216E3E" w:rsidRDefault="00216E3E" w:rsidP="00216E3E">
            <w:pPr>
              <w:ind w:left="0" w:firstLine="720"/>
              <w:jc w:val="both"/>
              <w:outlineLvl w:val="2"/>
              <w:rPr>
                <w:sz w:val="28"/>
                <w:szCs w:val="28"/>
              </w:rPr>
            </w:pPr>
          </w:p>
          <w:p w:rsidR="00216E3E" w:rsidRPr="00216E3E" w:rsidRDefault="00216E3E" w:rsidP="00216E3E">
            <w:pPr>
              <w:ind w:left="0" w:firstLine="720"/>
              <w:jc w:val="both"/>
              <w:outlineLvl w:val="2"/>
              <w:rPr>
                <w:sz w:val="28"/>
                <w:szCs w:val="28"/>
              </w:rPr>
            </w:pPr>
          </w:p>
          <w:p w:rsidR="00216E3E" w:rsidRPr="00216E3E" w:rsidRDefault="00216E3E" w:rsidP="00216E3E">
            <w:pPr>
              <w:ind w:left="0" w:firstLine="720"/>
              <w:jc w:val="both"/>
              <w:outlineLvl w:val="2"/>
              <w:rPr>
                <w:sz w:val="28"/>
                <w:szCs w:val="28"/>
              </w:rPr>
            </w:pPr>
          </w:p>
          <w:p w:rsidR="00216E3E" w:rsidRPr="00216E3E" w:rsidRDefault="00216E3E" w:rsidP="00216E3E">
            <w:pPr>
              <w:ind w:left="0"/>
              <w:jc w:val="both"/>
              <w:outlineLvl w:val="2"/>
              <w:rPr>
                <w:sz w:val="28"/>
                <w:szCs w:val="28"/>
              </w:rPr>
            </w:pPr>
          </w:p>
          <w:p w:rsidR="00216E3E" w:rsidRPr="00216E3E" w:rsidRDefault="00216E3E" w:rsidP="00216E3E">
            <w:pPr>
              <w:ind w:left="0" w:firstLine="708"/>
              <w:jc w:val="both"/>
              <w:outlineLvl w:val="2"/>
              <w:rPr>
                <w:sz w:val="28"/>
                <w:szCs w:val="28"/>
              </w:rPr>
            </w:pPr>
          </w:p>
        </w:tc>
        <w:tc>
          <w:tcPr>
            <w:tcW w:w="4961" w:type="dxa"/>
          </w:tcPr>
          <w:p w:rsidR="00216E3E" w:rsidRPr="00216E3E" w:rsidRDefault="00216E3E" w:rsidP="00216E3E">
            <w:pPr>
              <w:ind w:left="0" w:firstLine="720"/>
              <w:jc w:val="both"/>
              <w:outlineLvl w:val="2"/>
              <w:rPr>
                <w:b/>
                <w:sz w:val="28"/>
                <w:szCs w:val="28"/>
              </w:rPr>
            </w:pPr>
          </w:p>
          <w:p w:rsidR="00216E3E" w:rsidRPr="00216E3E" w:rsidRDefault="00216E3E" w:rsidP="00216E3E">
            <w:pPr>
              <w:tabs>
                <w:tab w:val="left" w:pos="3933"/>
              </w:tabs>
              <w:ind w:left="0" w:firstLine="709"/>
              <w:jc w:val="both"/>
              <w:outlineLvl w:val="0"/>
              <w:rPr>
                <w:rFonts w:eastAsiaTheme="minorHAnsi"/>
                <w:b/>
                <w:sz w:val="28"/>
                <w:szCs w:val="28"/>
                <w:lang w:eastAsia="en-US"/>
              </w:rPr>
            </w:pPr>
            <w:r w:rsidRPr="00216E3E">
              <w:rPr>
                <w:rFonts w:eastAsiaTheme="minorHAnsi"/>
                <w:b/>
                <w:sz w:val="28"/>
                <w:szCs w:val="28"/>
                <w:lang w:eastAsia="en-US"/>
              </w:rPr>
              <w:t>Пункт 2 статьи 112</w:t>
            </w:r>
          </w:p>
          <w:p w:rsidR="00216E3E" w:rsidRPr="00216E3E" w:rsidRDefault="00216E3E" w:rsidP="00216E3E">
            <w:pPr>
              <w:tabs>
                <w:tab w:val="left" w:pos="3933"/>
              </w:tabs>
              <w:ind w:left="0" w:firstLine="709"/>
              <w:jc w:val="both"/>
              <w:outlineLvl w:val="0"/>
              <w:rPr>
                <w:rFonts w:eastAsiaTheme="minorHAnsi"/>
                <w:b/>
                <w:sz w:val="28"/>
                <w:szCs w:val="28"/>
                <w:lang w:eastAsia="en-US"/>
              </w:rPr>
            </w:pPr>
          </w:p>
          <w:p w:rsidR="00216E3E" w:rsidRPr="00216E3E" w:rsidRDefault="00216E3E" w:rsidP="00216E3E">
            <w:pPr>
              <w:tabs>
                <w:tab w:val="left" w:pos="3933"/>
              </w:tabs>
              <w:ind w:left="0" w:firstLine="709"/>
              <w:jc w:val="both"/>
              <w:outlineLvl w:val="0"/>
              <w:rPr>
                <w:rFonts w:eastAsiaTheme="minorHAnsi"/>
                <w:sz w:val="28"/>
                <w:szCs w:val="28"/>
                <w:lang w:eastAsia="en-US"/>
              </w:rPr>
            </w:pPr>
            <w:r w:rsidRPr="00216E3E">
              <w:rPr>
                <w:rFonts w:eastAsiaTheme="minorHAnsi"/>
                <w:sz w:val="28"/>
                <w:szCs w:val="28"/>
                <w:lang w:eastAsia="en-US"/>
              </w:rPr>
              <w:t xml:space="preserve">2. При совпадении выходного и нерабочего праздничного дней, дополнительного выходного и нерабочего праздничного дней выходной день, дополнительный выходной день не переносятся на следующий после нерабочего праздничного дня рабочий день, </w:t>
            </w:r>
            <w:r w:rsidRPr="00216E3E">
              <w:rPr>
                <w:rFonts w:eastAsiaTheme="minorHAnsi"/>
                <w:b/>
                <w:sz w:val="28"/>
                <w:szCs w:val="28"/>
                <w:lang w:eastAsia="en-US"/>
              </w:rPr>
              <w:t>за исключением случаев, предусмотренных частью второй настоящего пункта</w:t>
            </w:r>
            <w:r w:rsidRPr="00216E3E">
              <w:rPr>
                <w:rFonts w:eastAsiaTheme="minorHAnsi"/>
                <w:sz w:val="28"/>
                <w:szCs w:val="28"/>
                <w:lang w:eastAsia="en-US"/>
              </w:rPr>
              <w:t>.</w:t>
            </w:r>
          </w:p>
          <w:p w:rsidR="00216E3E" w:rsidRPr="00216E3E" w:rsidRDefault="00216E3E" w:rsidP="00216E3E">
            <w:pPr>
              <w:shd w:val="clear" w:color="auto" w:fill="FFFFFF"/>
              <w:ind w:left="0" w:firstLine="709"/>
              <w:jc w:val="both"/>
              <w:rPr>
                <w:rFonts w:eastAsiaTheme="minorHAnsi"/>
                <w:b/>
                <w:sz w:val="28"/>
                <w:szCs w:val="28"/>
                <w:lang w:eastAsia="en-US"/>
              </w:rPr>
            </w:pPr>
            <w:r w:rsidRPr="00216E3E">
              <w:rPr>
                <w:rFonts w:eastAsiaTheme="minorHAnsi"/>
                <w:b/>
                <w:sz w:val="28"/>
                <w:szCs w:val="28"/>
                <w:lang w:eastAsia="en-US"/>
              </w:rPr>
              <w:t xml:space="preserve">При совпадении выходного и нерабочего праздничного дня, установленного </w:t>
            </w:r>
            <w:proofErr w:type="gramStart"/>
            <w:r w:rsidRPr="00216E3E">
              <w:rPr>
                <w:rFonts w:eastAsiaTheme="minorHAnsi"/>
                <w:b/>
                <w:sz w:val="28"/>
                <w:szCs w:val="28"/>
                <w:lang w:eastAsia="en-US"/>
              </w:rPr>
              <w:t>подпунктами  в</w:t>
            </w:r>
            <w:proofErr w:type="gramEnd"/>
            <w:r w:rsidRPr="00216E3E">
              <w:rPr>
                <w:rFonts w:eastAsiaTheme="minorHAnsi"/>
                <w:b/>
                <w:sz w:val="28"/>
                <w:szCs w:val="28"/>
                <w:lang w:eastAsia="en-US"/>
              </w:rPr>
              <w:t>), д), е) пункта 1 настоящей статьи</w:t>
            </w:r>
            <w:r w:rsidRPr="00216E3E">
              <w:rPr>
                <w:rFonts w:eastAsiaTheme="minorHAnsi"/>
                <w:b/>
                <w:bCs/>
                <w:sz w:val="28"/>
                <w:szCs w:val="28"/>
                <w:shd w:val="clear" w:color="auto" w:fill="FFFFFF"/>
                <w:lang w:eastAsia="en-US"/>
              </w:rPr>
              <w:t xml:space="preserve">, </w:t>
            </w:r>
            <w:r w:rsidRPr="00216E3E">
              <w:rPr>
                <w:rFonts w:eastAsiaTheme="minorHAnsi"/>
                <w:b/>
                <w:sz w:val="28"/>
                <w:szCs w:val="28"/>
                <w:lang w:eastAsia="en-US"/>
              </w:rPr>
              <w:t>выходной день переносится на следующий после нерабочего праздничного дня рабочий день.</w:t>
            </w:r>
          </w:p>
          <w:p w:rsidR="00216E3E" w:rsidRPr="00216E3E" w:rsidRDefault="00216E3E" w:rsidP="00216E3E">
            <w:pPr>
              <w:tabs>
                <w:tab w:val="left" w:pos="3933"/>
              </w:tabs>
              <w:ind w:left="0"/>
              <w:jc w:val="both"/>
              <w:rPr>
                <w:rFonts w:eastAsiaTheme="minorHAnsi"/>
                <w:sz w:val="28"/>
                <w:szCs w:val="28"/>
                <w:lang w:eastAsia="en-US"/>
              </w:rPr>
            </w:pPr>
          </w:p>
        </w:tc>
      </w:tr>
    </w:tbl>
    <w:p w:rsidR="00465FD2" w:rsidRPr="00216E3E" w:rsidRDefault="00465FD2" w:rsidP="00216E3E">
      <w:bookmarkStart w:id="0" w:name="_GoBack"/>
      <w:bookmarkEnd w:id="0"/>
    </w:p>
    <w:sectPr w:rsidR="00465FD2" w:rsidRPr="00216E3E"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F14" w:rsidRDefault="008C7F14">
      <w:r>
        <w:separator/>
      </w:r>
    </w:p>
  </w:endnote>
  <w:endnote w:type="continuationSeparator" w:id="0">
    <w:p w:rsidR="008C7F14" w:rsidRDefault="008C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F14" w:rsidRDefault="008C7F14">
      <w:r>
        <w:separator/>
      </w:r>
    </w:p>
  </w:footnote>
  <w:footnote w:type="continuationSeparator" w:id="0">
    <w:p w:rsidR="008C7F14" w:rsidRDefault="008C7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216E3E">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8C7F1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A5F03"/>
    <w:rsid w:val="000C1AB0"/>
    <w:rsid w:val="000C4022"/>
    <w:rsid w:val="000C6412"/>
    <w:rsid w:val="000D05B9"/>
    <w:rsid w:val="0010443E"/>
    <w:rsid w:val="00104F8C"/>
    <w:rsid w:val="00113964"/>
    <w:rsid w:val="001253BC"/>
    <w:rsid w:val="00147B5A"/>
    <w:rsid w:val="001764E8"/>
    <w:rsid w:val="00216E3E"/>
    <w:rsid w:val="00234162"/>
    <w:rsid w:val="00276593"/>
    <w:rsid w:val="00294BF3"/>
    <w:rsid w:val="002A10C8"/>
    <w:rsid w:val="002A1DF8"/>
    <w:rsid w:val="002D05B6"/>
    <w:rsid w:val="002F03DA"/>
    <w:rsid w:val="00336B91"/>
    <w:rsid w:val="003C02A1"/>
    <w:rsid w:val="003C3902"/>
    <w:rsid w:val="00401B73"/>
    <w:rsid w:val="0040279E"/>
    <w:rsid w:val="00402C3C"/>
    <w:rsid w:val="00403590"/>
    <w:rsid w:val="004204C5"/>
    <w:rsid w:val="00465FD2"/>
    <w:rsid w:val="0049279D"/>
    <w:rsid w:val="004F2BFD"/>
    <w:rsid w:val="0051274D"/>
    <w:rsid w:val="00564E06"/>
    <w:rsid w:val="005669D6"/>
    <w:rsid w:val="0057635C"/>
    <w:rsid w:val="005959A5"/>
    <w:rsid w:val="005B3CC2"/>
    <w:rsid w:val="005F0727"/>
    <w:rsid w:val="005F790B"/>
    <w:rsid w:val="0062219E"/>
    <w:rsid w:val="006354AC"/>
    <w:rsid w:val="006364A9"/>
    <w:rsid w:val="00666CFF"/>
    <w:rsid w:val="00677842"/>
    <w:rsid w:val="00694279"/>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926AE"/>
    <w:rsid w:val="008B7DBE"/>
    <w:rsid w:val="008C488B"/>
    <w:rsid w:val="008C7F14"/>
    <w:rsid w:val="008D7455"/>
    <w:rsid w:val="008F70B4"/>
    <w:rsid w:val="0091069F"/>
    <w:rsid w:val="00922BB1"/>
    <w:rsid w:val="00945F4B"/>
    <w:rsid w:val="00947364"/>
    <w:rsid w:val="00996A81"/>
    <w:rsid w:val="009A43E7"/>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72702"/>
    <w:rsid w:val="00B90E5E"/>
    <w:rsid w:val="00BF25F5"/>
    <w:rsid w:val="00C1671E"/>
    <w:rsid w:val="00C30074"/>
    <w:rsid w:val="00C30585"/>
    <w:rsid w:val="00C310B8"/>
    <w:rsid w:val="00C54BC4"/>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A2A76"/>
    <w:rsid w:val="00EB480D"/>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151</Words>
  <Characters>862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133</cp:revision>
  <dcterms:created xsi:type="dcterms:W3CDTF">2026-03-30T13:53:00Z</dcterms:created>
  <dcterms:modified xsi:type="dcterms:W3CDTF">2026-06-17T05:44:00Z</dcterms:modified>
</cp:coreProperties>
</file>