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66F" w:rsidRPr="005F466F" w:rsidRDefault="005F466F" w:rsidP="005F466F">
      <w:pPr>
        <w:ind w:left="0"/>
        <w:jc w:val="center"/>
        <w:rPr>
          <w:rFonts w:eastAsia="Calibri"/>
          <w:szCs w:val="28"/>
        </w:rPr>
      </w:pPr>
      <w:r w:rsidRPr="005F466F">
        <w:rPr>
          <w:rFonts w:eastAsia="Calibri"/>
          <w:szCs w:val="28"/>
        </w:rPr>
        <w:t>СРАВНИТЕЛЬНАЯ ТАБЛИЦА</w:t>
      </w:r>
    </w:p>
    <w:p w:rsidR="005F466F" w:rsidRPr="005F466F" w:rsidRDefault="005F466F" w:rsidP="005F466F">
      <w:pPr>
        <w:ind w:left="0"/>
        <w:jc w:val="center"/>
        <w:rPr>
          <w:rFonts w:eastAsia="Calibri"/>
          <w:sz w:val="28"/>
          <w:szCs w:val="28"/>
        </w:rPr>
      </w:pPr>
      <w:bookmarkStart w:id="0" w:name="_Hlk212201362"/>
      <w:r w:rsidRPr="005F466F">
        <w:rPr>
          <w:rFonts w:eastAsia="Calibri"/>
          <w:sz w:val="28"/>
          <w:szCs w:val="28"/>
        </w:rPr>
        <w:t>к проекту закона Приднестровской Молдавской Республики</w:t>
      </w:r>
    </w:p>
    <w:bookmarkEnd w:id="0"/>
    <w:p w:rsidR="005F466F" w:rsidRPr="005F466F" w:rsidRDefault="005F466F" w:rsidP="005F466F">
      <w:pPr>
        <w:ind w:left="0"/>
        <w:jc w:val="center"/>
        <w:rPr>
          <w:rFonts w:eastAsia="Calibri"/>
          <w:sz w:val="28"/>
          <w:szCs w:val="28"/>
        </w:rPr>
      </w:pPr>
      <w:r w:rsidRPr="005F466F">
        <w:rPr>
          <w:rFonts w:eastAsia="Calibri"/>
          <w:sz w:val="28"/>
          <w:szCs w:val="28"/>
        </w:rPr>
        <w:t xml:space="preserve">«О внесении изменения и дополнения в Закон </w:t>
      </w:r>
    </w:p>
    <w:p w:rsidR="005F466F" w:rsidRPr="005F466F" w:rsidRDefault="005F466F" w:rsidP="005F466F">
      <w:pPr>
        <w:ind w:left="0"/>
        <w:jc w:val="center"/>
        <w:rPr>
          <w:rFonts w:eastAsia="Calibri"/>
          <w:sz w:val="28"/>
          <w:szCs w:val="28"/>
        </w:rPr>
      </w:pPr>
      <w:r w:rsidRPr="005F466F">
        <w:rPr>
          <w:rFonts w:eastAsia="Calibri"/>
          <w:sz w:val="28"/>
          <w:szCs w:val="28"/>
        </w:rPr>
        <w:t xml:space="preserve">Приднестровской Молдавской Республики </w:t>
      </w:r>
    </w:p>
    <w:p w:rsidR="005F466F" w:rsidRPr="005F466F" w:rsidRDefault="005F466F" w:rsidP="005F466F">
      <w:pPr>
        <w:ind w:left="0"/>
        <w:jc w:val="center"/>
        <w:rPr>
          <w:rFonts w:eastAsia="Calibri"/>
          <w:sz w:val="28"/>
          <w:szCs w:val="28"/>
        </w:rPr>
      </w:pPr>
      <w:r w:rsidRPr="005F466F">
        <w:rPr>
          <w:rFonts w:eastAsia="Calibri"/>
          <w:sz w:val="28"/>
          <w:szCs w:val="28"/>
        </w:rPr>
        <w:t xml:space="preserve">«О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w:t>
      </w:r>
      <w:r w:rsidRPr="005F466F">
        <w:rPr>
          <w:rFonts w:eastAsiaTheme="minorHAnsi"/>
          <w:color w:val="000000"/>
          <w:sz w:val="28"/>
          <w:szCs w:val="28"/>
          <w:lang w:eastAsia="en-US"/>
        </w:rPr>
        <w:t xml:space="preserve">уголовно-исполнительной системе, </w:t>
      </w:r>
      <w:r w:rsidRPr="005F466F">
        <w:rPr>
          <w:rFonts w:eastAsia="Calibri"/>
          <w:sz w:val="28"/>
          <w:szCs w:val="28"/>
        </w:rPr>
        <w:t xml:space="preserve">службе судебных исполнителей, </w:t>
      </w:r>
    </w:p>
    <w:p w:rsidR="005F466F" w:rsidRPr="005F466F" w:rsidRDefault="005F466F" w:rsidP="005F466F">
      <w:pPr>
        <w:ind w:left="0"/>
        <w:jc w:val="center"/>
        <w:rPr>
          <w:rFonts w:eastAsia="Calibri"/>
          <w:sz w:val="28"/>
          <w:szCs w:val="28"/>
        </w:rPr>
      </w:pPr>
      <w:r w:rsidRPr="005F466F">
        <w:rPr>
          <w:rFonts w:eastAsia="Calibri"/>
          <w:sz w:val="28"/>
          <w:szCs w:val="28"/>
        </w:rPr>
        <w:t>налоговых и таможенных органах, и их семей»</w:t>
      </w:r>
    </w:p>
    <w:p w:rsidR="005F466F" w:rsidRPr="005F466F" w:rsidRDefault="005F466F" w:rsidP="005F466F">
      <w:pPr>
        <w:ind w:left="0" w:firstLine="709"/>
        <w:jc w:val="center"/>
        <w:rPr>
          <w:rFonts w:eastAsia="Calibri"/>
          <w:szCs w:val="28"/>
        </w:rPr>
      </w:pPr>
    </w:p>
    <w:tbl>
      <w:tblPr>
        <w:tblW w:w="1048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382"/>
      </w:tblGrid>
      <w:tr w:rsidR="005F466F" w:rsidRPr="005F466F" w:rsidTr="00A22A83">
        <w:tc>
          <w:tcPr>
            <w:tcW w:w="5103" w:type="dxa"/>
            <w:tcBorders>
              <w:top w:val="single" w:sz="4" w:space="0" w:color="auto"/>
              <w:left w:val="single" w:sz="4" w:space="0" w:color="auto"/>
              <w:bottom w:val="single" w:sz="4" w:space="0" w:color="auto"/>
              <w:right w:val="single" w:sz="4" w:space="0" w:color="auto"/>
            </w:tcBorders>
          </w:tcPr>
          <w:p w:rsidR="005F466F" w:rsidRPr="005F466F" w:rsidRDefault="005F466F" w:rsidP="005F466F">
            <w:pPr>
              <w:spacing w:line="276" w:lineRule="auto"/>
              <w:ind w:left="0" w:firstLine="33"/>
              <w:jc w:val="center"/>
              <w:rPr>
                <w:rFonts w:eastAsia="Calibri"/>
                <w:b/>
                <w:sz w:val="22"/>
                <w:szCs w:val="28"/>
              </w:rPr>
            </w:pPr>
            <w:r w:rsidRPr="005F466F">
              <w:rPr>
                <w:rFonts w:eastAsia="Calibri"/>
                <w:b/>
                <w:sz w:val="22"/>
                <w:szCs w:val="28"/>
              </w:rPr>
              <w:t>ДЕЙСТВУЮЩАЯ РЕДАКЦИЯ</w:t>
            </w:r>
          </w:p>
        </w:tc>
        <w:tc>
          <w:tcPr>
            <w:tcW w:w="5382" w:type="dxa"/>
            <w:tcBorders>
              <w:top w:val="single" w:sz="4" w:space="0" w:color="auto"/>
              <w:left w:val="single" w:sz="4" w:space="0" w:color="auto"/>
              <w:bottom w:val="single" w:sz="4" w:space="0" w:color="auto"/>
              <w:right w:val="single" w:sz="4" w:space="0" w:color="auto"/>
            </w:tcBorders>
          </w:tcPr>
          <w:p w:rsidR="005F466F" w:rsidRPr="005F466F" w:rsidRDefault="005F466F" w:rsidP="005F466F">
            <w:pPr>
              <w:spacing w:line="276" w:lineRule="auto"/>
              <w:ind w:left="0"/>
              <w:jc w:val="center"/>
              <w:rPr>
                <w:rFonts w:eastAsia="Calibri"/>
                <w:b/>
                <w:sz w:val="22"/>
                <w:szCs w:val="28"/>
              </w:rPr>
            </w:pPr>
            <w:r w:rsidRPr="005F466F">
              <w:rPr>
                <w:rFonts w:eastAsia="Calibri"/>
                <w:b/>
                <w:sz w:val="22"/>
                <w:szCs w:val="28"/>
              </w:rPr>
              <w:t>ПРЕДЛАГАЕМАЯ РЕДАКЦИЯ</w:t>
            </w:r>
          </w:p>
        </w:tc>
      </w:tr>
      <w:tr w:rsidR="005F466F" w:rsidRPr="005F466F" w:rsidTr="00A22A83">
        <w:tc>
          <w:tcPr>
            <w:tcW w:w="5103" w:type="dxa"/>
          </w:tcPr>
          <w:p w:rsidR="005F466F" w:rsidRPr="005F466F" w:rsidRDefault="005F466F" w:rsidP="005F466F">
            <w:pPr>
              <w:ind w:left="0" w:firstLine="709"/>
              <w:rPr>
                <w:sz w:val="23"/>
                <w:szCs w:val="23"/>
              </w:rPr>
            </w:pPr>
            <w:r w:rsidRPr="005F466F">
              <w:rPr>
                <w:b/>
                <w:sz w:val="23"/>
                <w:szCs w:val="23"/>
              </w:rPr>
              <w:t>Статья 11.</w:t>
            </w:r>
            <w:r w:rsidRPr="005F466F">
              <w:rPr>
                <w:sz w:val="23"/>
                <w:szCs w:val="23"/>
              </w:rPr>
              <w:t xml:space="preserve"> Центральные органы государственного управления, осуществляющие пенсионное обеспечение (пенсионные органы)</w:t>
            </w: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r w:rsidRPr="005F466F">
              <w:rPr>
                <w:sz w:val="23"/>
                <w:szCs w:val="23"/>
              </w:rPr>
              <w:t>1. Пенсионное обеспечение лиц, указанных в статье 1 настоящего Закона, и их семей в зависимости от последнего места службы этих лиц, за исключением случаев, предусмотренных пунктом 4 настоящей статьи, осуществляется:</w:t>
            </w:r>
          </w:p>
          <w:p w:rsidR="005F466F" w:rsidRPr="005F466F" w:rsidRDefault="005F466F" w:rsidP="005F466F">
            <w:pPr>
              <w:ind w:left="0" w:firstLine="709"/>
              <w:rPr>
                <w:sz w:val="23"/>
                <w:szCs w:val="23"/>
              </w:rPr>
            </w:pPr>
            <w:r w:rsidRPr="005F466F">
              <w:rPr>
                <w:sz w:val="23"/>
                <w:szCs w:val="23"/>
              </w:rPr>
              <w:t>…</w:t>
            </w:r>
          </w:p>
          <w:p w:rsidR="005F466F" w:rsidRPr="005F466F" w:rsidRDefault="005F466F" w:rsidP="005F466F">
            <w:pPr>
              <w:ind w:left="0" w:firstLine="709"/>
              <w:rPr>
                <w:b/>
                <w:sz w:val="23"/>
                <w:szCs w:val="23"/>
              </w:rPr>
            </w:pPr>
            <w:r w:rsidRPr="005F466F">
              <w:rPr>
                <w:b/>
                <w:sz w:val="23"/>
                <w:szCs w:val="23"/>
              </w:rPr>
              <w:t>д) центральным органом государственного управления ведомством органов юстиции Приднестровской Молдавской Республики в отношении лиц, состоявших (состоящих) на государственной службе в службе судебных исполнителей на должностях рядового и начальствующего состава</w:t>
            </w:r>
            <w:r w:rsidRPr="005F466F">
              <w:rPr>
                <w:sz w:val="23"/>
                <w:szCs w:val="23"/>
              </w:rPr>
              <w:t xml:space="preserve"> </w:t>
            </w:r>
            <w:r w:rsidRPr="005F466F">
              <w:rPr>
                <w:b/>
                <w:sz w:val="23"/>
                <w:szCs w:val="23"/>
              </w:rPr>
              <w:t>в установленных специальных званиях;</w:t>
            </w:r>
          </w:p>
          <w:p w:rsidR="005F466F" w:rsidRPr="005F466F" w:rsidRDefault="005F466F" w:rsidP="005F466F">
            <w:pPr>
              <w:ind w:left="0" w:firstLine="709"/>
              <w:rPr>
                <w:sz w:val="23"/>
                <w:szCs w:val="23"/>
              </w:rPr>
            </w:pPr>
            <w:r w:rsidRPr="005F466F">
              <w:rPr>
                <w:sz w:val="23"/>
                <w:szCs w:val="23"/>
              </w:rPr>
              <w:t>е) центральным органом уголовно-исполнительной системы в отношении лиц:</w:t>
            </w:r>
          </w:p>
          <w:p w:rsidR="005F466F" w:rsidRPr="005F466F" w:rsidRDefault="005F466F" w:rsidP="005F466F">
            <w:pPr>
              <w:ind w:left="0" w:firstLine="709"/>
              <w:rPr>
                <w:sz w:val="23"/>
                <w:szCs w:val="23"/>
              </w:rPr>
            </w:pPr>
            <w:r w:rsidRPr="005F466F">
              <w:rPr>
                <w:sz w:val="23"/>
                <w:szCs w:val="23"/>
              </w:rPr>
              <w:t>1) состоявших (состоящих) на службе в уголовно-исполнительной системе Приднестровской Молдавской Республики на должностях рядового и начальствующего состава в установленных специальных званиях;</w:t>
            </w:r>
          </w:p>
          <w:p w:rsidR="005F466F" w:rsidRPr="005F466F" w:rsidRDefault="005F466F" w:rsidP="005F466F">
            <w:pPr>
              <w:ind w:left="0" w:firstLine="709"/>
              <w:rPr>
                <w:sz w:val="23"/>
                <w:szCs w:val="23"/>
              </w:rPr>
            </w:pPr>
            <w:r w:rsidRPr="005F466F">
              <w:rPr>
                <w:sz w:val="23"/>
                <w:szCs w:val="23"/>
              </w:rPr>
              <w:t>2) состоявших (состоящих) на военной службе во внутренних войсках уголовно-исполнительной системы Приднестровской Молдавской Республики;</w:t>
            </w:r>
          </w:p>
          <w:p w:rsidR="005F466F" w:rsidRPr="005F466F" w:rsidRDefault="005F466F" w:rsidP="005F466F">
            <w:pPr>
              <w:ind w:left="0" w:firstLine="709"/>
              <w:rPr>
                <w:b/>
                <w:sz w:val="23"/>
                <w:szCs w:val="23"/>
              </w:rPr>
            </w:pPr>
            <w:r w:rsidRPr="005F466F">
              <w:rPr>
                <w:b/>
                <w:sz w:val="23"/>
                <w:szCs w:val="23"/>
              </w:rPr>
              <w:t>2-1) отсутствует</w:t>
            </w: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r w:rsidRPr="005F466F">
              <w:rPr>
                <w:sz w:val="23"/>
                <w:szCs w:val="23"/>
              </w:rPr>
              <w:t>3) состоявших на службе в уголовно-исполнительной системе Российской Федерации и Украины.</w:t>
            </w:r>
          </w:p>
          <w:p w:rsidR="005F466F" w:rsidRPr="005F466F" w:rsidRDefault="005F466F" w:rsidP="005F466F">
            <w:pPr>
              <w:ind w:left="0" w:firstLine="709"/>
              <w:rPr>
                <w:sz w:val="23"/>
                <w:szCs w:val="23"/>
              </w:rPr>
            </w:pPr>
            <w:r w:rsidRPr="005F466F">
              <w:rPr>
                <w:sz w:val="23"/>
                <w:szCs w:val="23"/>
              </w:rPr>
              <w:t>2…</w:t>
            </w:r>
          </w:p>
          <w:p w:rsidR="005F466F" w:rsidRPr="005F466F" w:rsidRDefault="005F466F" w:rsidP="005F466F">
            <w:pPr>
              <w:ind w:left="0" w:firstLine="709"/>
              <w:rPr>
                <w:sz w:val="23"/>
                <w:szCs w:val="23"/>
              </w:rPr>
            </w:pPr>
            <w:r w:rsidRPr="005F466F">
              <w:rPr>
                <w:sz w:val="23"/>
                <w:szCs w:val="23"/>
              </w:rPr>
              <w:t>3…</w:t>
            </w:r>
          </w:p>
          <w:p w:rsidR="005F466F" w:rsidRPr="005F466F" w:rsidRDefault="005F466F" w:rsidP="005F466F">
            <w:pPr>
              <w:ind w:left="0" w:firstLine="709"/>
              <w:rPr>
                <w:sz w:val="23"/>
                <w:szCs w:val="23"/>
              </w:rPr>
            </w:pPr>
            <w:r w:rsidRPr="005F466F">
              <w:rPr>
                <w:sz w:val="23"/>
                <w:szCs w:val="23"/>
              </w:rPr>
              <w:t>4…</w:t>
            </w:r>
          </w:p>
        </w:tc>
        <w:tc>
          <w:tcPr>
            <w:tcW w:w="5382" w:type="dxa"/>
          </w:tcPr>
          <w:p w:rsidR="005F466F" w:rsidRPr="005F466F" w:rsidRDefault="005F466F" w:rsidP="005F466F">
            <w:pPr>
              <w:ind w:left="0" w:firstLine="709"/>
              <w:rPr>
                <w:sz w:val="23"/>
                <w:szCs w:val="23"/>
              </w:rPr>
            </w:pPr>
            <w:r w:rsidRPr="005F466F">
              <w:rPr>
                <w:b/>
                <w:sz w:val="23"/>
                <w:szCs w:val="23"/>
              </w:rPr>
              <w:t>Статья 11.</w:t>
            </w:r>
            <w:r w:rsidRPr="005F466F">
              <w:rPr>
                <w:sz w:val="23"/>
                <w:szCs w:val="23"/>
              </w:rPr>
              <w:t xml:space="preserve"> Центральные органы государственного управления, осуществляющие пенсионное обеспечение (пенсионные органы)</w:t>
            </w: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r w:rsidRPr="005F466F">
              <w:rPr>
                <w:sz w:val="23"/>
                <w:szCs w:val="23"/>
              </w:rPr>
              <w:t>1. Пенсионное обеспечение лиц, указанных в статье 1 настоящего Закона, и их семей в зависимости от последнего места службы этих лиц, за исключением случаев, предусмотренных пунктом 4 настоящей статьи, осуществляется:</w:t>
            </w:r>
          </w:p>
          <w:p w:rsidR="005F466F" w:rsidRPr="005F466F" w:rsidRDefault="005F466F" w:rsidP="005F466F">
            <w:pPr>
              <w:ind w:left="0"/>
              <w:rPr>
                <w:sz w:val="23"/>
                <w:szCs w:val="23"/>
              </w:rPr>
            </w:pPr>
          </w:p>
          <w:p w:rsidR="005F466F" w:rsidRPr="005F466F" w:rsidRDefault="005F466F" w:rsidP="005F466F">
            <w:pPr>
              <w:ind w:left="0"/>
              <w:rPr>
                <w:sz w:val="23"/>
                <w:szCs w:val="23"/>
              </w:rPr>
            </w:pPr>
            <w:r w:rsidRPr="005F466F">
              <w:rPr>
                <w:sz w:val="23"/>
                <w:szCs w:val="23"/>
              </w:rPr>
              <w:t xml:space="preserve">            …</w:t>
            </w:r>
          </w:p>
          <w:p w:rsidR="005F466F" w:rsidRPr="005F466F" w:rsidRDefault="005F466F" w:rsidP="005F466F">
            <w:pPr>
              <w:ind w:left="0" w:firstLine="709"/>
              <w:rPr>
                <w:b/>
                <w:sz w:val="23"/>
                <w:szCs w:val="23"/>
              </w:rPr>
            </w:pPr>
            <w:r w:rsidRPr="005F466F">
              <w:rPr>
                <w:b/>
                <w:sz w:val="23"/>
                <w:szCs w:val="23"/>
              </w:rPr>
              <w:t>д) исключить;</w:t>
            </w: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firstLine="709"/>
              <w:rPr>
                <w:sz w:val="23"/>
                <w:szCs w:val="23"/>
              </w:rPr>
            </w:pPr>
          </w:p>
          <w:p w:rsidR="005F466F" w:rsidRPr="005F466F" w:rsidRDefault="005F466F" w:rsidP="005F466F">
            <w:pPr>
              <w:ind w:left="0"/>
              <w:rPr>
                <w:sz w:val="23"/>
                <w:szCs w:val="23"/>
              </w:rPr>
            </w:pPr>
          </w:p>
          <w:p w:rsidR="005F466F" w:rsidRPr="005F466F" w:rsidRDefault="005F466F" w:rsidP="005F466F">
            <w:pPr>
              <w:ind w:left="0" w:firstLine="709"/>
              <w:rPr>
                <w:sz w:val="23"/>
                <w:szCs w:val="23"/>
              </w:rPr>
            </w:pPr>
            <w:r w:rsidRPr="005F466F">
              <w:rPr>
                <w:sz w:val="23"/>
                <w:szCs w:val="23"/>
              </w:rPr>
              <w:t>е) центральным органом уголовно-исполнительной системы в отношении лиц:</w:t>
            </w:r>
          </w:p>
          <w:p w:rsidR="005F466F" w:rsidRPr="005F466F" w:rsidRDefault="005F466F" w:rsidP="005F466F">
            <w:pPr>
              <w:ind w:left="0" w:firstLine="709"/>
              <w:rPr>
                <w:sz w:val="23"/>
                <w:szCs w:val="23"/>
              </w:rPr>
            </w:pPr>
            <w:r w:rsidRPr="005F466F">
              <w:rPr>
                <w:sz w:val="23"/>
                <w:szCs w:val="23"/>
              </w:rPr>
              <w:t>1) состоявших (состоящих) на службе в уголовно-исполнительной системе Приднестровской Молдавской Республики на должностях рядового и начальствующего состава в установленных специальных званиях;</w:t>
            </w:r>
          </w:p>
          <w:p w:rsidR="005F466F" w:rsidRPr="005F466F" w:rsidRDefault="005F466F" w:rsidP="005F466F">
            <w:pPr>
              <w:ind w:left="0" w:firstLine="709"/>
              <w:rPr>
                <w:sz w:val="23"/>
                <w:szCs w:val="23"/>
              </w:rPr>
            </w:pPr>
            <w:r w:rsidRPr="005F466F">
              <w:rPr>
                <w:sz w:val="23"/>
                <w:szCs w:val="23"/>
              </w:rPr>
              <w:t>2) состоявших (состоящих) на военной службе во внутренних войсках уголовно-исполнительной системы Приднестровской Молдавской Республики;</w:t>
            </w:r>
          </w:p>
          <w:p w:rsidR="005F466F" w:rsidRPr="005F466F" w:rsidRDefault="005F466F" w:rsidP="005F466F">
            <w:pPr>
              <w:ind w:left="0" w:firstLine="709"/>
              <w:rPr>
                <w:b/>
                <w:sz w:val="23"/>
                <w:szCs w:val="23"/>
              </w:rPr>
            </w:pPr>
            <w:r w:rsidRPr="005F466F">
              <w:rPr>
                <w:b/>
                <w:sz w:val="23"/>
                <w:szCs w:val="23"/>
              </w:rPr>
              <w:t>2-1) состоявших (состоящих) на государственной службе в службе судебных исполнителей на должностях рядового и начальствующего состава в установленных специальных званиях;</w:t>
            </w:r>
          </w:p>
          <w:p w:rsidR="005F466F" w:rsidRPr="005F466F" w:rsidRDefault="005F466F" w:rsidP="005F466F">
            <w:pPr>
              <w:ind w:left="0" w:firstLine="709"/>
              <w:rPr>
                <w:sz w:val="23"/>
                <w:szCs w:val="23"/>
              </w:rPr>
            </w:pPr>
            <w:r w:rsidRPr="005F466F">
              <w:rPr>
                <w:sz w:val="23"/>
                <w:szCs w:val="23"/>
              </w:rPr>
              <w:t>3) состоявших на службе в уголовно-исполнительной системе Российской Федерации и Украины.</w:t>
            </w:r>
          </w:p>
          <w:p w:rsidR="005F466F" w:rsidRPr="005F466F" w:rsidRDefault="005F466F" w:rsidP="005F466F">
            <w:pPr>
              <w:ind w:left="0" w:firstLine="709"/>
              <w:rPr>
                <w:sz w:val="23"/>
                <w:szCs w:val="23"/>
              </w:rPr>
            </w:pPr>
            <w:r w:rsidRPr="005F466F">
              <w:rPr>
                <w:sz w:val="23"/>
                <w:szCs w:val="23"/>
              </w:rPr>
              <w:t>2...</w:t>
            </w:r>
          </w:p>
          <w:p w:rsidR="005F466F" w:rsidRPr="005F466F" w:rsidRDefault="005F466F" w:rsidP="005F466F">
            <w:pPr>
              <w:ind w:left="0" w:firstLine="709"/>
              <w:rPr>
                <w:sz w:val="23"/>
                <w:szCs w:val="23"/>
              </w:rPr>
            </w:pPr>
            <w:r w:rsidRPr="005F466F">
              <w:rPr>
                <w:sz w:val="23"/>
                <w:szCs w:val="23"/>
              </w:rPr>
              <w:t>3…</w:t>
            </w:r>
          </w:p>
          <w:p w:rsidR="005F466F" w:rsidRPr="005F466F" w:rsidRDefault="005F466F" w:rsidP="005F466F">
            <w:pPr>
              <w:ind w:left="0" w:firstLine="709"/>
              <w:rPr>
                <w:sz w:val="23"/>
                <w:szCs w:val="23"/>
              </w:rPr>
            </w:pPr>
            <w:r w:rsidRPr="005F466F">
              <w:rPr>
                <w:sz w:val="23"/>
                <w:szCs w:val="23"/>
              </w:rPr>
              <w:t>4…</w:t>
            </w:r>
          </w:p>
        </w:tc>
      </w:tr>
    </w:tbl>
    <w:p w:rsidR="00465FD2" w:rsidRPr="00216E3E" w:rsidRDefault="00465FD2" w:rsidP="005F466F">
      <w:pPr>
        <w:ind w:left="0"/>
      </w:pPr>
      <w:bookmarkStart w:id="1" w:name="_GoBack"/>
      <w:bookmarkEnd w:id="1"/>
    </w:p>
    <w:sectPr w:rsidR="00465FD2" w:rsidRPr="00216E3E"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33" w:rsidRDefault="00434D33">
      <w:r>
        <w:separator/>
      </w:r>
    </w:p>
  </w:endnote>
  <w:endnote w:type="continuationSeparator" w:id="0">
    <w:p w:rsidR="00434D33" w:rsidRDefault="0043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33" w:rsidRDefault="00434D33">
      <w:r>
        <w:separator/>
      </w:r>
    </w:p>
  </w:footnote>
  <w:footnote w:type="continuationSeparator" w:id="0">
    <w:p w:rsidR="00434D33" w:rsidRDefault="0043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5F466F">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434D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16E3E"/>
    <w:rsid w:val="00234162"/>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34D33"/>
    <w:rsid w:val="00465FD2"/>
    <w:rsid w:val="0049279D"/>
    <w:rsid w:val="004F2BFD"/>
    <w:rsid w:val="0051274D"/>
    <w:rsid w:val="00520A66"/>
    <w:rsid w:val="00564E06"/>
    <w:rsid w:val="005669D6"/>
    <w:rsid w:val="0057635C"/>
    <w:rsid w:val="005959A5"/>
    <w:rsid w:val="005B3CC2"/>
    <w:rsid w:val="005F0727"/>
    <w:rsid w:val="005F466F"/>
    <w:rsid w:val="005F790B"/>
    <w:rsid w:val="0062219E"/>
    <w:rsid w:val="006354AC"/>
    <w:rsid w:val="006364A9"/>
    <w:rsid w:val="00666CFF"/>
    <w:rsid w:val="00677842"/>
    <w:rsid w:val="00694279"/>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00A4F"/>
    <w:rsid w:val="00C1671E"/>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019"/>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136</cp:revision>
  <dcterms:created xsi:type="dcterms:W3CDTF">2026-03-30T13:53:00Z</dcterms:created>
  <dcterms:modified xsi:type="dcterms:W3CDTF">2026-06-18T05:46:00Z</dcterms:modified>
</cp:coreProperties>
</file>