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EDF" w:rsidRDefault="00E87EDF" w:rsidP="00E87EDF">
      <w:pPr>
        <w:jc w:val="center"/>
        <w:rPr>
          <w:color w:val="000000"/>
        </w:rPr>
      </w:pPr>
      <w:r w:rsidRPr="005B590B">
        <w:rPr>
          <w:color w:val="000000"/>
        </w:rPr>
        <w:t xml:space="preserve">Сравнительная таблица </w:t>
      </w:r>
    </w:p>
    <w:p w:rsidR="00E87EDF" w:rsidRPr="005B590B" w:rsidRDefault="00E87EDF" w:rsidP="00E87EDF">
      <w:pPr>
        <w:jc w:val="center"/>
      </w:pPr>
      <w:r>
        <w:rPr>
          <w:color w:val="000000"/>
        </w:rPr>
        <w:t>к</w:t>
      </w:r>
      <w:r>
        <w:rPr>
          <w:b/>
          <w:bCs/>
          <w:color w:val="000000"/>
        </w:rPr>
        <w:t xml:space="preserve"> </w:t>
      </w:r>
      <w:r w:rsidRPr="005B590B">
        <w:rPr>
          <w:color w:val="000000"/>
        </w:rPr>
        <w:t>проекту закона Приднестровской Молдавской Республики</w:t>
      </w:r>
    </w:p>
    <w:p w:rsidR="00E87EDF" w:rsidRDefault="00E87EDF" w:rsidP="00E87EDF">
      <w:pPr>
        <w:jc w:val="center"/>
        <w:rPr>
          <w:color w:val="000000"/>
        </w:rPr>
      </w:pPr>
      <w:r>
        <w:rPr>
          <w:color w:val="000000"/>
        </w:rPr>
        <w:t>«</w:t>
      </w:r>
      <w:r w:rsidRPr="005B590B">
        <w:rPr>
          <w:color w:val="000000"/>
        </w:rPr>
        <w:t>О внесении изменени</w:t>
      </w:r>
      <w:r>
        <w:rPr>
          <w:color w:val="000000"/>
        </w:rPr>
        <w:t>я</w:t>
      </w:r>
      <w:r w:rsidRPr="005B590B">
        <w:rPr>
          <w:color w:val="000000"/>
        </w:rPr>
        <w:t xml:space="preserve"> и дополнений в Гражданск</w:t>
      </w:r>
      <w:r>
        <w:rPr>
          <w:color w:val="000000"/>
        </w:rPr>
        <w:t>ий</w:t>
      </w:r>
      <w:r w:rsidRPr="005B590B">
        <w:rPr>
          <w:color w:val="000000"/>
        </w:rPr>
        <w:t xml:space="preserve"> кодекс </w:t>
      </w:r>
    </w:p>
    <w:p w:rsidR="00E87EDF" w:rsidRPr="005B590B" w:rsidRDefault="00E87EDF" w:rsidP="00E87EDF">
      <w:pPr>
        <w:jc w:val="center"/>
      </w:pPr>
      <w:r w:rsidRPr="005B590B">
        <w:rPr>
          <w:color w:val="000000"/>
        </w:rPr>
        <w:t>Приднестровской Молдавской Республики</w:t>
      </w:r>
      <w:r>
        <w:rPr>
          <w:color w:val="000000"/>
        </w:rPr>
        <w:t>»</w:t>
      </w:r>
      <w:r w:rsidRPr="005B590B">
        <w:rPr>
          <w:color w:val="000000"/>
        </w:rPr>
        <w:t xml:space="preserve"> </w:t>
      </w:r>
    </w:p>
    <w:p w:rsidR="00E87EDF" w:rsidRPr="005B590B" w:rsidRDefault="00E87EDF" w:rsidP="00E87EDF">
      <w:pPr>
        <w:jc w:val="center"/>
      </w:pPr>
      <w:r w:rsidRPr="005B590B">
        <w:t> </w:t>
      </w:r>
    </w:p>
    <w:tbl>
      <w:tblPr>
        <w:tblW w:w="0" w:type="auto"/>
        <w:tblCellSpacing w:w="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814"/>
      </w:tblGrid>
      <w:tr w:rsidR="00E87EDF" w:rsidRPr="005B590B" w:rsidTr="00A22A83">
        <w:trPr>
          <w:trHeight w:val="500"/>
          <w:tblCellSpacing w:w="0" w:type="dxa"/>
        </w:trPr>
        <w:tc>
          <w:tcPr>
            <w:tcW w:w="4849" w:type="dxa"/>
            <w:tcBorders>
              <w:top w:val="single" w:sz="4" w:space="0" w:color="000000"/>
              <w:left w:val="single" w:sz="4" w:space="0" w:color="000000"/>
              <w:bottom w:val="single" w:sz="4" w:space="0" w:color="000000"/>
              <w:right w:val="single" w:sz="4" w:space="0" w:color="000000"/>
            </w:tcBorders>
            <w:vAlign w:val="center"/>
            <w:hideMark/>
          </w:tcPr>
          <w:p w:rsidR="00E87EDF" w:rsidRPr="005B590B" w:rsidRDefault="00E87EDF" w:rsidP="00A22A83">
            <w:pPr>
              <w:ind w:firstLine="460"/>
              <w:jc w:val="center"/>
            </w:pPr>
            <w:r w:rsidRPr="005B590B">
              <w:rPr>
                <w:b/>
                <w:bCs/>
                <w:color w:val="000000"/>
              </w:rPr>
              <w:t>Действующая редакция</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E87EDF" w:rsidRPr="005B590B" w:rsidRDefault="00E87EDF" w:rsidP="00A22A83">
            <w:pPr>
              <w:ind w:firstLine="460"/>
              <w:jc w:val="center"/>
            </w:pPr>
            <w:r w:rsidRPr="005B590B">
              <w:rPr>
                <w:b/>
                <w:bCs/>
                <w:color w:val="000000"/>
              </w:rPr>
              <w:t>Предлагаемая редакция</w:t>
            </w:r>
          </w:p>
        </w:tc>
      </w:tr>
      <w:tr w:rsidR="00E87EDF" w:rsidRPr="005B590B" w:rsidTr="00A22A83">
        <w:trPr>
          <w:trHeight w:val="500"/>
          <w:tblCellSpacing w:w="0" w:type="dxa"/>
        </w:trPr>
        <w:tc>
          <w:tcPr>
            <w:tcW w:w="4849" w:type="dxa"/>
            <w:tcBorders>
              <w:top w:val="single" w:sz="4" w:space="0" w:color="000000"/>
              <w:left w:val="single" w:sz="4" w:space="0" w:color="000000"/>
              <w:bottom w:val="single" w:sz="4" w:space="0" w:color="000000"/>
              <w:right w:val="single" w:sz="4" w:space="0" w:color="000000"/>
            </w:tcBorders>
            <w:hideMark/>
          </w:tcPr>
          <w:p w:rsidR="00E87EDF" w:rsidRPr="005B590B" w:rsidRDefault="00E87EDF" w:rsidP="00A22A83">
            <w:bookmarkStart w:id="0" w:name="_GoBack"/>
            <w:r w:rsidRPr="005B590B">
              <w:rPr>
                <w:b/>
                <w:bCs/>
                <w:color w:val="000000"/>
              </w:rPr>
              <w:t>Статья 102.</w:t>
            </w:r>
            <w:r w:rsidRPr="005B590B">
              <w:rPr>
                <w:color w:val="000000"/>
              </w:rPr>
              <w:t xml:space="preserve"> Переход доли или части доли в уставном капитале общества с ограниченной ответственностью к другому лицу</w:t>
            </w:r>
          </w:p>
          <w:p w:rsidR="00E87EDF" w:rsidRPr="005B590B" w:rsidRDefault="00E87EDF" w:rsidP="00A22A83">
            <w:pPr>
              <w:ind w:firstLine="460"/>
            </w:pPr>
            <w:r w:rsidRPr="005B590B">
              <w:rPr>
                <w:color w:val="000000"/>
              </w:rPr>
              <w:t>…</w:t>
            </w:r>
          </w:p>
          <w:p w:rsidR="00E87EDF" w:rsidRPr="005B590B" w:rsidRDefault="00E87EDF" w:rsidP="00A22A83">
            <w:pPr>
              <w:ind w:firstLine="709"/>
            </w:pPr>
            <w:r w:rsidRPr="005B590B">
              <w:rPr>
                <w:color w:val="000000"/>
              </w:rPr>
              <w:t>6. Доли в уставном капитале общества переходят к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если иное не предусмотрено уставом общества с ограниченной ответственностью.</w:t>
            </w:r>
          </w:p>
          <w:p w:rsidR="00E87EDF" w:rsidRDefault="00E87EDF" w:rsidP="00A22A83">
            <w:pPr>
              <w:ind w:firstLine="709"/>
              <w:rPr>
                <w:color w:val="000000"/>
              </w:rPr>
            </w:pPr>
          </w:p>
          <w:p w:rsidR="00E87EDF" w:rsidRDefault="00E87EDF" w:rsidP="00A22A83">
            <w:pPr>
              <w:ind w:firstLine="709"/>
              <w:rPr>
                <w:color w:val="000000"/>
              </w:rPr>
            </w:pPr>
          </w:p>
          <w:p w:rsidR="00E87EDF" w:rsidRDefault="00E87EDF" w:rsidP="00A22A83">
            <w:pPr>
              <w:ind w:firstLine="709"/>
              <w:rPr>
                <w:color w:val="000000"/>
              </w:rPr>
            </w:pPr>
            <w:r w:rsidRPr="005B590B">
              <w:rPr>
                <w:color w:val="000000"/>
              </w:rPr>
              <w:t>Уставом общества может быть предусмотрено, что переход доли в уставном капитале общества к наследникам и правопреемникам, указанным в части первой настоящего пункта,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p>
          <w:p w:rsidR="00E87EDF" w:rsidRPr="005B590B" w:rsidRDefault="00E87EDF" w:rsidP="00A22A83">
            <w:pPr>
              <w:ind w:firstLine="709"/>
            </w:pPr>
          </w:p>
          <w:p w:rsidR="00E87EDF" w:rsidRPr="005B590B" w:rsidRDefault="00E87EDF" w:rsidP="00A22A83">
            <w:r>
              <w:rPr>
                <w:color w:val="000000"/>
              </w:rPr>
              <w:t xml:space="preserve">        </w:t>
            </w:r>
            <w:r w:rsidRPr="005B590B">
              <w:rPr>
                <w:color w:val="000000"/>
              </w:rPr>
              <w:t xml:space="preserve">Отказ в согласии на переход доли влечет обязанность общества выплатить </w:t>
            </w:r>
            <w:r w:rsidRPr="000503EB">
              <w:rPr>
                <w:b/>
                <w:bCs/>
                <w:color w:val="000000"/>
              </w:rPr>
              <w:t>наследникам и правопреемникам, указанным в части первой настоящего пункта</w:t>
            </w:r>
            <w:r w:rsidRPr="005B590B">
              <w:rPr>
                <w:color w:val="000000"/>
              </w:rPr>
              <w:t xml:space="preserve">, ее действительную стоимость или выдать им в натуре имущество </w:t>
            </w:r>
            <w:r w:rsidRPr="000503EB">
              <w:rPr>
                <w:b/>
                <w:bCs/>
                <w:color w:val="000000"/>
              </w:rPr>
              <w:t>на такую стоимость</w:t>
            </w:r>
            <w:r w:rsidRPr="005B590B">
              <w:rPr>
                <w:color w:val="000000"/>
              </w:rPr>
              <w:t xml:space="preserve"> в порядке и на условиях, </w:t>
            </w:r>
            <w:r w:rsidRPr="00033AE7">
              <w:rPr>
                <w:bCs/>
                <w:color w:val="000000"/>
              </w:rPr>
              <w:t>предусмотренных</w:t>
            </w:r>
            <w:r w:rsidRPr="005B590B">
              <w:rPr>
                <w:color w:val="000000"/>
              </w:rPr>
              <w:t xml:space="preserve"> Законом Приднестровской Молдавской Республики </w:t>
            </w:r>
            <w:r>
              <w:rPr>
                <w:color w:val="000000"/>
              </w:rPr>
              <w:t>«</w:t>
            </w:r>
            <w:r w:rsidRPr="005B590B">
              <w:rPr>
                <w:color w:val="000000"/>
              </w:rPr>
              <w:t>Об обществах с ограниченной ответственностью» и уставом общества.</w:t>
            </w:r>
          </w:p>
          <w:p w:rsidR="00E87EDF" w:rsidRPr="005B590B" w:rsidRDefault="00E87EDF" w:rsidP="00A22A83">
            <w:pPr>
              <w:ind w:firstLine="460"/>
            </w:pPr>
            <w:r w:rsidRPr="005B590B">
              <w:t> </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E87EDF" w:rsidRPr="005B590B" w:rsidRDefault="00E87EDF" w:rsidP="00A22A83">
            <w:r w:rsidRPr="005B590B">
              <w:rPr>
                <w:b/>
                <w:bCs/>
                <w:color w:val="000000"/>
              </w:rPr>
              <w:t>Статья 102.</w:t>
            </w:r>
            <w:r w:rsidRPr="005B590B">
              <w:rPr>
                <w:color w:val="000000"/>
              </w:rPr>
              <w:t xml:space="preserve"> Переход доли или части доли в уставном капитале общества с ограниченной ответственностью к другому лицу</w:t>
            </w:r>
          </w:p>
          <w:p w:rsidR="00E87EDF" w:rsidRPr="005B590B" w:rsidRDefault="00E87EDF" w:rsidP="00A22A83">
            <w:pPr>
              <w:ind w:firstLine="460"/>
            </w:pPr>
            <w:r w:rsidRPr="005B590B">
              <w:rPr>
                <w:color w:val="000000"/>
              </w:rPr>
              <w:t>…</w:t>
            </w:r>
          </w:p>
          <w:p w:rsidR="00E87EDF" w:rsidRPr="005B590B" w:rsidRDefault="00E87EDF" w:rsidP="00A22A83">
            <w:pPr>
              <w:ind w:firstLine="460"/>
            </w:pPr>
            <w:r w:rsidRPr="005B590B">
              <w:rPr>
                <w:color w:val="000000"/>
              </w:rPr>
              <w:t xml:space="preserve">6. Доли в уставном капитале общества переходят к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w:t>
            </w:r>
            <w:r w:rsidRPr="005B590B">
              <w:rPr>
                <w:b/>
                <w:bCs/>
              </w:rPr>
              <w:t>супругу (бывшему супругу) участника общества</w:t>
            </w:r>
            <w:r>
              <w:rPr>
                <w:b/>
                <w:bCs/>
              </w:rPr>
              <w:t xml:space="preserve"> </w:t>
            </w:r>
            <w:r w:rsidRPr="005B590B">
              <w:rPr>
                <w:b/>
                <w:bCs/>
              </w:rPr>
              <w:t>в случае раздела общего имущества,</w:t>
            </w:r>
            <w:r>
              <w:rPr>
                <w:b/>
                <w:bCs/>
              </w:rPr>
              <w:t xml:space="preserve"> </w:t>
            </w:r>
            <w:r w:rsidRPr="005B590B">
              <w:rPr>
                <w:color w:val="000000"/>
              </w:rPr>
              <w:t>если иное не предусмотрено уставом общества с ограниченной ответственностью.</w:t>
            </w:r>
          </w:p>
          <w:p w:rsidR="00E87EDF" w:rsidRPr="005B590B" w:rsidRDefault="00E87EDF" w:rsidP="00A22A83">
            <w:pPr>
              <w:ind w:firstLine="709"/>
            </w:pPr>
            <w:r w:rsidRPr="005B590B">
              <w:rPr>
                <w:color w:val="000000"/>
              </w:rPr>
              <w:t>Уставом общества может быть предусмотрено, что переход доли в уставном капитале общества к наследникам и правопреемникам,</w:t>
            </w:r>
            <w:r>
              <w:rPr>
                <w:color w:val="000000"/>
              </w:rPr>
              <w:t xml:space="preserve"> </w:t>
            </w:r>
            <w:r w:rsidRPr="005B590B">
              <w:rPr>
                <w:b/>
                <w:bCs/>
              </w:rPr>
              <w:t>супругу (бывшему супругу) участника общества,</w:t>
            </w:r>
            <w:r w:rsidRPr="005B590B">
              <w:t xml:space="preserve"> </w:t>
            </w:r>
            <w:r w:rsidRPr="005B590B">
              <w:rPr>
                <w:color w:val="000000"/>
              </w:rPr>
              <w:t>указанным в части первой настоящего пункта,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p>
          <w:p w:rsidR="00E87EDF" w:rsidRPr="005B590B" w:rsidRDefault="00E87EDF" w:rsidP="00A22A83">
            <w:pPr>
              <w:ind w:firstLine="460"/>
              <w:rPr>
                <w:b/>
                <w:bCs/>
              </w:rPr>
            </w:pPr>
            <w:r w:rsidRPr="001C1ED1">
              <w:t> </w:t>
            </w:r>
            <w:r w:rsidRPr="00F52A11">
              <w:rPr>
                <w:color w:val="000000"/>
              </w:rPr>
              <w:t xml:space="preserve">Отказ в согласии на переход доли </w:t>
            </w:r>
            <w:r w:rsidRPr="00F52A11">
              <w:rPr>
                <w:b/>
                <w:color w:val="000000"/>
              </w:rPr>
              <w:t>либо предусмотренный уставом общества запрет на переход доли (части доли) участника общества к третьим лицам</w:t>
            </w:r>
            <w:r w:rsidRPr="00F52A11">
              <w:rPr>
                <w:color w:val="000000"/>
              </w:rPr>
              <w:t xml:space="preserve"> влечет за собой обязанность общества выплатить</w:t>
            </w:r>
            <w:r w:rsidRPr="00F52A11">
              <w:rPr>
                <w:b/>
                <w:bCs/>
                <w:color w:val="000000"/>
              </w:rPr>
              <w:t xml:space="preserve"> лицам, указанным в части первой настоящего пункта, </w:t>
            </w:r>
            <w:r w:rsidRPr="00F52A11">
              <w:rPr>
                <w:color w:val="000000"/>
              </w:rPr>
              <w:t>ее действительную стоимость или выдать им в натуре имущество</w:t>
            </w:r>
            <w:r w:rsidRPr="00F52A11">
              <w:rPr>
                <w:b/>
                <w:bCs/>
                <w:color w:val="000000"/>
              </w:rPr>
              <w:t>, соответствующее</w:t>
            </w:r>
            <w:r w:rsidRPr="005B590B">
              <w:rPr>
                <w:b/>
                <w:bCs/>
                <w:color w:val="000000"/>
              </w:rPr>
              <w:t xml:space="preserve"> такой стоимости, </w:t>
            </w:r>
            <w:r w:rsidRPr="000503EB">
              <w:rPr>
                <w:color w:val="000000"/>
              </w:rPr>
              <w:t xml:space="preserve">в порядке и на условиях, </w:t>
            </w:r>
            <w:r w:rsidRPr="00033AE7">
              <w:rPr>
                <w:bCs/>
                <w:color w:val="000000"/>
              </w:rPr>
              <w:t>предусмотренных</w:t>
            </w:r>
            <w:r w:rsidRPr="000503EB">
              <w:rPr>
                <w:color w:val="000000"/>
              </w:rPr>
              <w:t xml:space="preserve"> Законом Приднестровской Молдавской Республики </w:t>
            </w:r>
            <w:r>
              <w:rPr>
                <w:color w:val="000000"/>
              </w:rPr>
              <w:t>«</w:t>
            </w:r>
            <w:r w:rsidRPr="000503EB">
              <w:rPr>
                <w:color w:val="000000"/>
              </w:rPr>
              <w:t>Об обществах с ограниченной ответственностью</w:t>
            </w:r>
            <w:r>
              <w:rPr>
                <w:color w:val="000000"/>
              </w:rPr>
              <w:t>»</w:t>
            </w:r>
            <w:r w:rsidRPr="000503EB">
              <w:rPr>
                <w:color w:val="000000"/>
              </w:rPr>
              <w:t xml:space="preserve"> и уставом общества.</w:t>
            </w:r>
          </w:p>
        </w:tc>
      </w:tr>
      <w:bookmarkEnd w:id="0"/>
    </w:tbl>
    <w:p w:rsidR="00465FD2" w:rsidRPr="00A34C56" w:rsidRDefault="00465FD2" w:rsidP="00E87EDF">
      <w:pPr>
        <w:ind w:left="0"/>
      </w:pPr>
    </w:p>
    <w:sectPr w:rsidR="00465FD2" w:rsidRPr="00A34C56"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C4" w:rsidRDefault="005550C4">
      <w:r>
        <w:separator/>
      </w:r>
    </w:p>
  </w:endnote>
  <w:endnote w:type="continuationSeparator" w:id="0">
    <w:p w:rsidR="005550C4" w:rsidRDefault="0055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C4" w:rsidRDefault="005550C4">
      <w:r>
        <w:separator/>
      </w:r>
    </w:p>
  </w:footnote>
  <w:footnote w:type="continuationSeparator" w:id="0">
    <w:p w:rsidR="005550C4" w:rsidRDefault="0055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357F01">
          <w:rPr>
            <w:rFonts w:ascii="Times New Roman" w:hAnsi="Times New Roman" w:cs="Times New Roman"/>
            <w:noProof/>
            <w:sz w:val="24"/>
          </w:rPr>
          <w:t>- 5 -</w:t>
        </w:r>
        <w:r w:rsidRPr="001038FE">
          <w:rPr>
            <w:rFonts w:ascii="Times New Roman" w:hAnsi="Times New Roman" w:cs="Times New Roman"/>
            <w:sz w:val="24"/>
          </w:rPr>
          <w:fldChar w:fldCharType="end"/>
        </w:r>
      </w:p>
    </w:sdtContent>
  </w:sdt>
  <w:p w:rsidR="001038FE" w:rsidRDefault="005550C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060C"/>
    <w:rsid w:val="00276593"/>
    <w:rsid w:val="00294BF3"/>
    <w:rsid w:val="002A10C8"/>
    <w:rsid w:val="002A1DF8"/>
    <w:rsid w:val="002D05B6"/>
    <w:rsid w:val="002F03DA"/>
    <w:rsid w:val="00336B91"/>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550C4"/>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4C56"/>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00A4F"/>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01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143</cp:revision>
  <dcterms:created xsi:type="dcterms:W3CDTF">2026-03-30T13:53:00Z</dcterms:created>
  <dcterms:modified xsi:type="dcterms:W3CDTF">2026-06-18T06:58:00Z</dcterms:modified>
</cp:coreProperties>
</file>