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B7" w:rsidRPr="00892FB7" w:rsidRDefault="00892FB7" w:rsidP="00892FB7">
      <w:pPr>
        <w:widowControl w:val="0"/>
        <w:shd w:val="clear" w:color="auto" w:fill="FFFFFF"/>
        <w:ind w:left="0" w:firstLine="709"/>
        <w:jc w:val="center"/>
        <w:rPr>
          <w:b/>
          <w:iCs/>
          <w:sz w:val="28"/>
          <w:szCs w:val="28"/>
        </w:rPr>
      </w:pPr>
      <w:r w:rsidRPr="00892FB7">
        <w:rPr>
          <w:b/>
          <w:sz w:val="28"/>
          <w:szCs w:val="28"/>
        </w:rPr>
        <w:t>Сравнительная таблица к проекту закона</w:t>
      </w:r>
      <w:r w:rsidRPr="00892FB7">
        <w:rPr>
          <w:rFonts w:asciiTheme="minorHAnsi" w:eastAsiaTheme="minorHAnsi" w:hAnsiTheme="minorHAnsi" w:cstheme="minorBidi"/>
          <w:b/>
          <w:sz w:val="22"/>
          <w:szCs w:val="22"/>
          <w:lang w:eastAsia="en-US"/>
        </w:rPr>
        <w:t xml:space="preserve"> </w:t>
      </w:r>
      <w:r w:rsidRPr="00892FB7">
        <w:rPr>
          <w:b/>
          <w:sz w:val="28"/>
          <w:szCs w:val="28"/>
        </w:rPr>
        <w:t xml:space="preserve">Приднестровской Молдавской Республики </w:t>
      </w:r>
      <w:r w:rsidRPr="00892FB7">
        <w:rPr>
          <w:b/>
          <w:iCs/>
          <w:sz w:val="28"/>
          <w:szCs w:val="28"/>
        </w:rPr>
        <w:t xml:space="preserve">«О внесении </w:t>
      </w:r>
      <w:r w:rsidRPr="00892FB7">
        <w:rPr>
          <w:b/>
          <w:sz w:val="28"/>
          <w:szCs w:val="28"/>
        </w:rPr>
        <w:t xml:space="preserve">дополнения и изменений </w:t>
      </w:r>
      <w:r w:rsidRPr="00892FB7">
        <w:rPr>
          <w:b/>
          <w:iCs/>
          <w:sz w:val="28"/>
          <w:szCs w:val="28"/>
        </w:rPr>
        <w:t>в Закон Приднестровской Молдавской Республики «О транспорте»</w:t>
      </w:r>
    </w:p>
    <w:p w:rsidR="00892FB7" w:rsidRPr="00892FB7" w:rsidRDefault="00892FB7" w:rsidP="00892FB7">
      <w:pPr>
        <w:widowControl w:val="0"/>
        <w:shd w:val="clear" w:color="auto" w:fill="FFFFFF"/>
        <w:ind w:left="0" w:firstLine="709"/>
        <w:jc w:val="center"/>
        <w:rPr>
          <w:sz w:val="28"/>
          <w:szCs w:val="28"/>
        </w:rPr>
      </w:pPr>
    </w:p>
    <w:tbl>
      <w:tblPr>
        <w:tblStyle w:val="24"/>
        <w:tblW w:w="10065" w:type="dxa"/>
        <w:tblInd w:w="-431" w:type="dxa"/>
        <w:tblLayout w:type="fixed"/>
        <w:tblLook w:val="04A0" w:firstRow="1" w:lastRow="0" w:firstColumn="1" w:lastColumn="0" w:noHBand="0" w:noVBand="1"/>
      </w:tblPr>
      <w:tblGrid>
        <w:gridCol w:w="588"/>
        <w:gridCol w:w="4658"/>
        <w:gridCol w:w="4819"/>
      </w:tblGrid>
      <w:tr w:rsidR="00892FB7" w:rsidRPr="00892FB7" w:rsidTr="00903302">
        <w:trPr>
          <w:trHeight w:val="272"/>
        </w:trPr>
        <w:tc>
          <w:tcPr>
            <w:tcW w:w="588" w:type="dxa"/>
          </w:tcPr>
          <w:p w:rsidR="00892FB7" w:rsidRPr="00892FB7" w:rsidRDefault="00892FB7" w:rsidP="00892FB7">
            <w:pPr>
              <w:ind w:left="0"/>
              <w:rPr>
                <w:rFonts w:eastAsiaTheme="minorHAnsi"/>
                <w:b/>
                <w:bCs/>
                <w:shd w:val="clear" w:color="auto" w:fill="FFFFFF"/>
              </w:rPr>
            </w:pPr>
          </w:p>
          <w:p w:rsidR="00892FB7" w:rsidRPr="00892FB7" w:rsidRDefault="00892FB7" w:rsidP="00892FB7">
            <w:pPr>
              <w:ind w:left="0"/>
              <w:rPr>
                <w:rFonts w:eastAsiaTheme="minorHAnsi"/>
                <w:b/>
                <w:bCs/>
                <w:shd w:val="clear" w:color="auto" w:fill="FFFFFF"/>
              </w:rPr>
            </w:pPr>
          </w:p>
        </w:tc>
        <w:tc>
          <w:tcPr>
            <w:tcW w:w="4658" w:type="dxa"/>
          </w:tcPr>
          <w:p w:rsidR="00892FB7" w:rsidRPr="00892FB7" w:rsidRDefault="00892FB7" w:rsidP="00892FB7">
            <w:pPr>
              <w:spacing w:after="160" w:line="259" w:lineRule="auto"/>
              <w:ind w:left="0"/>
              <w:rPr>
                <w:rFonts w:eastAsiaTheme="minorHAnsi"/>
                <w:b/>
                <w:bCs/>
                <w:shd w:val="clear" w:color="auto" w:fill="FFFFFF"/>
              </w:rPr>
            </w:pPr>
            <w:r w:rsidRPr="00892FB7">
              <w:rPr>
                <w:rFonts w:eastAsiaTheme="minorHAnsi"/>
                <w:b/>
                <w:bCs/>
                <w:shd w:val="clear" w:color="auto" w:fill="FFFFFF"/>
              </w:rPr>
              <w:t>Действующая редакция</w:t>
            </w:r>
          </w:p>
        </w:tc>
        <w:tc>
          <w:tcPr>
            <w:tcW w:w="4819" w:type="dxa"/>
          </w:tcPr>
          <w:p w:rsidR="00892FB7" w:rsidRPr="00892FB7" w:rsidRDefault="00892FB7" w:rsidP="00892FB7">
            <w:pPr>
              <w:spacing w:after="160" w:line="259" w:lineRule="auto"/>
              <w:ind w:left="0"/>
              <w:rPr>
                <w:rFonts w:eastAsiaTheme="minorHAnsi"/>
                <w:b/>
                <w:bCs/>
                <w:shd w:val="clear" w:color="auto" w:fill="FFFFFF"/>
              </w:rPr>
            </w:pPr>
            <w:r w:rsidRPr="00892FB7">
              <w:rPr>
                <w:rFonts w:eastAsiaTheme="minorHAnsi"/>
                <w:b/>
                <w:bCs/>
                <w:shd w:val="clear" w:color="auto" w:fill="FFFFFF"/>
              </w:rPr>
              <w:t>Предлагаемая редакция</w:t>
            </w:r>
          </w:p>
        </w:tc>
      </w:tr>
      <w:tr w:rsidR="00892FB7" w:rsidRPr="00892FB7" w:rsidTr="00903302">
        <w:trPr>
          <w:trHeight w:val="260"/>
        </w:trPr>
        <w:tc>
          <w:tcPr>
            <w:tcW w:w="588" w:type="dxa"/>
          </w:tcPr>
          <w:p w:rsidR="00892FB7" w:rsidRPr="00892FB7" w:rsidRDefault="00892FB7" w:rsidP="00892FB7">
            <w:pPr>
              <w:ind w:left="0"/>
              <w:rPr>
                <w:rFonts w:eastAsiaTheme="minorHAnsi"/>
                <w:bCs/>
                <w:shd w:val="clear" w:color="auto" w:fill="FFFFFF"/>
              </w:rPr>
            </w:pPr>
            <w:r w:rsidRPr="00892FB7">
              <w:rPr>
                <w:rFonts w:eastAsiaTheme="minorHAnsi"/>
                <w:bCs/>
                <w:shd w:val="clear" w:color="auto" w:fill="FFFFFF"/>
              </w:rPr>
              <w:t>1</w:t>
            </w:r>
          </w:p>
        </w:tc>
        <w:tc>
          <w:tcPr>
            <w:tcW w:w="4658" w:type="dxa"/>
          </w:tcPr>
          <w:p w:rsidR="00892FB7" w:rsidRPr="00892FB7" w:rsidRDefault="00892FB7" w:rsidP="00892FB7">
            <w:pPr>
              <w:ind w:left="0" w:firstLine="835"/>
              <w:contextualSpacing/>
              <w:rPr>
                <w:bCs/>
                <w:lang w:eastAsia="en-US"/>
              </w:rPr>
            </w:pPr>
            <w:r w:rsidRPr="00892FB7">
              <w:rPr>
                <w:b/>
                <w:bCs/>
                <w:lang w:eastAsia="en-US"/>
              </w:rPr>
              <w:t>Статья 1-1.</w:t>
            </w:r>
            <w:r w:rsidRPr="00892FB7">
              <w:rPr>
                <w:bCs/>
                <w:lang w:eastAsia="en-US"/>
              </w:rPr>
              <w:t xml:space="preserve"> Основные понятия и термины, используемые                                 в настоящем Законе</w:t>
            </w:r>
          </w:p>
          <w:p w:rsidR="00892FB7" w:rsidRPr="00892FB7" w:rsidRDefault="00892FB7" w:rsidP="00892FB7">
            <w:pPr>
              <w:ind w:left="0" w:firstLine="835"/>
              <w:contextualSpacing/>
              <w:rPr>
                <w:bCs/>
                <w:lang w:eastAsia="en-US"/>
              </w:rPr>
            </w:pPr>
          </w:p>
          <w:p w:rsidR="00892FB7" w:rsidRPr="00892FB7" w:rsidRDefault="00892FB7" w:rsidP="00892FB7">
            <w:pPr>
              <w:ind w:left="0" w:firstLine="835"/>
              <w:contextualSpacing/>
              <w:rPr>
                <w:bCs/>
                <w:lang w:eastAsia="en-US"/>
              </w:rPr>
            </w:pPr>
            <w:r w:rsidRPr="00892FB7">
              <w:rPr>
                <w:bCs/>
                <w:lang w:eastAsia="en-US"/>
              </w:rPr>
              <w:t>В настоящем Законе используются следующие основные понятия и термины:</w:t>
            </w:r>
          </w:p>
          <w:p w:rsidR="00892FB7" w:rsidRPr="00892FB7" w:rsidRDefault="00892FB7" w:rsidP="00892FB7">
            <w:pPr>
              <w:ind w:left="0"/>
              <w:contextualSpacing/>
              <w:rPr>
                <w:bCs/>
                <w:lang w:eastAsia="en-US"/>
              </w:rPr>
            </w:pPr>
          </w:p>
          <w:p w:rsidR="00892FB7" w:rsidRPr="00892FB7" w:rsidRDefault="00892FB7" w:rsidP="00892FB7">
            <w:pPr>
              <w:ind w:left="0"/>
              <w:contextualSpacing/>
              <w:jc w:val="center"/>
              <w:rPr>
                <w:bCs/>
                <w:lang w:eastAsia="en-US"/>
              </w:rPr>
            </w:pPr>
            <w:r w:rsidRPr="00892FB7">
              <w:rPr>
                <w:bCs/>
                <w:lang w:eastAsia="en-US"/>
              </w:rPr>
              <w:t>…</w:t>
            </w:r>
          </w:p>
          <w:p w:rsidR="00892FB7" w:rsidRPr="00892FB7" w:rsidRDefault="00892FB7" w:rsidP="00892FB7">
            <w:pPr>
              <w:shd w:val="clear" w:color="auto" w:fill="FFFFFF"/>
              <w:ind w:left="0" w:firstLine="709"/>
              <w:rPr>
                <w:shd w:val="clear" w:color="auto" w:fill="FFFFFF"/>
              </w:rPr>
            </w:pPr>
            <w:r w:rsidRPr="00892FB7">
              <w:rPr>
                <w:bCs/>
              </w:rPr>
              <w:t>о) автоматизированная система оплаты проезда (далее – АСОП) – совокупность оборудования и программного обеспечения, обеспечивающая учет и оплату проезда пассажира и багажа городским электротранспортом и автомобильным транспортом общего пользования на регулярных маршрутах (рейсах), автоматизацию расчетов, а также представление отчетности проезда каждой категорией пассажиров</w:t>
            </w:r>
            <w:r w:rsidRPr="00892FB7">
              <w:rPr>
                <w:shd w:val="clear" w:color="auto" w:fill="FFFFFF"/>
              </w:rPr>
              <w:t>;</w:t>
            </w:r>
          </w:p>
          <w:p w:rsidR="00892FB7" w:rsidRPr="00892FB7" w:rsidRDefault="00892FB7" w:rsidP="00892FB7">
            <w:pPr>
              <w:spacing w:after="160" w:line="259" w:lineRule="auto"/>
              <w:ind w:left="0" w:firstLine="552"/>
              <w:rPr>
                <w:rFonts w:eastAsiaTheme="minorHAnsi"/>
                <w:b/>
                <w:bCs/>
                <w:shd w:val="clear" w:color="auto" w:fill="FFFFFF"/>
              </w:rPr>
            </w:pPr>
          </w:p>
          <w:p w:rsidR="00892FB7" w:rsidRPr="00892FB7" w:rsidRDefault="00892FB7" w:rsidP="00892FB7">
            <w:pPr>
              <w:spacing w:after="160" w:line="259" w:lineRule="auto"/>
              <w:ind w:left="0" w:firstLine="552"/>
              <w:rPr>
                <w:rFonts w:eastAsiaTheme="minorHAnsi"/>
                <w:b/>
                <w:bCs/>
                <w:shd w:val="clear" w:color="auto" w:fill="FFFFFF"/>
              </w:rPr>
            </w:pPr>
            <w:r w:rsidRPr="00892FB7">
              <w:rPr>
                <w:rFonts w:eastAsiaTheme="minorHAnsi"/>
                <w:b/>
                <w:bCs/>
                <w:shd w:val="clear" w:color="auto" w:fill="FFFFFF"/>
              </w:rPr>
              <w:t>п) отсутствует.</w:t>
            </w:r>
          </w:p>
        </w:tc>
        <w:tc>
          <w:tcPr>
            <w:tcW w:w="4819" w:type="dxa"/>
          </w:tcPr>
          <w:p w:rsidR="00892FB7" w:rsidRPr="00892FB7" w:rsidRDefault="00892FB7" w:rsidP="00892FB7">
            <w:pPr>
              <w:ind w:left="0" w:firstLine="595"/>
              <w:contextualSpacing/>
              <w:rPr>
                <w:bCs/>
                <w:lang w:eastAsia="en-US"/>
              </w:rPr>
            </w:pPr>
            <w:r w:rsidRPr="00892FB7">
              <w:rPr>
                <w:b/>
                <w:bCs/>
                <w:lang w:eastAsia="en-US"/>
              </w:rPr>
              <w:t>Статья 1-1.</w:t>
            </w:r>
            <w:r w:rsidRPr="00892FB7">
              <w:rPr>
                <w:bCs/>
                <w:lang w:eastAsia="en-US"/>
              </w:rPr>
              <w:t xml:space="preserve"> Основные понятия и термины, используемые                                 в настоящем Законе</w:t>
            </w:r>
          </w:p>
          <w:p w:rsidR="00892FB7" w:rsidRPr="00892FB7" w:rsidRDefault="00892FB7" w:rsidP="00892FB7">
            <w:pPr>
              <w:ind w:left="0" w:firstLine="595"/>
              <w:contextualSpacing/>
              <w:rPr>
                <w:bCs/>
                <w:lang w:eastAsia="en-US"/>
              </w:rPr>
            </w:pPr>
          </w:p>
          <w:p w:rsidR="00892FB7" w:rsidRPr="00892FB7" w:rsidRDefault="00892FB7" w:rsidP="00892FB7">
            <w:pPr>
              <w:ind w:left="0" w:firstLine="595"/>
              <w:contextualSpacing/>
              <w:rPr>
                <w:bCs/>
                <w:lang w:eastAsia="en-US"/>
              </w:rPr>
            </w:pPr>
            <w:r w:rsidRPr="00892FB7">
              <w:rPr>
                <w:bCs/>
                <w:lang w:eastAsia="en-US"/>
              </w:rPr>
              <w:t>В настоящем Законе используются следующие основные понятия и термины:</w:t>
            </w:r>
          </w:p>
          <w:p w:rsidR="00892FB7" w:rsidRPr="00892FB7" w:rsidRDefault="00892FB7" w:rsidP="00892FB7">
            <w:pPr>
              <w:ind w:left="0" w:firstLine="595"/>
              <w:contextualSpacing/>
              <w:rPr>
                <w:bCs/>
                <w:lang w:eastAsia="en-US"/>
              </w:rPr>
            </w:pPr>
          </w:p>
          <w:p w:rsidR="00892FB7" w:rsidRPr="00892FB7" w:rsidRDefault="00892FB7" w:rsidP="00892FB7">
            <w:pPr>
              <w:ind w:left="0" w:firstLine="595"/>
              <w:contextualSpacing/>
              <w:jc w:val="center"/>
              <w:rPr>
                <w:bCs/>
                <w:lang w:eastAsia="en-US"/>
              </w:rPr>
            </w:pPr>
            <w:r w:rsidRPr="00892FB7">
              <w:rPr>
                <w:bCs/>
                <w:lang w:eastAsia="en-US"/>
              </w:rPr>
              <w:t>…</w:t>
            </w:r>
          </w:p>
          <w:p w:rsidR="00892FB7" w:rsidRPr="00892FB7" w:rsidRDefault="00892FB7" w:rsidP="00892FB7">
            <w:pPr>
              <w:shd w:val="clear" w:color="auto" w:fill="FFFFFF"/>
              <w:ind w:left="0" w:firstLine="595"/>
              <w:rPr>
                <w:shd w:val="clear" w:color="auto" w:fill="FFFFFF"/>
              </w:rPr>
            </w:pPr>
            <w:r w:rsidRPr="00892FB7">
              <w:rPr>
                <w:bCs/>
              </w:rPr>
              <w:t>о) автоматизированная система оплаты проезда (далее – АСОП) – совокупность оборудования и программного обеспечения, обеспечивающая учет и оплату проезда пассажира и багажа городским электротранспортом и автомобильным транспортом общего пользования на регулярных маршрутах (рейсах), автоматизацию расчетов, а также представление отчетности проезда каждой категорией пассажиров</w:t>
            </w:r>
            <w:r w:rsidRPr="00892FB7">
              <w:rPr>
                <w:shd w:val="clear" w:color="auto" w:fill="FFFFFF"/>
              </w:rPr>
              <w:t>;</w:t>
            </w:r>
          </w:p>
          <w:p w:rsidR="00892FB7" w:rsidRPr="00892FB7" w:rsidRDefault="00892FB7" w:rsidP="00892FB7">
            <w:pPr>
              <w:ind w:left="0" w:firstLine="595"/>
              <w:rPr>
                <w:rFonts w:eastAsiaTheme="minorHAnsi"/>
                <w:bCs/>
                <w:shd w:val="clear" w:color="auto" w:fill="FFFFFF"/>
              </w:rPr>
            </w:pPr>
            <w:r w:rsidRPr="00892FB7">
              <w:rPr>
                <w:rFonts w:eastAsiaTheme="minorHAnsi"/>
                <w:b/>
                <w:bCs/>
                <w:shd w:val="clear" w:color="auto" w:fill="FFFFFF"/>
              </w:rPr>
              <w:t>п) паспорт регулярного городского, пригородного, междугороднего, международного маршрута (рейса) - документ, содержащий основные характеристики регулярного маршрута (рейса), в том числе информацию о начале и окончании движения, интервале движения в течении суток, дорожных и иных условий движения транспортных средств по маршруту, в соответствии с требованиями по обеспечению безопасности дорожного движения.</w:t>
            </w:r>
          </w:p>
          <w:p w:rsidR="00892FB7" w:rsidRPr="00892FB7" w:rsidRDefault="00892FB7" w:rsidP="00892FB7">
            <w:pPr>
              <w:ind w:left="0" w:firstLine="595"/>
              <w:rPr>
                <w:rFonts w:eastAsiaTheme="minorHAnsi"/>
                <w:b/>
                <w:bCs/>
                <w:shd w:val="clear" w:color="auto" w:fill="FFFFFF"/>
              </w:rPr>
            </w:pPr>
          </w:p>
        </w:tc>
      </w:tr>
      <w:tr w:rsidR="00892FB7" w:rsidRPr="00892FB7" w:rsidTr="00903302">
        <w:trPr>
          <w:trHeight w:val="260"/>
        </w:trPr>
        <w:tc>
          <w:tcPr>
            <w:tcW w:w="588" w:type="dxa"/>
          </w:tcPr>
          <w:p w:rsidR="00892FB7" w:rsidRPr="00892FB7" w:rsidRDefault="00892FB7" w:rsidP="00892FB7">
            <w:pPr>
              <w:ind w:left="0"/>
              <w:rPr>
                <w:rFonts w:eastAsiaTheme="minorHAnsi"/>
                <w:bCs/>
                <w:shd w:val="clear" w:color="auto" w:fill="FFFFFF"/>
              </w:rPr>
            </w:pPr>
          </w:p>
        </w:tc>
        <w:tc>
          <w:tcPr>
            <w:tcW w:w="4658" w:type="dxa"/>
          </w:tcPr>
          <w:p w:rsidR="00892FB7" w:rsidRPr="00892FB7" w:rsidRDefault="00892FB7" w:rsidP="00892FB7">
            <w:pPr>
              <w:ind w:left="0" w:firstLine="567"/>
              <w:outlineLvl w:val="0"/>
              <w:rPr>
                <w:b/>
                <w:lang w:eastAsia="en-US"/>
              </w:rPr>
            </w:pPr>
            <w:r w:rsidRPr="00892FB7">
              <w:rPr>
                <w:b/>
                <w:lang w:eastAsia="en-US"/>
              </w:rPr>
              <w:t>Статья 5.</w:t>
            </w:r>
            <w:r w:rsidRPr="00892FB7">
              <w:rPr>
                <w:lang w:eastAsia="en-US"/>
              </w:rPr>
              <w:t xml:space="preserve"> </w:t>
            </w:r>
            <w:r w:rsidRPr="00892FB7">
              <w:rPr>
                <w:b/>
                <w:lang w:eastAsia="en-US"/>
              </w:rPr>
              <w:t>Отношения транспортных организаций (перевозчиков), а также иных участников АСОП с уполномоченными Правительством Приднестровской Молдавской Республики исполнительными органами государственной власти и государственными администрациями городов (районов)</w:t>
            </w:r>
          </w:p>
          <w:p w:rsidR="00892FB7" w:rsidRPr="00892FB7" w:rsidRDefault="00892FB7" w:rsidP="00892FB7">
            <w:pPr>
              <w:ind w:left="0" w:firstLine="582"/>
              <w:outlineLvl w:val="0"/>
              <w:rPr>
                <w:lang w:eastAsia="en-US"/>
              </w:rPr>
            </w:pPr>
            <w:r w:rsidRPr="00892FB7">
              <w:rPr>
                <w:lang w:eastAsia="en-US"/>
              </w:rPr>
              <w:t xml:space="preserve">Отношения транспортных организаций (перевозчиков) с уполномоченными Правительством Приднестровской Молдавской Республики исполнительными органами государственной власти и </w:t>
            </w:r>
            <w:r w:rsidRPr="00892FB7">
              <w:rPr>
                <w:lang w:eastAsia="en-US"/>
              </w:rPr>
              <w:lastRenderedPageBreak/>
              <w:t xml:space="preserve">государственными администрациями городов (районов) строятся на договорной основе, на основании налогов, налоговых льгот, установленных нормативов и других экономических средств согласно действующему законодательству Приднестровской Молдавской Республики. Договоры или контракты должны носить конкретные взаимные обязательства обеих сторон: транспортная организация (перевозчик) обеспечивает бесперебойную перевозку пассажиров и грузов, а уполномоченные Правительством Приднестровской Молдавской Республики исполнительные органы государственной власти и государственные администрации городов (районов) в пределах своей компетенции обеспечивают необходимое финансирование, предоставление налоговых льгот, решают вопросы возмещения убытков от перевозок льготных категорий граждан. </w:t>
            </w:r>
          </w:p>
          <w:p w:rsidR="00892FB7" w:rsidRPr="00892FB7" w:rsidRDefault="00892FB7" w:rsidP="00892FB7">
            <w:pPr>
              <w:ind w:left="0" w:firstLine="835"/>
              <w:contextualSpacing/>
              <w:rPr>
                <w:b/>
                <w:bCs/>
                <w:lang w:eastAsia="en-US"/>
              </w:rPr>
            </w:pPr>
            <w:r w:rsidRPr="00892FB7">
              <w:rPr>
                <w:b/>
                <w:bCs/>
                <w:lang w:eastAsia="en-US"/>
              </w:rPr>
              <w:t>…</w:t>
            </w:r>
          </w:p>
        </w:tc>
        <w:tc>
          <w:tcPr>
            <w:tcW w:w="4819" w:type="dxa"/>
          </w:tcPr>
          <w:p w:rsidR="00892FB7" w:rsidRPr="00892FB7" w:rsidRDefault="00892FB7" w:rsidP="00892FB7">
            <w:pPr>
              <w:ind w:left="0" w:firstLine="595"/>
              <w:outlineLvl w:val="0"/>
              <w:rPr>
                <w:b/>
                <w:lang w:eastAsia="en-US"/>
              </w:rPr>
            </w:pPr>
            <w:r w:rsidRPr="00892FB7">
              <w:rPr>
                <w:b/>
                <w:lang w:eastAsia="en-US"/>
              </w:rPr>
              <w:lastRenderedPageBreak/>
              <w:t>Статья 5.</w:t>
            </w:r>
            <w:r w:rsidRPr="00892FB7">
              <w:rPr>
                <w:lang w:eastAsia="en-US"/>
              </w:rPr>
              <w:t xml:space="preserve"> </w:t>
            </w:r>
            <w:r w:rsidRPr="00892FB7">
              <w:rPr>
                <w:b/>
                <w:lang w:eastAsia="en-US"/>
              </w:rPr>
              <w:t>Отношения транспортных организаций (перевозчиков), а также иных участников АСОП с уполномоченными Правительством Приднестровской Молдавской Республики исполнительными органами государственной власти и государственными администрациями городов (районов)</w:t>
            </w:r>
          </w:p>
          <w:p w:rsidR="00892FB7" w:rsidRPr="00892FB7" w:rsidRDefault="00892FB7" w:rsidP="00892FB7">
            <w:pPr>
              <w:ind w:left="0" w:firstLine="595"/>
              <w:outlineLvl w:val="0"/>
              <w:rPr>
                <w:rFonts w:eastAsiaTheme="minorHAnsi" w:cstheme="minorBidi"/>
                <w:b/>
                <w:bCs/>
                <w:lang w:eastAsia="en-US"/>
              </w:rPr>
            </w:pPr>
            <w:r w:rsidRPr="00892FB7">
              <w:rPr>
                <w:lang w:eastAsia="en-US"/>
              </w:rPr>
              <w:t xml:space="preserve">Отношения транспортных организаций (перевозчиков) с уполномоченными Правительством Приднестровской Молдавской Республики исполнительными органами государственной власти и государственными администрациями </w:t>
            </w:r>
            <w:r w:rsidRPr="00892FB7">
              <w:rPr>
                <w:lang w:eastAsia="en-US"/>
              </w:rPr>
              <w:lastRenderedPageBreak/>
              <w:t xml:space="preserve">городов (районов) строятся на договорной основе, на основании налогов, налоговых льгот, установленных нормативов и других экономических средств согласно действующему законодательству Приднестровской Молдавской Республики. Договоры или контракты должны носить конкретные взаимные обязательства обеих сторон: транспортная организация (перевозчик) обеспечивает бесперебойную перевозку пассажиров и грузов </w:t>
            </w:r>
            <w:r w:rsidRPr="00892FB7">
              <w:rPr>
                <w:b/>
                <w:lang w:eastAsia="en-US"/>
              </w:rPr>
              <w:t xml:space="preserve">в соответствии с паспортом регулярного </w:t>
            </w:r>
            <w:r w:rsidRPr="00892FB7">
              <w:rPr>
                <w:rFonts w:eastAsiaTheme="minorHAnsi"/>
                <w:b/>
                <w:bCs/>
                <w:shd w:val="clear" w:color="auto" w:fill="FFFFFF"/>
              </w:rPr>
              <w:t>городского, пригородного, междугороднего, международного маршрута (рейса)</w:t>
            </w:r>
            <w:r w:rsidRPr="00892FB7">
              <w:rPr>
                <w:b/>
                <w:lang w:eastAsia="en-US"/>
              </w:rPr>
              <w:t>,</w:t>
            </w:r>
            <w:r w:rsidRPr="00892FB7">
              <w:rPr>
                <w:lang w:eastAsia="en-US"/>
              </w:rPr>
              <w:t xml:space="preserve"> а уполномоченные Правительством Приднестровской Молдавской Республики исполнительные органы государственной власти и государственные администрации городов (районов) в пределах своей компетенции обеспечивают необходимое финансирование, предоставление налоговых льгот, решают вопросы возмещения убытков от перевозок льготных категорий граждан. </w:t>
            </w:r>
          </w:p>
        </w:tc>
      </w:tr>
      <w:tr w:rsidR="00892FB7" w:rsidRPr="00892FB7" w:rsidTr="00903302">
        <w:trPr>
          <w:trHeight w:val="260"/>
        </w:trPr>
        <w:tc>
          <w:tcPr>
            <w:tcW w:w="588" w:type="dxa"/>
          </w:tcPr>
          <w:p w:rsidR="00892FB7" w:rsidRPr="00892FB7" w:rsidRDefault="00892FB7" w:rsidP="00892FB7">
            <w:pPr>
              <w:ind w:left="0"/>
              <w:rPr>
                <w:rFonts w:eastAsiaTheme="minorHAnsi"/>
                <w:bCs/>
                <w:shd w:val="clear" w:color="auto" w:fill="FFFFFF"/>
              </w:rPr>
            </w:pPr>
            <w:r w:rsidRPr="00892FB7">
              <w:rPr>
                <w:rFonts w:eastAsiaTheme="minorHAnsi"/>
                <w:bCs/>
                <w:shd w:val="clear" w:color="auto" w:fill="FFFFFF"/>
              </w:rPr>
              <w:lastRenderedPageBreak/>
              <w:t>2.</w:t>
            </w:r>
          </w:p>
        </w:tc>
        <w:tc>
          <w:tcPr>
            <w:tcW w:w="4658" w:type="dxa"/>
          </w:tcPr>
          <w:p w:rsidR="00892FB7" w:rsidRPr="00892FB7" w:rsidRDefault="00892FB7" w:rsidP="00892FB7">
            <w:pPr>
              <w:ind w:left="0"/>
              <w:outlineLvl w:val="0"/>
              <w:rPr>
                <w:bCs/>
              </w:rPr>
            </w:pPr>
            <w:r w:rsidRPr="00892FB7">
              <w:rPr>
                <w:b/>
                <w:bCs/>
              </w:rPr>
              <w:t>Статья 6-1.</w:t>
            </w:r>
            <w:r w:rsidRPr="00892FB7">
              <w:rPr>
                <w:bCs/>
              </w:rPr>
              <w:t xml:space="preserve"> Особенности деятельности </w:t>
            </w:r>
            <w:r w:rsidRPr="00892FB7">
              <w:rPr>
                <w:b/>
                <w:bCs/>
              </w:rPr>
              <w:t>автомобильного</w:t>
            </w:r>
            <w:r w:rsidRPr="00892FB7">
              <w:rPr>
                <w:bCs/>
              </w:rPr>
              <w:t xml:space="preserve"> транспорта            общего пользования</w:t>
            </w:r>
          </w:p>
          <w:p w:rsidR="00892FB7" w:rsidRPr="00892FB7" w:rsidRDefault="00892FB7" w:rsidP="00892FB7">
            <w:pPr>
              <w:ind w:left="0" w:firstLine="540"/>
              <w:rPr>
                <w:bCs/>
              </w:rPr>
            </w:pPr>
          </w:p>
          <w:p w:rsidR="00892FB7" w:rsidRPr="00892FB7" w:rsidRDefault="00892FB7" w:rsidP="00892FB7">
            <w:pPr>
              <w:ind w:left="0"/>
            </w:pPr>
            <w:r w:rsidRPr="00892FB7">
              <w:tab/>
              <w:t>Перевозки пассажиров и багажа автомобильным транспортом общего пользования на регулярных городских, пригородных, междугородных и международных маршрутах осуществляются в порядке, предусмотренном действующим законодательством Приднестровской Молдавской Республики.</w:t>
            </w:r>
          </w:p>
          <w:p w:rsidR="00892FB7" w:rsidRPr="00892FB7" w:rsidRDefault="00892FB7" w:rsidP="00892FB7">
            <w:pPr>
              <w:ind w:left="0"/>
              <w:rPr>
                <w:bCs/>
              </w:rPr>
            </w:pPr>
            <w:r w:rsidRPr="00892FB7">
              <w:tab/>
              <w:t xml:space="preserve">Услуги по перевозке пассажиров и багажа автомобильным транспортом общего пользования </w:t>
            </w:r>
            <w:r w:rsidRPr="00892FB7">
              <w:rPr>
                <w:bCs/>
              </w:rPr>
              <w:t>на регулярных маршрутах осуществляются транспортной организацией (перевозчиком) на основании проездных документов (билетов, багажной квитанции), приобретенных пассажиром у перевозчика либо у кассира в кассе автовокзала (автостанции).</w:t>
            </w:r>
          </w:p>
          <w:p w:rsidR="00892FB7" w:rsidRPr="00892FB7" w:rsidRDefault="00892FB7" w:rsidP="00892FB7">
            <w:pPr>
              <w:ind w:left="0"/>
              <w:rPr>
                <w:bCs/>
              </w:rPr>
            </w:pPr>
            <w:r w:rsidRPr="00892FB7">
              <w:rPr>
                <w:bCs/>
              </w:rPr>
              <w:tab/>
              <w:t xml:space="preserve">Формы билета и багажной квитанции устанавливаются </w:t>
            </w:r>
            <w:r w:rsidRPr="00892FB7">
              <w:t xml:space="preserve">уполномоченным Правительством Приднестровской Молдавской Республики </w:t>
            </w:r>
            <w:r w:rsidRPr="00892FB7">
              <w:lastRenderedPageBreak/>
              <w:t>исполнительным органом государственной власти</w:t>
            </w:r>
            <w:r w:rsidRPr="00892FB7">
              <w:rPr>
                <w:bCs/>
              </w:rPr>
              <w:t>.</w:t>
            </w:r>
          </w:p>
          <w:p w:rsidR="00892FB7" w:rsidRPr="00892FB7" w:rsidRDefault="00892FB7" w:rsidP="00892FB7">
            <w:pPr>
              <w:ind w:left="0"/>
            </w:pPr>
            <w:r w:rsidRPr="00892FB7">
              <w:rPr>
                <w:bCs/>
              </w:rPr>
              <w:tab/>
              <w:t>В случае оказания транспортными организациями услуг по перевозке пассажиров и багажа автомобильным транспортом общего пользования на регулярных маршрутах без проездных документов должностные лица таких организаций несут административную ответственность в соответствии с законодательными актами Приднестровской Молдавской Республики.</w:t>
            </w:r>
          </w:p>
          <w:p w:rsidR="00892FB7" w:rsidRPr="00892FB7" w:rsidRDefault="00892FB7" w:rsidP="00892FB7">
            <w:pPr>
              <w:ind w:left="0"/>
              <w:contextualSpacing/>
              <w:jc w:val="center"/>
              <w:rPr>
                <w:b/>
                <w:bCs/>
                <w:lang w:eastAsia="en-US"/>
              </w:rPr>
            </w:pPr>
          </w:p>
        </w:tc>
        <w:tc>
          <w:tcPr>
            <w:tcW w:w="4819" w:type="dxa"/>
          </w:tcPr>
          <w:p w:rsidR="00892FB7" w:rsidRPr="00892FB7" w:rsidRDefault="00892FB7" w:rsidP="00892FB7">
            <w:pPr>
              <w:ind w:left="0" w:firstLine="595"/>
              <w:outlineLvl w:val="0"/>
              <w:rPr>
                <w:b/>
                <w:bCs/>
              </w:rPr>
            </w:pPr>
            <w:r w:rsidRPr="00892FB7">
              <w:rPr>
                <w:b/>
                <w:bCs/>
              </w:rPr>
              <w:lastRenderedPageBreak/>
              <w:t>Статья 6-1.</w:t>
            </w:r>
            <w:r w:rsidRPr="00892FB7">
              <w:rPr>
                <w:bCs/>
              </w:rPr>
              <w:t xml:space="preserve"> </w:t>
            </w:r>
            <w:r w:rsidRPr="00892FB7">
              <w:rPr>
                <w:b/>
                <w:bCs/>
              </w:rPr>
              <w:t>Особенности деятельности транспорта   общего пользования</w:t>
            </w:r>
          </w:p>
          <w:p w:rsidR="00892FB7" w:rsidRPr="00892FB7" w:rsidRDefault="00892FB7" w:rsidP="00892FB7">
            <w:pPr>
              <w:ind w:left="0" w:firstLine="595"/>
              <w:rPr>
                <w:bCs/>
              </w:rPr>
            </w:pPr>
          </w:p>
          <w:p w:rsidR="00892FB7" w:rsidRPr="00892FB7" w:rsidRDefault="00892FB7" w:rsidP="00892FB7">
            <w:pPr>
              <w:numPr>
                <w:ilvl w:val="0"/>
                <w:numId w:val="8"/>
              </w:numPr>
              <w:ind w:left="-114" w:firstLine="709"/>
              <w:contextualSpacing/>
              <w:rPr>
                <w:bCs/>
                <w:lang w:eastAsia="en-US"/>
              </w:rPr>
            </w:pPr>
            <w:r w:rsidRPr="00892FB7">
              <w:t xml:space="preserve">Перевозки пассажиров и багажа транспортом общего пользования на регулярных городских, пригородных, междугородных и международных маршрутах </w:t>
            </w:r>
            <w:r w:rsidRPr="00892FB7">
              <w:rPr>
                <w:b/>
              </w:rPr>
              <w:t>(рейсах)</w:t>
            </w:r>
            <w:r w:rsidRPr="00892FB7">
              <w:t xml:space="preserve"> осуществляются в соответствии с </w:t>
            </w:r>
            <w:r w:rsidRPr="00892FB7">
              <w:rPr>
                <w:b/>
              </w:rPr>
              <w:t>паспортом регулярного</w:t>
            </w:r>
            <w:r w:rsidRPr="00892FB7">
              <w:rPr>
                <w:b/>
                <w:bCs/>
                <w:shd w:val="clear" w:color="auto" w:fill="FFFFFF"/>
              </w:rPr>
              <w:t xml:space="preserve"> городского, пригородного, междугороднего, международного </w:t>
            </w:r>
            <w:r w:rsidRPr="00892FB7">
              <w:rPr>
                <w:b/>
              </w:rPr>
              <w:t>маршрута (рейса) на основании заключенного договора на обслуживание регулярного(</w:t>
            </w:r>
            <w:proofErr w:type="spellStart"/>
            <w:r w:rsidRPr="00892FB7">
              <w:rPr>
                <w:b/>
              </w:rPr>
              <w:t>ых</w:t>
            </w:r>
            <w:proofErr w:type="spellEnd"/>
            <w:r w:rsidRPr="00892FB7">
              <w:rPr>
                <w:b/>
              </w:rPr>
              <w:t>) маршрута(</w:t>
            </w:r>
            <w:proofErr w:type="spellStart"/>
            <w:r w:rsidRPr="00892FB7">
              <w:rPr>
                <w:b/>
              </w:rPr>
              <w:t>ов</w:t>
            </w:r>
            <w:proofErr w:type="spellEnd"/>
            <w:r w:rsidRPr="00892FB7">
              <w:rPr>
                <w:b/>
              </w:rPr>
              <w:t>) (рейсов) перевозок пассажиров и багажа</w:t>
            </w:r>
            <w:r w:rsidRPr="00892FB7">
              <w:t xml:space="preserve">. </w:t>
            </w:r>
            <w:r w:rsidRPr="00892FB7">
              <w:rPr>
                <w:b/>
              </w:rPr>
              <w:t>Договором на обслуживание регулярного(</w:t>
            </w:r>
            <w:proofErr w:type="spellStart"/>
            <w:r w:rsidRPr="00892FB7">
              <w:rPr>
                <w:b/>
              </w:rPr>
              <w:t>ых</w:t>
            </w:r>
            <w:proofErr w:type="spellEnd"/>
            <w:r w:rsidRPr="00892FB7">
              <w:rPr>
                <w:b/>
              </w:rPr>
              <w:t>) маршрута(</w:t>
            </w:r>
            <w:proofErr w:type="spellStart"/>
            <w:r w:rsidRPr="00892FB7">
              <w:rPr>
                <w:b/>
              </w:rPr>
              <w:t>ов</w:t>
            </w:r>
            <w:proofErr w:type="spellEnd"/>
            <w:r w:rsidRPr="00892FB7">
              <w:rPr>
                <w:b/>
              </w:rPr>
              <w:t>) (рейсов) перевозок пассажиров и багажа</w:t>
            </w:r>
            <w:r w:rsidRPr="00892FB7">
              <w:t xml:space="preserve"> </w:t>
            </w:r>
            <w:r w:rsidRPr="00892FB7">
              <w:rPr>
                <w:b/>
              </w:rPr>
              <w:t>определяется возможность изменения маршрута (рейса) по перевозке пассажиров и багажа с указанием оснований, сроков исполнения, обязанностей сторон.</w:t>
            </w:r>
          </w:p>
          <w:p w:rsidR="00892FB7" w:rsidRPr="00892FB7" w:rsidRDefault="00892FB7" w:rsidP="00892FB7">
            <w:pPr>
              <w:ind w:left="0" w:firstLine="595"/>
              <w:rPr>
                <w:b/>
                <w:highlight w:val="yellow"/>
              </w:rPr>
            </w:pPr>
            <w:r w:rsidRPr="00892FB7">
              <w:rPr>
                <w:b/>
                <w:color w:val="000000"/>
              </w:rPr>
              <w:t xml:space="preserve">В случае временного или постоянного изменения маршрута (рейса) по перевозке пассажиров и багажа </w:t>
            </w:r>
            <w:r w:rsidRPr="00892FB7">
              <w:rPr>
                <w:b/>
                <w:bCs/>
              </w:rPr>
              <w:lastRenderedPageBreak/>
              <w:t>транспортом общего пользования на регулярных маршрутах (рейсах) п</w:t>
            </w:r>
            <w:r w:rsidRPr="00892FB7">
              <w:rPr>
                <w:b/>
                <w:color w:val="000000"/>
              </w:rPr>
              <w:t xml:space="preserve">ассажиры должны быть своевременно уведомлены об изменении маршрута (рейса) перевозки пассажиров и багажа на </w:t>
            </w:r>
            <w:r w:rsidRPr="00892FB7">
              <w:rPr>
                <w:b/>
                <w:bCs/>
              </w:rPr>
              <w:t>регулярных маршрутах (рейсах)</w:t>
            </w:r>
            <w:r w:rsidRPr="00892FB7">
              <w:rPr>
                <w:b/>
                <w:color w:val="000000"/>
              </w:rPr>
              <w:t xml:space="preserve">. Ответственность за своевременным уведомлением пассажиров, в случае временного или постоянного изменения маршрута (рейса), несут </w:t>
            </w:r>
            <w:r w:rsidRPr="00892FB7">
              <w:rPr>
                <w:b/>
              </w:rPr>
              <w:t>уполномоченный Правительством Приднестровской Молдавской Республики исполнительный орган государственной власти, орган местного государственного управления.</w:t>
            </w:r>
          </w:p>
          <w:p w:rsidR="00892FB7" w:rsidRPr="00892FB7" w:rsidRDefault="00892FB7" w:rsidP="00892FB7">
            <w:pPr>
              <w:ind w:left="0" w:firstLine="736"/>
              <w:contextualSpacing/>
              <w:rPr>
                <w:bCs/>
                <w:lang w:eastAsia="en-US"/>
              </w:rPr>
            </w:pPr>
            <w:r w:rsidRPr="00892FB7">
              <w:rPr>
                <w:b/>
              </w:rPr>
              <w:t>Форма паспорта регулярного</w:t>
            </w:r>
            <w:r w:rsidRPr="00892FB7">
              <w:rPr>
                <w:b/>
                <w:bCs/>
                <w:shd w:val="clear" w:color="auto" w:fill="FFFFFF"/>
              </w:rPr>
              <w:t xml:space="preserve"> городского, пригородного, междугороднего, международного </w:t>
            </w:r>
            <w:r w:rsidRPr="00892FB7">
              <w:rPr>
                <w:b/>
              </w:rPr>
              <w:t>маршрута (рейса) (содержащая информацию о начале и окончании движения, интервале движения в течение суток, наличие линейных сооружений, остановочных пунктов с указанием адреса (в населенных пунктах), состояние дороги, схемы движения по регулярному маршруту (рейсу)), устанавливается нормативным правовым актом Правительства Приднестровской Молдавской Республики.</w:t>
            </w:r>
            <w:r w:rsidRPr="00892FB7">
              <w:rPr>
                <w:b/>
                <w:bCs/>
                <w:lang w:eastAsia="en-US"/>
              </w:rPr>
              <w:t xml:space="preserve"> </w:t>
            </w:r>
          </w:p>
          <w:p w:rsidR="00892FB7" w:rsidRPr="00892FB7" w:rsidRDefault="00892FB7" w:rsidP="00892FB7">
            <w:pPr>
              <w:ind w:left="0" w:firstLine="736"/>
              <w:contextualSpacing/>
              <w:rPr>
                <w:bCs/>
                <w:lang w:eastAsia="en-US"/>
              </w:rPr>
            </w:pPr>
            <w:r w:rsidRPr="00892FB7">
              <w:rPr>
                <w:b/>
                <w:bCs/>
                <w:lang w:eastAsia="en-US"/>
              </w:rPr>
              <w:t>Контроль за исполнением договора на обслуживание регулярного(</w:t>
            </w:r>
            <w:proofErr w:type="spellStart"/>
            <w:r w:rsidRPr="00892FB7">
              <w:rPr>
                <w:b/>
                <w:bCs/>
                <w:lang w:eastAsia="en-US"/>
              </w:rPr>
              <w:t>ых</w:t>
            </w:r>
            <w:proofErr w:type="spellEnd"/>
            <w:r w:rsidRPr="00892FB7">
              <w:rPr>
                <w:b/>
                <w:bCs/>
                <w:lang w:eastAsia="en-US"/>
              </w:rPr>
              <w:t>) маршрута(</w:t>
            </w:r>
            <w:proofErr w:type="spellStart"/>
            <w:r w:rsidRPr="00892FB7">
              <w:rPr>
                <w:b/>
                <w:bCs/>
                <w:lang w:eastAsia="en-US"/>
              </w:rPr>
              <w:t>ов</w:t>
            </w:r>
            <w:proofErr w:type="spellEnd"/>
            <w:r w:rsidRPr="00892FB7">
              <w:rPr>
                <w:b/>
                <w:bCs/>
                <w:lang w:eastAsia="en-US"/>
              </w:rPr>
              <w:t>) (рейсов) перевозок пассажиров и багажа осуществляется</w:t>
            </w:r>
            <w:r w:rsidRPr="00892FB7">
              <w:rPr>
                <w:bCs/>
                <w:lang w:eastAsia="en-US"/>
              </w:rPr>
              <w:t xml:space="preserve"> </w:t>
            </w:r>
            <w:r w:rsidRPr="00892FB7">
              <w:rPr>
                <w:b/>
                <w:lang w:eastAsia="en-US"/>
              </w:rPr>
              <w:t>уполномоченным Правительством Приднестровской Молдавской Республики исполнительным органом государственной власти, органом местного государственного управления.</w:t>
            </w:r>
          </w:p>
          <w:p w:rsidR="00892FB7" w:rsidRPr="00892FB7" w:rsidRDefault="00892FB7" w:rsidP="00892FB7">
            <w:pPr>
              <w:numPr>
                <w:ilvl w:val="0"/>
                <w:numId w:val="8"/>
              </w:numPr>
              <w:tabs>
                <w:tab w:val="left" w:pos="453"/>
              </w:tabs>
              <w:ind w:left="0" w:firstLine="595"/>
              <w:contextualSpacing/>
              <w:rPr>
                <w:bCs/>
              </w:rPr>
            </w:pPr>
            <w:r w:rsidRPr="00892FB7">
              <w:t xml:space="preserve">Услуги по перевозке пассажиров и багажа автомобильным транспортом общего пользования </w:t>
            </w:r>
            <w:r w:rsidRPr="00892FB7">
              <w:rPr>
                <w:bCs/>
              </w:rPr>
              <w:t>на регулярных маршрутах осуществляются транспортной организацией (перевозчиком) на основании проездных документов (билетов, багажной квитанции), приобретенных пассажиром у перевозчика либо у кассира в кассе автовокзала (автостанции).</w:t>
            </w:r>
          </w:p>
          <w:p w:rsidR="00892FB7" w:rsidRPr="00892FB7" w:rsidRDefault="00892FB7" w:rsidP="00892FB7">
            <w:pPr>
              <w:ind w:left="0" w:firstLine="595"/>
              <w:rPr>
                <w:bCs/>
              </w:rPr>
            </w:pPr>
            <w:r w:rsidRPr="00892FB7">
              <w:rPr>
                <w:bCs/>
              </w:rPr>
              <w:t xml:space="preserve">Формы билета и багажной квитанции устанавливаются </w:t>
            </w:r>
            <w:r w:rsidRPr="00892FB7">
              <w:t xml:space="preserve">уполномоченным Правительством Приднестровской </w:t>
            </w:r>
            <w:r w:rsidRPr="00892FB7">
              <w:lastRenderedPageBreak/>
              <w:t>Молдавской Республики исполнительным органом государственной власти</w:t>
            </w:r>
            <w:r w:rsidRPr="00892FB7">
              <w:rPr>
                <w:bCs/>
              </w:rPr>
              <w:t>.</w:t>
            </w:r>
          </w:p>
          <w:p w:rsidR="00892FB7" w:rsidRPr="00892FB7" w:rsidRDefault="00892FB7" w:rsidP="00892FB7">
            <w:pPr>
              <w:ind w:left="0" w:firstLine="595"/>
            </w:pPr>
            <w:r w:rsidRPr="00892FB7">
              <w:rPr>
                <w:bCs/>
              </w:rPr>
              <w:t>В случае оказания транспортными организациями услуг по перевозке пассажиров и багажа автомобильным транспортом общего пользования на регулярных маршрутах без проездных документов должностные лица таких организаций несут административную ответственность в соответствии с законодательными актами Приднестровской Молдавской Республики.</w:t>
            </w:r>
          </w:p>
          <w:p w:rsidR="00892FB7" w:rsidRPr="00892FB7" w:rsidRDefault="00892FB7" w:rsidP="00892FB7">
            <w:pPr>
              <w:ind w:left="0" w:firstLine="595"/>
              <w:rPr>
                <w:b/>
                <w:bCs/>
              </w:rPr>
            </w:pPr>
          </w:p>
        </w:tc>
      </w:tr>
    </w:tbl>
    <w:p w:rsidR="004B26C1" w:rsidRPr="0046244D" w:rsidRDefault="004B26C1" w:rsidP="00E25F40">
      <w:pPr>
        <w:ind w:left="0"/>
      </w:pPr>
      <w:bookmarkStart w:id="0" w:name="_GoBack"/>
      <w:bookmarkEnd w:id="0"/>
    </w:p>
    <w:sectPr w:rsidR="004B26C1" w:rsidRPr="0046244D" w:rsidSect="00E25F40">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090" w:rsidRDefault="004A5090">
      <w:r>
        <w:separator/>
      </w:r>
    </w:p>
  </w:endnote>
  <w:endnote w:type="continuationSeparator" w:id="0">
    <w:p w:rsidR="004A5090" w:rsidRDefault="004A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090" w:rsidRDefault="004A5090">
      <w:r>
        <w:separator/>
      </w:r>
    </w:p>
  </w:footnote>
  <w:footnote w:type="continuationSeparator" w:id="0">
    <w:p w:rsidR="004A5090" w:rsidRDefault="004A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892FB7">
          <w:rPr>
            <w:rFonts w:ascii="Times New Roman" w:hAnsi="Times New Roman" w:cs="Times New Roman"/>
            <w:noProof/>
            <w:sz w:val="24"/>
          </w:rPr>
          <w:t>- 3 -</w:t>
        </w:r>
        <w:r w:rsidRPr="001038FE">
          <w:rPr>
            <w:rFonts w:ascii="Times New Roman" w:hAnsi="Times New Roman" w:cs="Times New Roman"/>
            <w:sz w:val="24"/>
          </w:rPr>
          <w:fldChar w:fldCharType="end"/>
        </w:r>
      </w:p>
    </w:sdtContent>
  </w:sdt>
  <w:p w:rsidR="001038FE" w:rsidRDefault="004A50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29C"/>
    <w:multiLevelType w:val="hybridMultilevel"/>
    <w:tmpl w:val="4DB21BB0"/>
    <w:lvl w:ilvl="0" w:tplc="22D25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896D2A"/>
    <w:multiLevelType w:val="hybridMultilevel"/>
    <w:tmpl w:val="4B623FD6"/>
    <w:lvl w:ilvl="0" w:tplc="0419000F">
      <w:start w:val="1"/>
      <w:numFmt w:val="decimal"/>
      <w:lvlText w:val="%1."/>
      <w:lvlJc w:val="left"/>
      <w:pPr>
        <w:ind w:left="1315" w:hanging="360"/>
      </w:p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2"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3" w15:restartNumberingAfterBreak="0">
    <w:nsid w:val="26391F03"/>
    <w:multiLevelType w:val="hybridMultilevel"/>
    <w:tmpl w:val="36C6A644"/>
    <w:lvl w:ilvl="0" w:tplc="64381EC0">
      <w:start w:val="1"/>
      <w:numFmt w:val="decimal"/>
      <w:lvlText w:val="%1."/>
      <w:lvlJc w:val="left"/>
      <w:pPr>
        <w:ind w:left="964" w:hanging="51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5"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4"/>
  </w:num>
  <w:num w:numId="2">
    <w:abstractNumId w:val="7"/>
  </w:num>
  <w:num w:numId="3">
    <w:abstractNumId w:val="5"/>
  </w:num>
  <w:num w:numId="4">
    <w:abstractNumId w:val="2"/>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14798"/>
    <w:rsid w:val="001253BC"/>
    <w:rsid w:val="00147B5A"/>
    <w:rsid w:val="00150ACE"/>
    <w:rsid w:val="001764E8"/>
    <w:rsid w:val="001A240E"/>
    <w:rsid w:val="001F7D4E"/>
    <w:rsid w:val="00216E3E"/>
    <w:rsid w:val="00234162"/>
    <w:rsid w:val="0027060C"/>
    <w:rsid w:val="00276593"/>
    <w:rsid w:val="00294BF3"/>
    <w:rsid w:val="002A10C8"/>
    <w:rsid w:val="002A1DF8"/>
    <w:rsid w:val="002D05B6"/>
    <w:rsid w:val="002F03DA"/>
    <w:rsid w:val="00336B91"/>
    <w:rsid w:val="0034101B"/>
    <w:rsid w:val="00357F01"/>
    <w:rsid w:val="003C02A1"/>
    <w:rsid w:val="003C3902"/>
    <w:rsid w:val="00401B73"/>
    <w:rsid w:val="0040279E"/>
    <w:rsid w:val="00402C3C"/>
    <w:rsid w:val="00403590"/>
    <w:rsid w:val="004204C5"/>
    <w:rsid w:val="0046244D"/>
    <w:rsid w:val="00465FD2"/>
    <w:rsid w:val="0049279D"/>
    <w:rsid w:val="004A5090"/>
    <w:rsid w:val="004B26C1"/>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B30EE"/>
    <w:rsid w:val="007C3B6C"/>
    <w:rsid w:val="007F3FF0"/>
    <w:rsid w:val="00800B0B"/>
    <w:rsid w:val="00836AD0"/>
    <w:rsid w:val="00840B4D"/>
    <w:rsid w:val="00850477"/>
    <w:rsid w:val="00853717"/>
    <w:rsid w:val="008661E4"/>
    <w:rsid w:val="008926AE"/>
    <w:rsid w:val="00892FB7"/>
    <w:rsid w:val="008B7DBE"/>
    <w:rsid w:val="008C488B"/>
    <w:rsid w:val="008D7455"/>
    <w:rsid w:val="008F70B4"/>
    <w:rsid w:val="0091069F"/>
    <w:rsid w:val="00922BB1"/>
    <w:rsid w:val="00945F4B"/>
    <w:rsid w:val="00947364"/>
    <w:rsid w:val="00996413"/>
    <w:rsid w:val="00996A81"/>
    <w:rsid w:val="009A43E7"/>
    <w:rsid w:val="009C0CBA"/>
    <w:rsid w:val="00A17291"/>
    <w:rsid w:val="00A2642F"/>
    <w:rsid w:val="00A32DA4"/>
    <w:rsid w:val="00A33A9D"/>
    <w:rsid w:val="00A34C56"/>
    <w:rsid w:val="00A42249"/>
    <w:rsid w:val="00A45323"/>
    <w:rsid w:val="00A500D1"/>
    <w:rsid w:val="00A52549"/>
    <w:rsid w:val="00A5760E"/>
    <w:rsid w:val="00A82D0F"/>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671E"/>
    <w:rsid w:val="00C30074"/>
    <w:rsid w:val="00C30585"/>
    <w:rsid w:val="00C310B8"/>
    <w:rsid w:val="00C31452"/>
    <w:rsid w:val="00C54BC4"/>
    <w:rsid w:val="00C97E75"/>
    <w:rsid w:val="00CA0A80"/>
    <w:rsid w:val="00CA389A"/>
    <w:rsid w:val="00D3691D"/>
    <w:rsid w:val="00D45EF5"/>
    <w:rsid w:val="00D46D55"/>
    <w:rsid w:val="00D937A9"/>
    <w:rsid w:val="00DA4182"/>
    <w:rsid w:val="00DA531C"/>
    <w:rsid w:val="00DC2A0D"/>
    <w:rsid w:val="00E0604C"/>
    <w:rsid w:val="00E25F40"/>
    <w:rsid w:val="00E3012B"/>
    <w:rsid w:val="00E3031C"/>
    <w:rsid w:val="00E4664D"/>
    <w:rsid w:val="00E55D71"/>
    <w:rsid w:val="00E67E22"/>
    <w:rsid w:val="00E87EDF"/>
    <w:rsid w:val="00EA2A76"/>
    <w:rsid w:val="00EB480D"/>
    <w:rsid w:val="00EC7876"/>
    <w:rsid w:val="00F10EE1"/>
    <w:rsid w:val="00F137A8"/>
    <w:rsid w:val="00F13D1A"/>
    <w:rsid w:val="00F14D1C"/>
    <w:rsid w:val="00F17F77"/>
    <w:rsid w:val="00F43550"/>
    <w:rsid w:val="00F6164F"/>
    <w:rsid w:val="00F710CA"/>
    <w:rsid w:val="00F908BA"/>
    <w:rsid w:val="00FA5CCB"/>
    <w:rsid w:val="00FC666B"/>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BD4B"/>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 w:type="table" w:customStyle="1" w:styleId="22">
    <w:name w:val="Сетка таблицы22"/>
    <w:basedOn w:val="a1"/>
    <w:next w:val="a3"/>
    <w:uiPriority w:val="39"/>
    <w:rsid w:val="0011479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4B26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39"/>
    <w:rsid w:val="00892FB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1244</Words>
  <Characters>7094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163</cp:revision>
  <dcterms:created xsi:type="dcterms:W3CDTF">2026-03-30T13:53:00Z</dcterms:created>
  <dcterms:modified xsi:type="dcterms:W3CDTF">2026-06-23T13:45:00Z</dcterms:modified>
</cp:coreProperties>
</file>