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58" w:rsidRDefault="00635258" w:rsidP="004F2C1A">
      <w:pPr>
        <w:pStyle w:val="Heading1"/>
      </w:pPr>
    </w:p>
    <w:p w:rsidR="00635258" w:rsidRDefault="00635258" w:rsidP="007215D3"/>
    <w:p w:rsidR="00635258" w:rsidRDefault="00635258" w:rsidP="007215D3"/>
    <w:p w:rsidR="00635258" w:rsidRDefault="00635258" w:rsidP="007215D3"/>
    <w:p w:rsidR="00635258" w:rsidRDefault="00635258" w:rsidP="007215D3"/>
    <w:p w:rsidR="00635258" w:rsidRDefault="00635258" w:rsidP="007215D3"/>
    <w:p w:rsidR="00635258" w:rsidRDefault="00635258" w:rsidP="007215D3"/>
    <w:p w:rsidR="00635258" w:rsidRDefault="00635258" w:rsidP="007215D3"/>
    <w:p w:rsidR="00635258" w:rsidRPr="007215D3" w:rsidRDefault="00635258" w:rsidP="007215D3"/>
    <w:p w:rsidR="00635258" w:rsidRPr="00DF7101" w:rsidRDefault="00635258" w:rsidP="004F2C1A"/>
    <w:p w:rsidR="00635258" w:rsidRPr="00DF7101" w:rsidRDefault="00635258" w:rsidP="004F2C1A"/>
    <w:p w:rsidR="00635258" w:rsidRPr="00DF7101" w:rsidRDefault="00635258" w:rsidP="004F2C1A"/>
    <w:p w:rsidR="00635258" w:rsidRPr="00DF7101" w:rsidRDefault="00635258" w:rsidP="004F2C1A"/>
    <w:p w:rsidR="00635258" w:rsidRPr="00DF7101" w:rsidRDefault="00635258" w:rsidP="004F2C1A"/>
    <w:p w:rsidR="00635258" w:rsidRPr="00DF7101" w:rsidRDefault="00635258" w:rsidP="004F2C1A"/>
    <w:p w:rsidR="00635258" w:rsidRPr="00DF7101" w:rsidRDefault="00635258" w:rsidP="004F2C1A"/>
    <w:p w:rsidR="00635258" w:rsidRPr="00DF7101" w:rsidRDefault="00635258" w:rsidP="004F2C1A"/>
    <w:p w:rsidR="00635258" w:rsidRPr="000D082A" w:rsidRDefault="00635258" w:rsidP="004F2C1A">
      <w:pPr>
        <w:pStyle w:val="Heading1"/>
        <w:jc w:val="center"/>
        <w:rPr>
          <w:b/>
          <w:bCs/>
          <w:shadow/>
          <w:sz w:val="72"/>
          <w:szCs w:val="72"/>
        </w:rPr>
      </w:pPr>
      <w:r w:rsidRPr="000D082A">
        <w:rPr>
          <w:b/>
          <w:bCs/>
          <w:shadow/>
          <w:sz w:val="72"/>
          <w:szCs w:val="72"/>
        </w:rPr>
        <w:t>ОТЧЁТ</w:t>
      </w:r>
    </w:p>
    <w:p w:rsidR="00635258" w:rsidRPr="000D082A" w:rsidRDefault="00635258" w:rsidP="00AE21A9"/>
    <w:p w:rsidR="00635258" w:rsidRPr="000D082A" w:rsidRDefault="00635258" w:rsidP="00AE21A9"/>
    <w:p w:rsidR="00635258" w:rsidRPr="000D082A" w:rsidRDefault="00635258" w:rsidP="004F2C1A"/>
    <w:p w:rsidR="00635258" w:rsidRPr="000D082A" w:rsidRDefault="00635258" w:rsidP="004F2C1A"/>
    <w:p w:rsidR="00635258" w:rsidRPr="000D082A" w:rsidRDefault="00635258" w:rsidP="004F2C1A"/>
    <w:p w:rsidR="00635258" w:rsidRPr="000D082A" w:rsidRDefault="00635258" w:rsidP="004F2C1A">
      <w:pPr>
        <w:pStyle w:val="BodyText"/>
        <w:jc w:val="center"/>
        <w:rPr>
          <w:rFonts w:ascii="Times New Roman" w:hAnsi="Times New Roman" w:cs="Times New Roman"/>
          <w:b/>
          <w:bCs/>
          <w:shadow/>
          <w:sz w:val="60"/>
          <w:szCs w:val="60"/>
        </w:rPr>
      </w:pPr>
      <w:r w:rsidRPr="000D082A">
        <w:rPr>
          <w:rFonts w:ascii="Times New Roman" w:hAnsi="Times New Roman" w:cs="Times New Roman"/>
          <w:b/>
          <w:bCs/>
          <w:shadow/>
          <w:sz w:val="60"/>
          <w:szCs w:val="60"/>
        </w:rPr>
        <w:t>ПРИДНЕСТРОВСКОГО РЕСПУБЛИКАНСКОГО БАНКА</w:t>
      </w:r>
    </w:p>
    <w:p w:rsidR="00635258" w:rsidRPr="00865075" w:rsidRDefault="00635258" w:rsidP="00B073DE">
      <w:pPr>
        <w:pStyle w:val="Heading2"/>
        <w:ind w:firstLine="0"/>
        <w:rPr>
          <w:rFonts w:ascii="Times New Roman" w:hAnsi="Times New Roman" w:cs="Times New Roman"/>
          <w:shadow/>
          <w:sz w:val="60"/>
          <w:szCs w:val="60"/>
          <w:vertAlign w:val="superscript"/>
        </w:rPr>
      </w:pPr>
      <w:r w:rsidRPr="000D082A">
        <w:rPr>
          <w:rFonts w:ascii="Times New Roman" w:hAnsi="Times New Roman" w:cs="Times New Roman"/>
          <w:shadow/>
          <w:sz w:val="60"/>
          <w:szCs w:val="60"/>
        </w:rPr>
        <w:t>ЗА 201</w:t>
      </w:r>
      <w:r>
        <w:rPr>
          <w:rFonts w:ascii="Times New Roman" w:hAnsi="Times New Roman" w:cs="Times New Roman"/>
          <w:shadow/>
          <w:sz w:val="60"/>
          <w:szCs w:val="60"/>
        </w:rPr>
        <w:t>5</w:t>
      </w:r>
      <w:r w:rsidRPr="000D082A">
        <w:rPr>
          <w:rFonts w:ascii="Times New Roman" w:hAnsi="Times New Roman" w:cs="Times New Roman"/>
          <w:shadow/>
          <w:sz w:val="60"/>
          <w:szCs w:val="60"/>
        </w:rPr>
        <w:t xml:space="preserve"> ГОД</w:t>
      </w:r>
      <w:r>
        <w:rPr>
          <w:rFonts w:ascii="Times New Roman" w:hAnsi="Times New Roman" w:cs="Times New Roman"/>
          <w:shadow/>
          <w:sz w:val="60"/>
          <w:szCs w:val="60"/>
          <w:vertAlign w:val="superscript"/>
        </w:rPr>
        <w:t>*</w:t>
      </w:r>
    </w:p>
    <w:p w:rsidR="00635258" w:rsidRPr="000D082A" w:rsidRDefault="00635258" w:rsidP="004F2C1A"/>
    <w:p w:rsidR="00635258" w:rsidRPr="000D082A" w:rsidRDefault="00635258" w:rsidP="004F2C1A"/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635258" w:rsidRPr="00865075" w:rsidRDefault="00635258" w:rsidP="00AF53E5">
      <w:pPr>
        <w:pStyle w:val="BodyTextIndent2"/>
        <w:tabs>
          <w:tab w:val="left" w:pos="0"/>
        </w:tabs>
        <w:spacing w:after="0" w:line="240" w:lineRule="auto"/>
        <w:ind w:left="0"/>
        <w:rPr>
          <w:b/>
          <w:bCs/>
        </w:rPr>
      </w:pPr>
      <w:r>
        <w:rPr>
          <w:b/>
          <w:bCs/>
        </w:rPr>
        <w:t>*</w:t>
      </w:r>
      <w:r w:rsidRPr="00865075">
        <w:rPr>
          <w:b/>
          <w:bCs/>
        </w:rPr>
        <w:t xml:space="preserve"> </w:t>
      </w:r>
      <w:r w:rsidRPr="000D082A">
        <w:rPr>
          <w:b/>
          <w:bCs/>
        </w:rPr>
        <w:t>Принят правлени</w:t>
      </w:r>
      <w:r>
        <w:rPr>
          <w:b/>
          <w:bCs/>
        </w:rPr>
        <w:t>ем</w:t>
      </w:r>
      <w:r w:rsidRPr="000D082A">
        <w:rPr>
          <w:b/>
          <w:bCs/>
        </w:rPr>
        <w:t xml:space="preserve"> Приднестровского республиканского банка </w:t>
      </w:r>
      <w:r>
        <w:rPr>
          <w:b/>
          <w:bCs/>
        </w:rPr>
        <w:t>31</w:t>
      </w:r>
      <w:r w:rsidRPr="000D082A">
        <w:rPr>
          <w:b/>
          <w:bCs/>
        </w:rPr>
        <w:t>.03.201</w:t>
      </w:r>
      <w:r>
        <w:rPr>
          <w:b/>
          <w:bCs/>
        </w:rPr>
        <w:t>6</w:t>
      </w:r>
      <w:r w:rsidRPr="000D082A">
        <w:rPr>
          <w:b/>
          <w:bCs/>
        </w:rPr>
        <w:t xml:space="preserve"> г., протокол № 2</w:t>
      </w:r>
      <w:r>
        <w:rPr>
          <w:b/>
          <w:bCs/>
        </w:rPr>
        <w:t>5</w:t>
      </w:r>
    </w:p>
    <w:p w:rsidR="00635258" w:rsidRDefault="00635258" w:rsidP="00FB498A">
      <w:pPr>
        <w:pStyle w:val="BodyTextIndent2"/>
        <w:tabs>
          <w:tab w:val="left" w:pos="0"/>
        </w:tabs>
        <w:spacing w:after="0" w:line="240" w:lineRule="auto"/>
        <w:ind w:left="0"/>
        <w:rPr>
          <w:b/>
          <w:bCs/>
        </w:rPr>
      </w:pPr>
      <w:r>
        <w:rPr>
          <w:b/>
          <w:bCs/>
        </w:rPr>
        <w:t xml:space="preserve">  Согласован Банковским Советом </w:t>
      </w:r>
      <w:r w:rsidRPr="00FB498A">
        <w:rPr>
          <w:b/>
          <w:bCs/>
        </w:rPr>
        <w:t>Приднестровского республиканского банка</w:t>
      </w:r>
      <w:r>
        <w:rPr>
          <w:b/>
          <w:bCs/>
        </w:rPr>
        <w:t xml:space="preserve"> 14.04.2016 г., протокол №4</w:t>
      </w:r>
    </w:p>
    <w:p w:rsidR="00635258" w:rsidRPr="000D082A" w:rsidRDefault="00635258" w:rsidP="00865075">
      <w:pPr>
        <w:pStyle w:val="BodyTextIndent2"/>
        <w:tabs>
          <w:tab w:val="left" w:pos="0"/>
        </w:tabs>
        <w:spacing w:after="0" w:line="240" w:lineRule="auto"/>
        <w:ind w:left="0"/>
        <w:rPr>
          <w:b/>
          <w:bCs/>
        </w:rPr>
      </w:pPr>
    </w:p>
    <w:p w:rsidR="00635258" w:rsidRPr="000D082A" w:rsidRDefault="00635258" w:rsidP="000926F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  <w:sectPr w:rsidR="00635258" w:rsidRPr="000D082A" w:rsidSect="00D50500">
          <w:headerReference w:type="default" r:id="rId7"/>
          <w:footerReference w:type="default" r:id="rId8"/>
          <w:pgSz w:w="11906" w:h="16838" w:code="9"/>
          <w:pgMar w:top="1418" w:right="1134" w:bottom="1418" w:left="1134" w:header="992" w:footer="873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2"/>
          <w:cols w:space="720"/>
          <w:titlePg/>
        </w:sectPr>
      </w:pPr>
    </w:p>
    <w:tbl>
      <w:tblPr>
        <w:tblpPr w:leftFromText="180" w:rightFromText="180" w:vertAnchor="page" w:horzAnchor="margin" w:tblpX="108" w:tblpY="1445"/>
        <w:tblW w:w="9606" w:type="dxa"/>
        <w:tblLayout w:type="fixed"/>
        <w:tblLook w:val="0000"/>
      </w:tblPr>
      <w:tblGrid>
        <w:gridCol w:w="8897"/>
        <w:gridCol w:w="709"/>
      </w:tblGrid>
      <w:tr w:rsidR="00635258" w:rsidRPr="000D082A">
        <w:trPr>
          <w:cantSplit/>
          <w:trHeight w:val="300"/>
        </w:trPr>
        <w:tc>
          <w:tcPr>
            <w:tcW w:w="9606" w:type="dxa"/>
            <w:gridSpan w:val="2"/>
            <w:vAlign w:val="center"/>
          </w:tcPr>
          <w:p w:rsidR="00635258" w:rsidRPr="00C44237" w:rsidRDefault="00635258" w:rsidP="0048472D">
            <w:pPr>
              <w:pStyle w:val="BodyTextIndent2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C44237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635258" w:rsidRPr="000D082A">
        <w:trPr>
          <w:trHeight w:val="300"/>
        </w:trPr>
        <w:tc>
          <w:tcPr>
            <w:tcW w:w="8897" w:type="dxa"/>
            <w:vAlign w:val="center"/>
          </w:tcPr>
          <w:p w:rsidR="00635258" w:rsidRPr="000D082A" w:rsidRDefault="00635258" w:rsidP="0007119A">
            <w:pPr>
              <w:pStyle w:val="BodyTextIndent2"/>
              <w:spacing w:after="0" w:line="240" w:lineRule="auto"/>
              <w:ind w:left="-30"/>
              <w:rPr>
                <w:b/>
                <w:bCs/>
                <w:sz w:val="24"/>
                <w:szCs w:val="24"/>
              </w:rPr>
            </w:pPr>
            <w:r w:rsidRPr="000D082A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07119A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35258" w:rsidRPr="000D082A">
        <w:trPr>
          <w:trHeight w:val="300"/>
        </w:trPr>
        <w:tc>
          <w:tcPr>
            <w:tcW w:w="8897" w:type="dxa"/>
            <w:vAlign w:val="center"/>
          </w:tcPr>
          <w:p w:rsidR="00635258" w:rsidRPr="000D082A" w:rsidRDefault="00635258" w:rsidP="00D56B55">
            <w:pPr>
              <w:pStyle w:val="BodyTextIndent2"/>
              <w:spacing w:after="0"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032167">
              <w:rPr>
                <w:b/>
                <w:bCs/>
                <w:sz w:val="24"/>
                <w:szCs w:val="24"/>
              </w:rPr>
              <w:t>Экономическое и финансовое положение Приднестровской Молдавской Республики</w:t>
            </w:r>
            <w:r>
              <w:rPr>
                <w:b/>
                <w:bCs/>
                <w:sz w:val="24"/>
                <w:szCs w:val="24"/>
              </w:rPr>
              <w:t xml:space="preserve"> в 2015 году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07119A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35258" w:rsidRPr="000D082A">
        <w:trPr>
          <w:trHeight w:val="300"/>
        </w:trPr>
        <w:tc>
          <w:tcPr>
            <w:tcW w:w="8897" w:type="dxa"/>
            <w:vAlign w:val="center"/>
          </w:tcPr>
          <w:p w:rsidR="00635258" w:rsidRPr="000D082A" w:rsidRDefault="00635258" w:rsidP="00D56B55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 xml:space="preserve">1.1. </w:t>
            </w:r>
            <w:r w:rsidRPr="004B3917">
              <w:rPr>
                <w:sz w:val="24"/>
                <w:szCs w:val="24"/>
              </w:rPr>
              <w:t>Мировая экономика и международные рынки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07119A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5258" w:rsidRPr="000D082A">
        <w:trPr>
          <w:trHeight w:val="300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Экономическое положение Приднестровья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35258" w:rsidRPr="000D082A">
        <w:trPr>
          <w:trHeight w:val="80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>1.3. Государственные финансы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35258" w:rsidRPr="000D082A">
        <w:trPr>
          <w:trHeight w:val="300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0D082A">
              <w:rPr>
                <w:sz w:val="24"/>
                <w:szCs w:val="24"/>
              </w:rPr>
              <w:t xml:space="preserve"> Финансовый сектор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35258" w:rsidRPr="000D082A">
        <w:trPr>
          <w:trHeight w:val="300"/>
        </w:trPr>
        <w:tc>
          <w:tcPr>
            <w:tcW w:w="8897" w:type="dxa"/>
            <w:vAlign w:val="center"/>
          </w:tcPr>
          <w:p w:rsidR="00635258" w:rsidRPr="00865075" w:rsidRDefault="00635258" w:rsidP="00570C81">
            <w:pPr>
              <w:pStyle w:val="BodyTextIndent2"/>
              <w:spacing w:after="0" w:line="240" w:lineRule="auto"/>
              <w:ind w:left="672" w:firstLine="37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Банковская система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35258" w:rsidRPr="000D082A">
        <w:trPr>
          <w:trHeight w:val="300"/>
        </w:trPr>
        <w:tc>
          <w:tcPr>
            <w:tcW w:w="8897" w:type="dxa"/>
            <w:vAlign w:val="center"/>
          </w:tcPr>
          <w:p w:rsidR="00635258" w:rsidRPr="00865075" w:rsidRDefault="00635258" w:rsidP="00570C81">
            <w:pPr>
              <w:pStyle w:val="BodyTextIndent2"/>
              <w:spacing w:after="0" w:line="240" w:lineRule="auto"/>
              <w:ind w:left="672" w:firstLine="37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Валютный рынок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35258" w:rsidRPr="000D082A">
        <w:trPr>
          <w:trHeight w:val="300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0D082A">
              <w:rPr>
                <w:sz w:val="24"/>
                <w:szCs w:val="24"/>
              </w:rPr>
              <w:t>. Платёжн</w:t>
            </w:r>
            <w:r>
              <w:rPr>
                <w:sz w:val="24"/>
                <w:szCs w:val="24"/>
              </w:rPr>
              <w:t>ая</w:t>
            </w:r>
            <w:r w:rsidRPr="000D0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35258" w:rsidRPr="000D082A">
        <w:trPr>
          <w:trHeight w:val="300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</w:t>
            </w:r>
            <w:r w:rsidRPr="000D082A">
              <w:rPr>
                <w:sz w:val="24"/>
                <w:szCs w:val="24"/>
              </w:rPr>
              <w:t>Платёжный баланс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35258" w:rsidRPr="000D082A">
        <w:trPr>
          <w:trHeight w:val="300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0"/>
              <w:rPr>
                <w:sz w:val="24"/>
                <w:szCs w:val="24"/>
              </w:rPr>
            </w:pPr>
            <w:r w:rsidRPr="000D082A">
              <w:rPr>
                <w:b/>
                <w:bCs/>
                <w:sz w:val="24"/>
                <w:szCs w:val="24"/>
              </w:rPr>
              <w:t>2. Деятельность Приднестровского республиканского банка в 201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D082A"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635258" w:rsidRPr="000D082A">
        <w:trPr>
          <w:trHeight w:val="225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>2.1. Денежно-кредитная политика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35258" w:rsidRPr="000D082A">
        <w:trPr>
          <w:trHeight w:val="258"/>
        </w:trPr>
        <w:tc>
          <w:tcPr>
            <w:tcW w:w="8897" w:type="dxa"/>
            <w:vAlign w:val="center"/>
          </w:tcPr>
          <w:p w:rsidR="00635258" w:rsidRPr="00865075" w:rsidRDefault="00635258" w:rsidP="00570C81">
            <w:pPr>
              <w:pStyle w:val="BodyTextIndent2"/>
              <w:spacing w:after="0" w:line="240" w:lineRule="auto"/>
              <w:ind w:left="672" w:firstLine="37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Цели и результаты денежно-кредитной политики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35258" w:rsidRPr="000D082A">
        <w:trPr>
          <w:trHeight w:val="258"/>
        </w:trPr>
        <w:tc>
          <w:tcPr>
            <w:tcW w:w="8897" w:type="dxa"/>
            <w:vAlign w:val="center"/>
          </w:tcPr>
          <w:p w:rsidR="00635258" w:rsidRPr="00865075" w:rsidRDefault="00635258" w:rsidP="00570C81">
            <w:pPr>
              <w:pStyle w:val="BodyTextIndent2"/>
              <w:spacing w:after="0" w:line="240" w:lineRule="auto"/>
              <w:ind w:left="672" w:firstLine="37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 xml:space="preserve">Динамика монетарных показателей 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713F25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35258" w:rsidRPr="000D082A">
        <w:trPr>
          <w:trHeight w:val="258"/>
        </w:trPr>
        <w:tc>
          <w:tcPr>
            <w:tcW w:w="8897" w:type="dxa"/>
            <w:vAlign w:val="center"/>
          </w:tcPr>
          <w:p w:rsidR="00635258" w:rsidRPr="00865075" w:rsidRDefault="00635258" w:rsidP="00570C81">
            <w:pPr>
              <w:pStyle w:val="BodyTextIndent2"/>
              <w:spacing w:after="0" w:line="240" w:lineRule="auto"/>
              <w:ind w:left="672" w:firstLine="37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Инструменты денежно-кредитной политики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713F25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35258" w:rsidRPr="000D082A">
        <w:trPr>
          <w:trHeight w:val="135"/>
        </w:trPr>
        <w:tc>
          <w:tcPr>
            <w:tcW w:w="8897" w:type="dxa"/>
            <w:vAlign w:val="center"/>
          </w:tcPr>
          <w:p w:rsidR="00635258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0D0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Динамика золотовалютных резервов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35258" w:rsidRPr="000D082A">
        <w:trPr>
          <w:trHeight w:val="258"/>
        </w:trPr>
        <w:tc>
          <w:tcPr>
            <w:tcW w:w="8897" w:type="dxa"/>
            <w:vAlign w:val="center"/>
          </w:tcPr>
          <w:p w:rsidR="00635258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Б</w:t>
            </w:r>
            <w:r w:rsidRPr="00BA6913">
              <w:rPr>
                <w:sz w:val="24"/>
                <w:szCs w:val="24"/>
              </w:rPr>
              <w:t>анковско</w:t>
            </w:r>
            <w:r>
              <w:rPr>
                <w:sz w:val="24"/>
                <w:szCs w:val="24"/>
              </w:rPr>
              <w:t>е</w:t>
            </w:r>
            <w:r w:rsidRPr="00BA69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BA6913">
              <w:rPr>
                <w:sz w:val="24"/>
                <w:szCs w:val="24"/>
              </w:rPr>
              <w:t xml:space="preserve">егулирование и надзор 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35258" w:rsidRPr="000D082A">
        <w:trPr>
          <w:trHeight w:val="258"/>
        </w:trPr>
        <w:tc>
          <w:tcPr>
            <w:tcW w:w="8897" w:type="dxa"/>
            <w:vAlign w:val="center"/>
          </w:tcPr>
          <w:p w:rsidR="00635258" w:rsidRPr="00865075" w:rsidRDefault="00635258" w:rsidP="00570C81">
            <w:pPr>
              <w:pStyle w:val="BodyTextIndent2"/>
              <w:spacing w:after="0" w:line="240" w:lineRule="auto"/>
              <w:ind w:left="672" w:firstLine="37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Регистрация и лицензирование банковской деятельности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35258" w:rsidRPr="000D082A">
        <w:trPr>
          <w:trHeight w:val="258"/>
        </w:trPr>
        <w:tc>
          <w:tcPr>
            <w:tcW w:w="8897" w:type="dxa"/>
            <w:vAlign w:val="center"/>
          </w:tcPr>
          <w:p w:rsidR="00635258" w:rsidRPr="00865075" w:rsidRDefault="00635258" w:rsidP="00570C81">
            <w:pPr>
              <w:pStyle w:val="BodyTextIndent2"/>
              <w:spacing w:after="0" w:line="240" w:lineRule="auto"/>
              <w:ind w:left="672" w:firstLine="37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Дистанционный надзор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35258" w:rsidRPr="000D082A">
        <w:trPr>
          <w:trHeight w:val="258"/>
        </w:trPr>
        <w:tc>
          <w:tcPr>
            <w:tcW w:w="8897" w:type="dxa"/>
            <w:vAlign w:val="center"/>
          </w:tcPr>
          <w:p w:rsidR="00635258" w:rsidRPr="00865075" w:rsidRDefault="00635258" w:rsidP="00570C81">
            <w:pPr>
              <w:pStyle w:val="BodyTextIndent2"/>
              <w:spacing w:after="0" w:line="240" w:lineRule="auto"/>
              <w:ind w:left="672" w:firstLine="37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Банковское регулирование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35258" w:rsidRPr="000D082A">
        <w:trPr>
          <w:trHeight w:val="258"/>
        </w:trPr>
        <w:tc>
          <w:tcPr>
            <w:tcW w:w="8897" w:type="dxa"/>
            <w:vAlign w:val="center"/>
          </w:tcPr>
          <w:p w:rsidR="00635258" w:rsidRPr="00865075" w:rsidRDefault="00635258" w:rsidP="00570C81">
            <w:pPr>
              <w:pStyle w:val="BodyTextIndent2"/>
              <w:spacing w:after="0" w:line="240" w:lineRule="auto"/>
              <w:ind w:left="672" w:firstLine="37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Инспектирование кредитных организаций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35258" w:rsidRPr="000D082A">
        <w:trPr>
          <w:trHeight w:val="268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0D082A">
              <w:rPr>
                <w:sz w:val="24"/>
                <w:szCs w:val="24"/>
              </w:rPr>
              <w:t>. Валютное регулирование</w:t>
            </w:r>
            <w:r>
              <w:rPr>
                <w:sz w:val="24"/>
                <w:szCs w:val="24"/>
              </w:rPr>
              <w:t xml:space="preserve"> и валютный контроль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35258" w:rsidRPr="000D082A">
        <w:trPr>
          <w:trHeight w:val="268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</w:t>
            </w:r>
            <w:r w:rsidRPr="00A1768C">
              <w:rPr>
                <w:sz w:val="24"/>
                <w:szCs w:val="24"/>
              </w:rPr>
              <w:t xml:space="preserve">Деятельность </w:t>
            </w:r>
            <w:r w:rsidRPr="0044634C">
              <w:rPr>
                <w:sz w:val="24"/>
                <w:szCs w:val="24"/>
              </w:rPr>
              <w:t>Приднестровского республиканского</w:t>
            </w:r>
            <w:r w:rsidRPr="00A176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банка </w:t>
            </w:r>
            <w:r w:rsidRPr="00A1768C">
              <w:rPr>
                <w:sz w:val="24"/>
                <w:szCs w:val="24"/>
              </w:rPr>
              <w:t>в области противодействия легализации (отмыванию) доходов, полученных преступным путём, и финансированию терроризма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35258" w:rsidRPr="000D082A">
        <w:trPr>
          <w:trHeight w:val="258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0D082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Функционирование платёжной системы </w:t>
            </w:r>
            <w:r w:rsidRPr="0044634C">
              <w:rPr>
                <w:sz w:val="24"/>
                <w:szCs w:val="24"/>
              </w:rPr>
              <w:t>Приднестровского республиканского банка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35258" w:rsidRPr="000D082A">
        <w:trPr>
          <w:trHeight w:val="258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0D082A">
              <w:rPr>
                <w:sz w:val="24"/>
                <w:szCs w:val="24"/>
              </w:rPr>
              <w:t xml:space="preserve">. </w:t>
            </w:r>
            <w:r w:rsidRPr="003B4894">
              <w:rPr>
                <w:sz w:val="24"/>
                <w:szCs w:val="24"/>
              </w:rPr>
              <w:t>Организация наличного денежного обращения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0D082A">
              <w:rPr>
                <w:sz w:val="24"/>
                <w:szCs w:val="24"/>
              </w:rPr>
              <w:t xml:space="preserve">. </w:t>
            </w:r>
            <w:r w:rsidRPr="00032167">
              <w:rPr>
                <w:sz w:val="24"/>
                <w:szCs w:val="24"/>
              </w:rPr>
              <w:t xml:space="preserve">Деятельность </w:t>
            </w:r>
            <w:r w:rsidRPr="0044634C">
              <w:rPr>
                <w:sz w:val="24"/>
                <w:szCs w:val="24"/>
              </w:rPr>
              <w:t>Приднестровского республиканского</w:t>
            </w:r>
            <w:r w:rsidRPr="00032167">
              <w:rPr>
                <w:sz w:val="24"/>
                <w:szCs w:val="24"/>
              </w:rPr>
              <w:t xml:space="preserve"> банка в сфере государственных финансов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</w:t>
            </w:r>
            <w:r w:rsidRPr="000D082A">
              <w:rPr>
                <w:sz w:val="24"/>
                <w:szCs w:val="24"/>
              </w:rPr>
              <w:t xml:space="preserve">. </w:t>
            </w:r>
            <w:r w:rsidRPr="00BA5C6E">
              <w:rPr>
                <w:sz w:val="24"/>
                <w:szCs w:val="24"/>
              </w:rPr>
              <w:t>Взаимо</w:t>
            </w:r>
            <w:r>
              <w:rPr>
                <w:sz w:val="24"/>
                <w:szCs w:val="24"/>
              </w:rPr>
              <w:t>действие</w:t>
            </w:r>
            <w:r w:rsidRPr="00BA5C6E">
              <w:rPr>
                <w:sz w:val="24"/>
                <w:szCs w:val="24"/>
              </w:rPr>
              <w:t xml:space="preserve"> с органами государственной власти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672" w:hanging="388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0D082A">
              <w:rPr>
                <w:sz w:val="24"/>
                <w:szCs w:val="24"/>
              </w:rPr>
              <w:t xml:space="preserve">. </w:t>
            </w:r>
            <w:r w:rsidRPr="003B4894">
              <w:rPr>
                <w:sz w:val="24"/>
                <w:szCs w:val="24"/>
              </w:rPr>
              <w:t xml:space="preserve">Деятельность </w:t>
            </w:r>
            <w:r w:rsidRPr="0044634C">
              <w:rPr>
                <w:sz w:val="24"/>
                <w:szCs w:val="24"/>
              </w:rPr>
              <w:t>Приднестровского республиканского</w:t>
            </w:r>
            <w:r w:rsidRPr="003B4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банка </w:t>
            </w:r>
            <w:r w:rsidRPr="003B4894">
              <w:rPr>
                <w:sz w:val="24"/>
                <w:szCs w:val="24"/>
              </w:rPr>
              <w:t>по совершенствованию бухгалтерского уч</w:t>
            </w:r>
            <w:r>
              <w:rPr>
                <w:sz w:val="24"/>
                <w:szCs w:val="24"/>
              </w:rPr>
              <w:t>ё</w:t>
            </w:r>
            <w:r w:rsidRPr="003B4894">
              <w:rPr>
                <w:sz w:val="24"/>
                <w:szCs w:val="24"/>
              </w:rPr>
              <w:t>та и отч</w:t>
            </w:r>
            <w:r>
              <w:rPr>
                <w:sz w:val="24"/>
                <w:szCs w:val="24"/>
              </w:rPr>
              <w:t>ё</w:t>
            </w:r>
            <w:r w:rsidRPr="003B4894">
              <w:rPr>
                <w:sz w:val="24"/>
                <w:szCs w:val="24"/>
              </w:rPr>
              <w:t>тности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0D082A" w:rsidRDefault="00635258" w:rsidP="00125665">
            <w:pPr>
              <w:pStyle w:val="BodyTextIndent2"/>
              <w:spacing w:after="0" w:line="240" w:lineRule="auto"/>
              <w:ind w:left="686" w:hanging="406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2.11. </w:t>
            </w:r>
            <w:r w:rsidRPr="00545597">
              <w:rPr>
                <w:sz w:val="24"/>
                <w:szCs w:val="24"/>
              </w:rPr>
              <w:t xml:space="preserve">Организация внутренней деятельности </w:t>
            </w:r>
            <w:r w:rsidRPr="0044634C">
              <w:rPr>
                <w:sz w:val="24"/>
                <w:szCs w:val="24"/>
              </w:rPr>
              <w:t>Приднестровского республиканского</w:t>
            </w:r>
            <w:r w:rsidRPr="00545597"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865075" w:rsidRDefault="00635258" w:rsidP="00125665">
            <w:pPr>
              <w:ind w:left="728" w:hanging="14"/>
              <w:jc w:val="both"/>
              <w:rPr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Организационная структура, кадровое обеспечение и обучение персонала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865075" w:rsidRDefault="00635258" w:rsidP="00125665">
            <w:pPr>
              <w:ind w:left="728" w:hanging="14"/>
              <w:jc w:val="both"/>
              <w:rPr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Техническое обеспечение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865075" w:rsidRDefault="00635258" w:rsidP="00827FD0">
            <w:pPr>
              <w:ind w:left="728" w:hanging="14"/>
              <w:rPr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 xml:space="preserve">Деятельность Приднестровского республиканского банка по совершенствованию банковского </w:t>
            </w:r>
            <w:r>
              <w:rPr>
                <w:i/>
                <w:iCs/>
                <w:sz w:val="22"/>
                <w:szCs w:val="22"/>
              </w:rPr>
              <w:t>законодательства.</w:t>
            </w:r>
            <w:r w:rsidRPr="00865075">
              <w:rPr>
                <w:i/>
                <w:iCs/>
                <w:sz w:val="22"/>
                <w:szCs w:val="22"/>
              </w:rPr>
              <w:t xml:space="preserve"> Претензионно-исковая работа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865075" w:rsidRDefault="00635258" w:rsidP="00125665">
            <w:pPr>
              <w:ind w:left="728"/>
              <w:jc w:val="both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 xml:space="preserve">Контроль и внутренний аудит 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865075" w:rsidRDefault="00635258" w:rsidP="00125665">
            <w:pPr>
              <w:ind w:left="728"/>
              <w:jc w:val="both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Управление рисками банковских операций</w:t>
            </w:r>
          </w:p>
        </w:tc>
        <w:tc>
          <w:tcPr>
            <w:tcW w:w="709" w:type="dxa"/>
            <w:vAlign w:val="center"/>
          </w:tcPr>
          <w:p w:rsidR="00635258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865075" w:rsidRDefault="00635258" w:rsidP="00125665">
            <w:pPr>
              <w:ind w:left="728"/>
              <w:jc w:val="both"/>
              <w:rPr>
                <w:i/>
                <w:iCs/>
                <w:sz w:val="22"/>
                <w:szCs w:val="22"/>
              </w:rPr>
            </w:pPr>
            <w:r w:rsidRPr="00865075">
              <w:rPr>
                <w:i/>
                <w:iCs/>
                <w:sz w:val="22"/>
                <w:szCs w:val="22"/>
              </w:rPr>
              <w:t>Информационно-разъяснительная деятельность</w:t>
            </w:r>
          </w:p>
        </w:tc>
        <w:tc>
          <w:tcPr>
            <w:tcW w:w="709" w:type="dxa"/>
            <w:vAlign w:val="center"/>
          </w:tcPr>
          <w:p w:rsidR="00635258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0D082A" w:rsidRDefault="00635258" w:rsidP="00570C81">
            <w:pPr>
              <w:pStyle w:val="BodyTextIndent2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0D082A">
              <w:rPr>
                <w:b/>
                <w:bCs/>
                <w:sz w:val="24"/>
                <w:szCs w:val="24"/>
              </w:rPr>
              <w:t>3. Основные мероприятия</w:t>
            </w:r>
            <w:r>
              <w:rPr>
                <w:b/>
                <w:bCs/>
                <w:sz w:val="24"/>
                <w:szCs w:val="24"/>
              </w:rPr>
              <w:t xml:space="preserve"> Приднестровского республиканского банка, проведённые</w:t>
            </w:r>
            <w:r w:rsidRPr="000D082A">
              <w:rPr>
                <w:b/>
                <w:bCs/>
                <w:sz w:val="24"/>
                <w:szCs w:val="24"/>
              </w:rPr>
              <w:t xml:space="preserve"> в 201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D082A"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709" w:type="dxa"/>
            <w:vAlign w:val="center"/>
          </w:tcPr>
          <w:p w:rsidR="00635258" w:rsidRPr="00D80C42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</w:tr>
      <w:tr w:rsidR="00635258" w:rsidRPr="000D082A">
        <w:trPr>
          <w:trHeight w:val="250"/>
        </w:trPr>
        <w:tc>
          <w:tcPr>
            <w:tcW w:w="8897" w:type="dxa"/>
            <w:vAlign w:val="center"/>
          </w:tcPr>
          <w:p w:rsidR="00635258" w:rsidRDefault="00635258" w:rsidP="00570C81">
            <w:pPr>
              <w:pStyle w:val="BodyTextIndent2"/>
              <w:spacing w:after="0" w:line="240" w:lineRule="auto"/>
              <w:ind w:left="-30"/>
              <w:rPr>
                <w:b/>
                <w:bCs/>
                <w:sz w:val="24"/>
                <w:szCs w:val="24"/>
              </w:rPr>
            </w:pPr>
            <w:r w:rsidRPr="000D082A">
              <w:rPr>
                <w:b/>
                <w:bCs/>
                <w:sz w:val="24"/>
                <w:szCs w:val="24"/>
              </w:rPr>
              <w:t>Приложени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  <w:p w:rsidR="00635258" w:rsidRPr="000D082A" w:rsidRDefault="00635258" w:rsidP="00570C81">
            <w:pPr>
              <w:pStyle w:val="BodyTextIndent2"/>
              <w:spacing w:after="0" w:line="240" w:lineRule="auto"/>
              <w:ind w:left="-30"/>
              <w:rPr>
                <w:sz w:val="24"/>
                <w:szCs w:val="24"/>
              </w:rPr>
            </w:pPr>
            <w:r w:rsidRPr="000D082A">
              <w:rPr>
                <w:sz w:val="24"/>
                <w:szCs w:val="24"/>
              </w:rPr>
              <w:t xml:space="preserve"> Отчёт об исполнении сметы доходов и расходов </w:t>
            </w:r>
            <w:r>
              <w:rPr>
                <w:sz w:val="24"/>
                <w:szCs w:val="24"/>
              </w:rPr>
              <w:t xml:space="preserve">центрального банка </w:t>
            </w:r>
            <w:r w:rsidRPr="000D082A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>5</w:t>
            </w:r>
            <w:r w:rsidRPr="000D08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bottom"/>
          </w:tcPr>
          <w:p w:rsidR="00635258" w:rsidRPr="00D80C42" w:rsidRDefault="00635258" w:rsidP="0067280F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C44237" w:rsidRDefault="00635258" w:rsidP="0067280F">
            <w:pPr>
              <w:jc w:val="both"/>
              <w:rPr>
                <w:sz w:val="24"/>
                <w:szCs w:val="24"/>
              </w:rPr>
            </w:pPr>
            <w:r w:rsidRPr="00C44237">
              <w:rPr>
                <w:sz w:val="24"/>
                <w:szCs w:val="24"/>
              </w:rPr>
              <w:t>Аудиторское заключение по годовой финансовой отчётности центрального банка</w:t>
            </w:r>
          </w:p>
        </w:tc>
        <w:tc>
          <w:tcPr>
            <w:tcW w:w="709" w:type="dxa"/>
            <w:vAlign w:val="center"/>
          </w:tcPr>
          <w:p w:rsidR="00635258" w:rsidRPr="000D082A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635258" w:rsidRPr="000D082A">
        <w:trPr>
          <w:trHeight w:val="312"/>
        </w:trPr>
        <w:tc>
          <w:tcPr>
            <w:tcW w:w="8897" w:type="dxa"/>
            <w:vAlign w:val="center"/>
          </w:tcPr>
          <w:p w:rsidR="00635258" w:rsidRPr="00C44237" w:rsidRDefault="00635258" w:rsidP="0067280F">
            <w:pPr>
              <w:jc w:val="both"/>
              <w:rPr>
                <w:sz w:val="24"/>
                <w:szCs w:val="24"/>
              </w:rPr>
            </w:pPr>
            <w:r w:rsidRPr="00C44237">
              <w:rPr>
                <w:sz w:val="24"/>
                <w:szCs w:val="24"/>
              </w:rPr>
              <w:t>Финансовая отчётность Приднестровского республиканского банка за 201</w:t>
            </w:r>
            <w:r>
              <w:rPr>
                <w:sz w:val="24"/>
                <w:szCs w:val="24"/>
              </w:rPr>
              <w:t>5</w:t>
            </w:r>
            <w:r w:rsidRPr="00C4423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635258" w:rsidRPr="000D082A" w:rsidRDefault="00635258" w:rsidP="00570C81">
            <w:pPr>
              <w:pStyle w:val="BodyTextIndent2"/>
              <w:tabs>
                <w:tab w:val="left" w:pos="317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</w:tr>
    </w:tbl>
    <w:p w:rsidR="00635258" w:rsidRPr="000D082A" w:rsidRDefault="00635258" w:rsidP="002E20AC">
      <w:pPr>
        <w:rPr>
          <w:b/>
          <w:bCs/>
          <w:sz w:val="28"/>
          <w:szCs w:val="28"/>
        </w:rPr>
        <w:sectPr w:rsidR="00635258" w:rsidRPr="000D082A" w:rsidSect="002E20AC">
          <w:pgSz w:w="11906" w:h="16838" w:code="9"/>
          <w:pgMar w:top="1418" w:right="1134" w:bottom="993" w:left="1134" w:header="992" w:footer="873" w:gutter="0"/>
          <w:pgNumType w:start="2"/>
          <w:cols w:space="720"/>
          <w:titlePg/>
        </w:sectPr>
      </w:pPr>
    </w:p>
    <w:p w:rsidR="00635258" w:rsidRPr="000725C3" w:rsidRDefault="00635258" w:rsidP="00542BB6">
      <w:pPr>
        <w:jc w:val="center"/>
        <w:rPr>
          <w:b/>
          <w:bCs/>
          <w:sz w:val="28"/>
          <w:szCs w:val="28"/>
        </w:rPr>
      </w:pPr>
      <w:r w:rsidRPr="001E61A8">
        <w:rPr>
          <w:b/>
          <w:bCs/>
          <w:sz w:val="28"/>
          <w:szCs w:val="28"/>
        </w:rPr>
        <w:t>ВВЕДЕНИЕ</w:t>
      </w:r>
    </w:p>
    <w:p w:rsidR="00635258" w:rsidRDefault="00635258" w:rsidP="00313B69">
      <w:pPr>
        <w:spacing w:before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Отчёт Приднестровского республиканского банка за 2015 год подготовлен в соответствии со статьёй 23 Закона Приднестровской Молдавской Республики </w:t>
      </w:r>
      <w:r>
        <w:rPr>
          <w:sz w:val="24"/>
          <w:szCs w:val="24"/>
        </w:rPr>
        <w:br/>
        <w:t>«О центральном банке Приднестровской Молдавской Республики» (№ 212-З-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от 7 мая 2007 года) и содержит анализ макроэкономических условий проведения денежно-кредитной политики, отражает основные результаты деятельности центрального банка за отчётный период, включая годовую финансовую отчётность и аудиторское заключение по ней.</w:t>
      </w:r>
    </w:p>
    <w:p w:rsidR="00635258" w:rsidRPr="002943E9" w:rsidRDefault="00635258" w:rsidP="00F67966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2943E9">
        <w:rPr>
          <w:sz w:val="24"/>
          <w:szCs w:val="24"/>
        </w:rPr>
        <w:t xml:space="preserve">По итогам 2015 года риски и негативные тенденции в экономике </w:t>
      </w:r>
      <w:r>
        <w:rPr>
          <w:sz w:val="24"/>
          <w:szCs w:val="24"/>
        </w:rPr>
        <w:t>Приднестровья</w:t>
      </w:r>
      <w:r w:rsidRPr="002943E9">
        <w:rPr>
          <w:sz w:val="24"/>
          <w:szCs w:val="24"/>
        </w:rPr>
        <w:t xml:space="preserve">, зафиксированные </w:t>
      </w:r>
      <w:r>
        <w:rPr>
          <w:sz w:val="24"/>
          <w:szCs w:val="24"/>
        </w:rPr>
        <w:t>в предыдущих периодах</w:t>
      </w:r>
      <w:r w:rsidRPr="002943E9">
        <w:rPr>
          <w:sz w:val="24"/>
          <w:szCs w:val="24"/>
        </w:rPr>
        <w:t>, усилились. Нестабильность на внешних рынках отразилась практически на всех сферах</w:t>
      </w:r>
      <w:r>
        <w:rPr>
          <w:sz w:val="24"/>
          <w:szCs w:val="24"/>
        </w:rPr>
        <w:t xml:space="preserve"> жизни</w:t>
      </w:r>
      <w:r w:rsidRPr="002943E9">
        <w:rPr>
          <w:sz w:val="24"/>
          <w:szCs w:val="24"/>
        </w:rPr>
        <w:t xml:space="preserve"> республики. Показатели производственной и инвестиционной активности, динамика внешних источников </w:t>
      </w:r>
      <w:r>
        <w:rPr>
          <w:sz w:val="24"/>
          <w:szCs w:val="24"/>
        </w:rPr>
        <w:t xml:space="preserve">денежных </w:t>
      </w:r>
      <w:r w:rsidRPr="002943E9">
        <w:rPr>
          <w:sz w:val="24"/>
          <w:szCs w:val="24"/>
        </w:rPr>
        <w:t xml:space="preserve">поступлений в отчётном периоде существенно снизились. Это </w:t>
      </w:r>
      <w:r>
        <w:rPr>
          <w:sz w:val="24"/>
          <w:szCs w:val="24"/>
        </w:rPr>
        <w:t>повлияло</w:t>
      </w:r>
      <w:r w:rsidRPr="002943E9">
        <w:rPr>
          <w:sz w:val="24"/>
          <w:szCs w:val="24"/>
        </w:rPr>
        <w:t xml:space="preserve"> на состояни</w:t>
      </w:r>
      <w:r>
        <w:rPr>
          <w:sz w:val="24"/>
          <w:szCs w:val="24"/>
        </w:rPr>
        <w:t>е</w:t>
      </w:r>
      <w:r w:rsidRPr="002943E9">
        <w:rPr>
          <w:sz w:val="24"/>
          <w:szCs w:val="24"/>
        </w:rPr>
        <w:t xml:space="preserve"> государственных и частных финансов, </w:t>
      </w:r>
      <w:r>
        <w:rPr>
          <w:sz w:val="24"/>
          <w:szCs w:val="24"/>
        </w:rPr>
        <w:t xml:space="preserve">уровень </w:t>
      </w:r>
      <w:r w:rsidRPr="002943E9">
        <w:rPr>
          <w:sz w:val="24"/>
          <w:szCs w:val="24"/>
        </w:rPr>
        <w:t>доход</w:t>
      </w:r>
      <w:r>
        <w:rPr>
          <w:sz w:val="24"/>
          <w:szCs w:val="24"/>
        </w:rPr>
        <w:t>ов</w:t>
      </w:r>
      <w:r w:rsidRPr="002943E9">
        <w:rPr>
          <w:sz w:val="24"/>
          <w:szCs w:val="24"/>
        </w:rPr>
        <w:t xml:space="preserve"> населения, развити</w:t>
      </w:r>
      <w:r>
        <w:rPr>
          <w:sz w:val="24"/>
          <w:szCs w:val="24"/>
        </w:rPr>
        <w:t>е</w:t>
      </w:r>
      <w:r w:rsidRPr="002943E9">
        <w:rPr>
          <w:sz w:val="24"/>
          <w:szCs w:val="24"/>
        </w:rPr>
        <w:t xml:space="preserve"> потребительского и финансового рынков.</w:t>
      </w:r>
    </w:p>
    <w:p w:rsidR="00635258" w:rsidRPr="00C91A52" w:rsidRDefault="00635258" w:rsidP="00C91A52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2943E9">
        <w:rPr>
          <w:sz w:val="24"/>
          <w:szCs w:val="24"/>
        </w:rPr>
        <w:t xml:space="preserve">Неустойчивая динамика поступлений в </w:t>
      </w:r>
      <w:r>
        <w:rPr>
          <w:sz w:val="24"/>
          <w:szCs w:val="24"/>
        </w:rPr>
        <w:t>государственный</w:t>
      </w:r>
      <w:r w:rsidRPr="002943E9">
        <w:rPr>
          <w:sz w:val="24"/>
          <w:szCs w:val="24"/>
        </w:rPr>
        <w:t xml:space="preserve"> бюджет </w:t>
      </w:r>
      <w:r>
        <w:rPr>
          <w:sz w:val="24"/>
          <w:szCs w:val="24"/>
        </w:rPr>
        <w:t>оказывала давление</w:t>
      </w:r>
      <w:r w:rsidRPr="002943E9">
        <w:rPr>
          <w:sz w:val="24"/>
          <w:szCs w:val="24"/>
        </w:rPr>
        <w:t xml:space="preserve"> на своевременность выполнения социальных обязательств государства,</w:t>
      </w:r>
      <w:r>
        <w:rPr>
          <w:sz w:val="24"/>
          <w:szCs w:val="24"/>
        </w:rPr>
        <w:t xml:space="preserve"> в результате чего в течение года накапливалась задолженность по выплате заработной платы работникам бюджетной сферы и пенсий. Продолжился</w:t>
      </w:r>
      <w:r w:rsidRPr="002943E9">
        <w:rPr>
          <w:sz w:val="24"/>
          <w:szCs w:val="24"/>
        </w:rPr>
        <w:t xml:space="preserve"> отток ресурсов из банковской системы на фоне замедления деловой активности экономических субъектов и падения доходов граждан. Закономерным в </w:t>
      </w:r>
      <w:r>
        <w:rPr>
          <w:sz w:val="24"/>
          <w:szCs w:val="24"/>
        </w:rPr>
        <w:t>кризисное время</w:t>
      </w:r>
      <w:r w:rsidRPr="002943E9">
        <w:rPr>
          <w:sz w:val="24"/>
          <w:szCs w:val="24"/>
        </w:rPr>
        <w:t xml:space="preserve"> стал рост проблемных кредитов и ухудшение качества кредитного портфеля.</w:t>
      </w:r>
      <w:r w:rsidRPr="00F67966">
        <w:rPr>
          <w:sz w:val="24"/>
          <w:szCs w:val="24"/>
        </w:rPr>
        <w:t xml:space="preserve"> </w:t>
      </w:r>
      <w:r>
        <w:rPr>
          <w:sz w:val="24"/>
          <w:szCs w:val="24"/>
        </w:rPr>
        <w:t>В условиях негативного</w:t>
      </w:r>
      <w:r w:rsidRPr="002943E9">
        <w:rPr>
          <w:sz w:val="24"/>
          <w:szCs w:val="24"/>
        </w:rPr>
        <w:t xml:space="preserve"> воздействия внешних</w:t>
      </w:r>
      <w:r w:rsidRPr="00F67966">
        <w:rPr>
          <w:sz w:val="24"/>
          <w:szCs w:val="24"/>
        </w:rPr>
        <w:t xml:space="preserve"> ш</w:t>
      </w:r>
      <w:r w:rsidRPr="002943E9">
        <w:rPr>
          <w:sz w:val="24"/>
          <w:szCs w:val="24"/>
        </w:rPr>
        <w:t>оков</w:t>
      </w:r>
      <w:r w:rsidRPr="00F67966">
        <w:rPr>
          <w:sz w:val="24"/>
          <w:szCs w:val="24"/>
        </w:rPr>
        <w:t xml:space="preserve"> и девальвационных процессов в странах-партнёрах </w:t>
      </w:r>
      <w:r w:rsidRPr="002943E9">
        <w:rPr>
          <w:sz w:val="24"/>
          <w:szCs w:val="24"/>
        </w:rPr>
        <w:t>предложение</w:t>
      </w:r>
      <w:r w:rsidRPr="00F67966">
        <w:rPr>
          <w:sz w:val="24"/>
          <w:szCs w:val="24"/>
        </w:rPr>
        <w:t xml:space="preserve"> </w:t>
      </w:r>
      <w:r w:rsidRPr="002943E9">
        <w:rPr>
          <w:sz w:val="24"/>
          <w:szCs w:val="24"/>
        </w:rPr>
        <w:t>иностранн</w:t>
      </w:r>
      <w:r w:rsidRPr="00F67966">
        <w:rPr>
          <w:sz w:val="24"/>
          <w:szCs w:val="24"/>
        </w:rPr>
        <w:t xml:space="preserve">ой валюты </w:t>
      </w:r>
      <w:r>
        <w:rPr>
          <w:sz w:val="24"/>
          <w:szCs w:val="24"/>
        </w:rPr>
        <w:t xml:space="preserve">в республике </w:t>
      </w:r>
      <w:r w:rsidRPr="00F67966">
        <w:rPr>
          <w:sz w:val="24"/>
          <w:szCs w:val="24"/>
        </w:rPr>
        <w:t xml:space="preserve">существенно сократилось, тогда как спрос на неё сохранялся </w:t>
      </w:r>
      <w:r>
        <w:rPr>
          <w:sz w:val="24"/>
          <w:szCs w:val="24"/>
        </w:rPr>
        <w:t xml:space="preserve">на </w:t>
      </w:r>
      <w:r w:rsidRPr="00F67966">
        <w:rPr>
          <w:sz w:val="24"/>
          <w:szCs w:val="24"/>
        </w:rPr>
        <w:t>достаточно высок</w:t>
      </w:r>
      <w:r>
        <w:rPr>
          <w:sz w:val="24"/>
          <w:szCs w:val="24"/>
        </w:rPr>
        <w:t>о</w:t>
      </w:r>
      <w:r w:rsidRPr="00F67966">
        <w:rPr>
          <w:sz w:val="24"/>
          <w:szCs w:val="24"/>
        </w:rPr>
        <w:t>м</w:t>
      </w:r>
      <w:r>
        <w:rPr>
          <w:sz w:val="24"/>
          <w:szCs w:val="24"/>
        </w:rPr>
        <w:t xml:space="preserve"> уровне</w:t>
      </w:r>
      <w:r w:rsidRPr="007C10A8">
        <w:rPr>
          <w:sz w:val="24"/>
          <w:szCs w:val="24"/>
        </w:rPr>
        <w:t>. Первые признаки серь</w:t>
      </w:r>
      <w:r>
        <w:rPr>
          <w:sz w:val="24"/>
          <w:szCs w:val="24"/>
        </w:rPr>
        <w:t>ё</w:t>
      </w:r>
      <w:r w:rsidRPr="007C10A8">
        <w:rPr>
          <w:sz w:val="24"/>
          <w:szCs w:val="24"/>
        </w:rPr>
        <w:t>зного финансового кризиса в приднестровской банковской системе появились давно и показали, что основной механизм его развития отличается от практики других стран. Положение в регионе осложнено его непризнанностью и глубокой зависимостью от политических, экономических и других процессов, реализуемых в соседних государствах. Отсюда особая процедура финансирования банков и предприятий, предложения денег</w:t>
      </w:r>
      <w:r w:rsidRPr="00862392">
        <w:rPr>
          <w:sz w:val="24"/>
          <w:szCs w:val="24"/>
        </w:rPr>
        <w:t>, ценообразования на финансовом рынке, специфическая</w:t>
      </w:r>
      <w:r w:rsidRPr="007C10A8">
        <w:rPr>
          <w:sz w:val="24"/>
          <w:szCs w:val="24"/>
        </w:rPr>
        <w:t xml:space="preserve"> ситуация на валютном рынке и рынке кредитования. В связи с этим, учитывая наблюдаемое усиление структурных диспропорций, выход из кризиса для</w:t>
      </w:r>
      <w:r w:rsidRPr="00C91A52">
        <w:rPr>
          <w:sz w:val="24"/>
          <w:szCs w:val="24"/>
        </w:rPr>
        <w:t xml:space="preserve"> Придне</w:t>
      </w:r>
      <w:r>
        <w:rPr>
          <w:sz w:val="24"/>
          <w:szCs w:val="24"/>
        </w:rPr>
        <w:t xml:space="preserve">стровья будет крайне сложным и </w:t>
      </w:r>
      <w:r w:rsidRPr="00C91A52">
        <w:rPr>
          <w:sz w:val="24"/>
          <w:szCs w:val="24"/>
        </w:rPr>
        <w:t>требует принятия нестандартных решений.</w:t>
      </w:r>
    </w:p>
    <w:p w:rsidR="00635258" w:rsidRPr="00F67966" w:rsidRDefault="00635258" w:rsidP="00F67966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отчётном периоде Приднестровский республиканский банк</w:t>
      </w:r>
      <w:r w:rsidRPr="002943E9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проводил</w:t>
      </w:r>
      <w:r w:rsidRPr="002943E9">
        <w:rPr>
          <w:sz w:val="24"/>
          <w:szCs w:val="24"/>
        </w:rPr>
        <w:t xml:space="preserve"> денежно-кредитную политику исходя из цели</w:t>
      </w:r>
      <w:r>
        <w:rPr>
          <w:sz w:val="24"/>
          <w:szCs w:val="24"/>
        </w:rPr>
        <w:t xml:space="preserve"> поддержания ценовой стабильности, в том числе курсовой</w:t>
      </w:r>
      <w:r w:rsidRPr="002943E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опираясь на </w:t>
      </w:r>
      <w:r w:rsidRPr="002943E9">
        <w:rPr>
          <w:sz w:val="24"/>
          <w:szCs w:val="24"/>
        </w:rPr>
        <w:t>текущ</w:t>
      </w:r>
      <w:r>
        <w:rPr>
          <w:sz w:val="24"/>
          <w:szCs w:val="24"/>
        </w:rPr>
        <w:t>ую</w:t>
      </w:r>
      <w:r w:rsidRPr="002943E9">
        <w:rPr>
          <w:sz w:val="24"/>
          <w:szCs w:val="24"/>
        </w:rPr>
        <w:t xml:space="preserve"> макроэкономическ</w:t>
      </w:r>
      <w:r>
        <w:rPr>
          <w:sz w:val="24"/>
          <w:szCs w:val="24"/>
        </w:rPr>
        <w:t>ую</w:t>
      </w:r>
      <w:r w:rsidRPr="002943E9">
        <w:rPr>
          <w:sz w:val="24"/>
          <w:szCs w:val="24"/>
        </w:rPr>
        <w:t xml:space="preserve"> ситуаци</w:t>
      </w:r>
      <w:r>
        <w:rPr>
          <w:sz w:val="24"/>
          <w:szCs w:val="24"/>
        </w:rPr>
        <w:t>ю</w:t>
      </w:r>
      <w:r w:rsidRPr="002943E9">
        <w:rPr>
          <w:sz w:val="24"/>
          <w:szCs w:val="24"/>
        </w:rPr>
        <w:t xml:space="preserve"> и прогноз изменения основных экономических параметров. Количественным ориентиром денежно-кредитной политики </w:t>
      </w:r>
      <w:r w:rsidRPr="00F67966">
        <w:rPr>
          <w:sz w:val="24"/>
          <w:szCs w:val="24"/>
        </w:rPr>
        <w:t>являлось</w:t>
      </w:r>
      <w:r w:rsidRPr="002943E9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поддержание курса приднестровского рубля к доллару США в диапазоне 11,0-11,30 руб./долл., а также недопущение существенного роста цен на потребительском рынке республики</w:t>
      </w:r>
      <w:r w:rsidRPr="00F679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(не более </w:t>
      </w:r>
      <w:r w:rsidRPr="001C65D9">
        <w:rPr>
          <w:sz w:val="24"/>
          <w:szCs w:val="24"/>
        </w:rPr>
        <w:t>6</w:t>
      </w:r>
      <w:r>
        <w:rPr>
          <w:sz w:val="24"/>
          <w:szCs w:val="24"/>
        </w:rPr>
        <w:t>%</w:t>
      </w:r>
      <w:r w:rsidRPr="001C65D9">
        <w:rPr>
          <w:sz w:val="24"/>
          <w:szCs w:val="24"/>
        </w:rPr>
        <w:t xml:space="preserve"> ± 1 п.п.</w:t>
      </w:r>
      <w:r>
        <w:rPr>
          <w:sz w:val="24"/>
          <w:szCs w:val="24"/>
        </w:rPr>
        <w:t>)</w:t>
      </w:r>
      <w:r w:rsidRPr="002943E9">
        <w:rPr>
          <w:sz w:val="24"/>
          <w:szCs w:val="24"/>
        </w:rPr>
        <w:t>.</w:t>
      </w:r>
      <w:r w:rsidRPr="00F67966">
        <w:rPr>
          <w:sz w:val="24"/>
          <w:szCs w:val="24"/>
        </w:rPr>
        <w:t xml:space="preserve"> </w:t>
      </w:r>
    </w:p>
    <w:p w:rsidR="00635258" w:rsidRDefault="00635258" w:rsidP="00F67966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2943E9">
        <w:rPr>
          <w:sz w:val="24"/>
          <w:szCs w:val="24"/>
        </w:rPr>
        <w:t xml:space="preserve">В условиях сильного негативного воздействия внешних факторов на экономику усилия </w:t>
      </w:r>
      <w:r>
        <w:rPr>
          <w:sz w:val="24"/>
          <w:szCs w:val="24"/>
        </w:rPr>
        <w:t>Приднестровского республиканского банка</w:t>
      </w:r>
      <w:r w:rsidRPr="002943E9">
        <w:rPr>
          <w:sz w:val="24"/>
          <w:szCs w:val="24"/>
        </w:rPr>
        <w:t xml:space="preserve"> были сконцентрированы на ограничении монетарной составляющей инфляции и проведени</w:t>
      </w:r>
      <w:r>
        <w:rPr>
          <w:sz w:val="24"/>
          <w:szCs w:val="24"/>
        </w:rPr>
        <w:t>и</w:t>
      </w:r>
      <w:r w:rsidRPr="002943E9">
        <w:rPr>
          <w:sz w:val="24"/>
          <w:szCs w:val="24"/>
        </w:rPr>
        <w:t xml:space="preserve"> валютной политики, </w:t>
      </w:r>
      <w:r>
        <w:rPr>
          <w:sz w:val="24"/>
          <w:szCs w:val="24"/>
        </w:rPr>
        <w:t xml:space="preserve">смягчающей </w:t>
      </w:r>
      <w:r w:rsidRPr="002943E9">
        <w:rPr>
          <w:sz w:val="24"/>
          <w:szCs w:val="24"/>
        </w:rPr>
        <w:t>давлени</w:t>
      </w:r>
      <w:r>
        <w:rPr>
          <w:sz w:val="24"/>
          <w:szCs w:val="24"/>
        </w:rPr>
        <w:t>е</w:t>
      </w:r>
      <w:r w:rsidRPr="002943E9">
        <w:rPr>
          <w:sz w:val="24"/>
          <w:szCs w:val="24"/>
        </w:rPr>
        <w:t xml:space="preserve"> на обменный курс национальной валюты.</w:t>
      </w:r>
      <w:r w:rsidRPr="00F67966">
        <w:rPr>
          <w:sz w:val="24"/>
          <w:szCs w:val="24"/>
        </w:rPr>
        <w:t xml:space="preserve"> </w:t>
      </w:r>
      <w:r w:rsidRPr="00D3169F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этой </w:t>
      </w:r>
      <w:r w:rsidRPr="00D3169F">
        <w:rPr>
          <w:sz w:val="24"/>
          <w:szCs w:val="24"/>
        </w:rPr>
        <w:t xml:space="preserve">целью Приднестровский республиканский банк применял ряд рыночных механизмов воздействия в сочетании с административными мерами. Среди них </w:t>
      </w:r>
      <w:r>
        <w:rPr>
          <w:sz w:val="24"/>
          <w:szCs w:val="24"/>
        </w:rPr>
        <w:t>основными являлись</w:t>
      </w:r>
      <w:r w:rsidRPr="00D3169F">
        <w:rPr>
          <w:sz w:val="24"/>
          <w:szCs w:val="24"/>
        </w:rPr>
        <w:t xml:space="preserve"> ограничение на покупку безналичной валюты на валютном аукционе центрального банка только под реальные </w:t>
      </w:r>
      <w:r w:rsidRPr="00286A4B">
        <w:rPr>
          <w:sz w:val="24"/>
          <w:szCs w:val="24"/>
        </w:rPr>
        <w:t>производственные</w:t>
      </w:r>
      <w:r w:rsidRPr="00D3169F">
        <w:rPr>
          <w:sz w:val="24"/>
          <w:szCs w:val="24"/>
        </w:rPr>
        <w:t xml:space="preserve"> контракты, а также проведение масштабных валютных интервенций</w:t>
      </w:r>
      <w:r>
        <w:rPr>
          <w:sz w:val="24"/>
          <w:szCs w:val="24"/>
        </w:rPr>
        <w:t>, в том числе на наличном рынке</w:t>
      </w:r>
      <w:r w:rsidRPr="00D3169F">
        <w:rPr>
          <w:sz w:val="24"/>
          <w:szCs w:val="24"/>
        </w:rPr>
        <w:t xml:space="preserve">. </w:t>
      </w:r>
      <w:r w:rsidRPr="00294A15">
        <w:rPr>
          <w:sz w:val="24"/>
          <w:szCs w:val="24"/>
        </w:rPr>
        <w:t xml:space="preserve">Для удовлетворения потребностей хозяйствующих субъектов и населения </w:t>
      </w:r>
      <w:r>
        <w:rPr>
          <w:sz w:val="24"/>
          <w:szCs w:val="24"/>
        </w:rPr>
        <w:t xml:space="preserve">Приднестровский республиканский банк </w:t>
      </w:r>
      <w:r w:rsidRPr="00294A15">
        <w:rPr>
          <w:sz w:val="24"/>
          <w:szCs w:val="24"/>
        </w:rPr>
        <w:t xml:space="preserve">реализовал в совокупности </w:t>
      </w:r>
      <w:r>
        <w:rPr>
          <w:sz w:val="24"/>
          <w:szCs w:val="24"/>
        </w:rPr>
        <w:br/>
      </w:r>
      <w:r w:rsidRPr="00294A15">
        <w:rPr>
          <w:sz w:val="24"/>
          <w:szCs w:val="24"/>
        </w:rPr>
        <w:t>175</w:t>
      </w:r>
      <w:r>
        <w:rPr>
          <w:sz w:val="24"/>
          <w:szCs w:val="24"/>
        </w:rPr>
        <w:t>,3</w:t>
      </w:r>
      <w:r w:rsidRPr="00294A15">
        <w:rPr>
          <w:sz w:val="24"/>
          <w:szCs w:val="24"/>
        </w:rPr>
        <w:t xml:space="preserve"> млн долл., из них путём продажи на валютном аукционе – 103,8 млн долл., в рамках наличных валютных интервенций через обменные пункты – 71,5 млн долл. Данный показатель в 5,8 раза превысил средний объём валютных резервов, сложившийся по итогам 2015 года.</w:t>
      </w:r>
    </w:p>
    <w:p w:rsidR="00635258" w:rsidRPr="00F67966" w:rsidRDefault="00635258" w:rsidP="00B05005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D3169F">
        <w:rPr>
          <w:sz w:val="24"/>
          <w:szCs w:val="24"/>
        </w:rPr>
        <w:t xml:space="preserve">В результате </w:t>
      </w:r>
      <w:r>
        <w:rPr>
          <w:sz w:val="24"/>
          <w:szCs w:val="24"/>
        </w:rPr>
        <w:t xml:space="preserve">на фоне более благоприятной, чем в предыдущие периоды, динамики сальдо счёта текущих операций платёжного баланса </w:t>
      </w:r>
      <w:r w:rsidRPr="00D3169F">
        <w:rPr>
          <w:sz w:val="24"/>
          <w:szCs w:val="24"/>
        </w:rPr>
        <w:t>удалось поддержать на оптимальном уровне доступность валютных ресурсов для хозяйствующих субъектов и населения</w:t>
      </w:r>
      <w:r>
        <w:rPr>
          <w:sz w:val="24"/>
          <w:szCs w:val="24"/>
        </w:rPr>
        <w:t>, сохранив официальный валютный курс в установленных переделах</w:t>
      </w:r>
      <w:r w:rsidRPr="00D316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B498A">
        <w:rPr>
          <w:sz w:val="24"/>
          <w:szCs w:val="24"/>
        </w:rPr>
        <w:t>Рыночный курс приднестровского рубля к доллару США в</w:t>
      </w:r>
      <w:r w:rsidRPr="00294A15">
        <w:rPr>
          <w:sz w:val="24"/>
          <w:szCs w:val="24"/>
        </w:rPr>
        <w:t xml:space="preserve"> течение </w:t>
      </w:r>
      <w:r>
        <w:rPr>
          <w:sz w:val="24"/>
          <w:szCs w:val="24"/>
        </w:rPr>
        <w:t>2015</w:t>
      </w:r>
      <w:r w:rsidRPr="00294A15">
        <w:rPr>
          <w:sz w:val="24"/>
          <w:szCs w:val="24"/>
        </w:rPr>
        <w:t xml:space="preserve"> года изменялс</w:t>
      </w:r>
      <w:r w:rsidRPr="00F67966">
        <w:rPr>
          <w:sz w:val="24"/>
          <w:szCs w:val="24"/>
        </w:rPr>
        <w:t>я</w:t>
      </w:r>
      <w:r w:rsidRPr="00294A15">
        <w:rPr>
          <w:sz w:val="24"/>
          <w:szCs w:val="24"/>
        </w:rPr>
        <w:t xml:space="preserve"> незначительно.</w:t>
      </w:r>
      <w:r>
        <w:rPr>
          <w:sz w:val="24"/>
          <w:szCs w:val="24"/>
        </w:rPr>
        <w:t xml:space="preserve"> </w:t>
      </w:r>
      <w:r w:rsidRPr="00F67966">
        <w:rPr>
          <w:sz w:val="24"/>
          <w:szCs w:val="24"/>
        </w:rPr>
        <w:t xml:space="preserve">Динамика влияния монетарной составляющей на инфляцию на протяжении отчётного периода была </w:t>
      </w:r>
      <w:r>
        <w:rPr>
          <w:sz w:val="24"/>
          <w:szCs w:val="24"/>
        </w:rPr>
        <w:t>понижательной.</w:t>
      </w:r>
      <w:r w:rsidRPr="00CB6EA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3169F">
        <w:rPr>
          <w:sz w:val="24"/>
          <w:szCs w:val="24"/>
        </w:rPr>
        <w:t>первые за весь период наблюдений</w:t>
      </w:r>
      <w:r w:rsidRPr="00F67966">
        <w:rPr>
          <w:sz w:val="24"/>
          <w:szCs w:val="24"/>
        </w:rPr>
        <w:t xml:space="preserve"> была зафиксирована </w:t>
      </w:r>
      <w:r>
        <w:rPr>
          <w:sz w:val="24"/>
          <w:szCs w:val="24"/>
        </w:rPr>
        <w:t xml:space="preserve">годовая </w:t>
      </w:r>
      <w:r w:rsidRPr="00F67966">
        <w:rPr>
          <w:sz w:val="24"/>
          <w:szCs w:val="24"/>
        </w:rPr>
        <w:t xml:space="preserve">дефляция </w:t>
      </w:r>
      <w:r w:rsidRPr="00D3169F">
        <w:rPr>
          <w:sz w:val="24"/>
          <w:szCs w:val="24"/>
        </w:rPr>
        <w:t>на уровне 1,8%</w:t>
      </w:r>
      <w:r w:rsidRPr="00F67966">
        <w:rPr>
          <w:sz w:val="24"/>
          <w:szCs w:val="24"/>
        </w:rPr>
        <w:t>.</w:t>
      </w:r>
    </w:p>
    <w:p w:rsidR="00635258" w:rsidRDefault="00635258" w:rsidP="00341F3C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2943E9">
        <w:rPr>
          <w:sz w:val="24"/>
          <w:szCs w:val="24"/>
        </w:rPr>
        <w:t>В отч</w:t>
      </w:r>
      <w:r>
        <w:rPr>
          <w:sz w:val="24"/>
          <w:szCs w:val="24"/>
        </w:rPr>
        <w:t>ё</w:t>
      </w:r>
      <w:r w:rsidRPr="002943E9">
        <w:rPr>
          <w:sz w:val="24"/>
          <w:szCs w:val="24"/>
        </w:rPr>
        <w:t>тном периоде продолжилась работа по совершенствованию качества</w:t>
      </w:r>
      <w:r w:rsidRPr="005C0AB0">
        <w:rPr>
          <w:sz w:val="24"/>
          <w:szCs w:val="24"/>
        </w:rPr>
        <w:t xml:space="preserve"> </w:t>
      </w:r>
      <w:r w:rsidRPr="002943E9">
        <w:rPr>
          <w:sz w:val="24"/>
          <w:szCs w:val="24"/>
        </w:rPr>
        <w:t>и эффективности банковского надзора, национальной системы в</w:t>
      </w:r>
      <w:r>
        <w:rPr>
          <w:sz w:val="24"/>
          <w:szCs w:val="24"/>
        </w:rPr>
        <w:t xml:space="preserve"> </w:t>
      </w:r>
      <w:r w:rsidRPr="002943E9">
        <w:rPr>
          <w:sz w:val="24"/>
          <w:szCs w:val="24"/>
        </w:rPr>
        <w:t>сфере противодействия финансированию терроризма и легализации (отмыванию)</w:t>
      </w:r>
      <w:r>
        <w:rPr>
          <w:sz w:val="24"/>
          <w:szCs w:val="24"/>
        </w:rPr>
        <w:t xml:space="preserve"> </w:t>
      </w:r>
      <w:r w:rsidRPr="002943E9">
        <w:rPr>
          <w:sz w:val="24"/>
          <w:szCs w:val="24"/>
        </w:rPr>
        <w:t>доходов, полученных преступным пут</w:t>
      </w:r>
      <w:r>
        <w:rPr>
          <w:sz w:val="24"/>
          <w:szCs w:val="24"/>
        </w:rPr>
        <w:t>ё</w:t>
      </w:r>
      <w:r w:rsidRPr="002943E9">
        <w:rPr>
          <w:sz w:val="24"/>
          <w:szCs w:val="24"/>
        </w:rPr>
        <w:t>м</w:t>
      </w:r>
      <w:r>
        <w:rPr>
          <w:sz w:val="24"/>
          <w:szCs w:val="24"/>
        </w:rPr>
        <w:t xml:space="preserve">, посредством разработки соответствующих </w:t>
      </w:r>
      <w:r w:rsidRPr="005C0AB0">
        <w:rPr>
          <w:sz w:val="24"/>
          <w:szCs w:val="24"/>
        </w:rPr>
        <w:t>норма</w:t>
      </w:r>
      <w:r w:rsidRPr="002943E9">
        <w:rPr>
          <w:sz w:val="24"/>
          <w:szCs w:val="24"/>
        </w:rPr>
        <w:t xml:space="preserve">тивных правовых актов </w:t>
      </w:r>
      <w:r>
        <w:rPr>
          <w:sz w:val="24"/>
          <w:szCs w:val="24"/>
        </w:rPr>
        <w:t>центрального</w:t>
      </w:r>
      <w:r w:rsidRPr="002943E9">
        <w:rPr>
          <w:sz w:val="24"/>
          <w:szCs w:val="24"/>
        </w:rPr>
        <w:t xml:space="preserve"> банка</w:t>
      </w:r>
      <w:r>
        <w:rPr>
          <w:sz w:val="24"/>
          <w:szCs w:val="24"/>
        </w:rPr>
        <w:t>.</w:t>
      </w:r>
    </w:p>
    <w:p w:rsidR="00635258" w:rsidRPr="00341F3C" w:rsidRDefault="00635258" w:rsidP="00341F3C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области развития системы безналичных платежей и современных технологий значимым событием </w:t>
      </w:r>
      <w:r w:rsidRPr="002140A7">
        <w:rPr>
          <w:sz w:val="24"/>
          <w:szCs w:val="24"/>
        </w:rPr>
        <w:t>2015 год</w:t>
      </w:r>
      <w:r>
        <w:rPr>
          <w:sz w:val="24"/>
          <w:szCs w:val="24"/>
        </w:rPr>
        <w:t>а</w:t>
      </w:r>
      <w:r w:rsidRPr="002140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стало </w:t>
      </w:r>
      <w:r w:rsidRPr="002140A7">
        <w:rPr>
          <w:sz w:val="24"/>
          <w:szCs w:val="24"/>
        </w:rPr>
        <w:t>создани</w:t>
      </w:r>
      <w:r>
        <w:rPr>
          <w:sz w:val="24"/>
          <w:szCs w:val="24"/>
        </w:rPr>
        <w:t>е</w:t>
      </w:r>
      <w:r w:rsidRPr="002140A7">
        <w:rPr>
          <w:sz w:val="24"/>
          <w:szCs w:val="24"/>
        </w:rPr>
        <w:t xml:space="preserve"> Национальной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жной системы, обеспеч</w:t>
      </w:r>
      <w:r>
        <w:rPr>
          <w:sz w:val="24"/>
          <w:szCs w:val="24"/>
        </w:rPr>
        <w:t>ивающей</w:t>
      </w:r>
      <w:r w:rsidRPr="002140A7">
        <w:rPr>
          <w:sz w:val="24"/>
          <w:szCs w:val="24"/>
        </w:rPr>
        <w:t xml:space="preserve"> взаимодействи</w:t>
      </w:r>
      <w:r>
        <w:rPr>
          <w:sz w:val="24"/>
          <w:szCs w:val="24"/>
        </w:rPr>
        <w:t>е</w:t>
      </w:r>
      <w:r w:rsidRPr="002140A7">
        <w:rPr>
          <w:sz w:val="24"/>
          <w:szCs w:val="24"/>
        </w:rPr>
        <w:t xml:space="preserve">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жной системы Приднестровской Молдавской Республики с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жными системами других стран, её выхода на качественно новый уровень</w:t>
      </w:r>
      <w:r>
        <w:rPr>
          <w:sz w:val="24"/>
          <w:szCs w:val="24"/>
        </w:rPr>
        <w:t xml:space="preserve">. </w:t>
      </w:r>
    </w:p>
    <w:p w:rsidR="00635258" w:rsidRDefault="00635258" w:rsidP="00941610">
      <w:pPr>
        <w:ind w:firstLine="425"/>
        <w:jc w:val="both"/>
        <w:rPr>
          <w:sz w:val="24"/>
          <w:szCs w:val="24"/>
        </w:rPr>
      </w:pPr>
    </w:p>
    <w:p w:rsidR="00635258" w:rsidRDefault="00635258" w:rsidP="00941610">
      <w:pPr>
        <w:ind w:firstLine="425"/>
        <w:jc w:val="both"/>
        <w:rPr>
          <w:sz w:val="24"/>
          <w:szCs w:val="24"/>
        </w:rPr>
      </w:pPr>
    </w:p>
    <w:p w:rsidR="00635258" w:rsidRPr="000D082A" w:rsidRDefault="00635258" w:rsidP="00FD21E2">
      <w:pPr>
        <w:widowControl w:val="0"/>
        <w:jc w:val="center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br w:type="page"/>
      </w:r>
      <w:r w:rsidRPr="000D082A">
        <w:rPr>
          <w:b/>
          <w:bCs/>
          <w:noProof/>
          <w:sz w:val="28"/>
          <w:szCs w:val="28"/>
        </w:rPr>
        <w:t xml:space="preserve">РАЗДЕЛ 1. </w:t>
      </w:r>
      <w:r w:rsidRPr="00FD21E2">
        <w:rPr>
          <w:b/>
          <w:bCs/>
          <w:noProof/>
          <w:sz w:val="28"/>
          <w:szCs w:val="28"/>
        </w:rPr>
        <w:t>ЭКОНОМИЧЕСКОЕ И ФИНАНСОВОЕ ПОЛОЖЕНИЕ ПРИДНЕСТРОВСКОЙ МОЛДАВСКОЙ РЕСПУБЛИКИ В 201</w:t>
      </w:r>
      <w:r>
        <w:rPr>
          <w:b/>
          <w:bCs/>
          <w:noProof/>
          <w:sz w:val="28"/>
          <w:szCs w:val="28"/>
        </w:rPr>
        <w:t>5</w:t>
      </w:r>
      <w:r w:rsidRPr="00FD21E2">
        <w:rPr>
          <w:b/>
          <w:bCs/>
          <w:noProof/>
          <w:sz w:val="28"/>
          <w:szCs w:val="28"/>
        </w:rPr>
        <w:t xml:space="preserve"> ГОДУ</w:t>
      </w:r>
      <w:r w:rsidRPr="000D082A">
        <w:rPr>
          <w:b/>
          <w:bCs/>
          <w:noProof/>
          <w:sz w:val="28"/>
          <w:szCs w:val="28"/>
        </w:rPr>
        <w:t xml:space="preserve"> </w:t>
      </w:r>
    </w:p>
    <w:p w:rsidR="00635258" w:rsidRDefault="00635258" w:rsidP="00CA0C52">
      <w:pPr>
        <w:pStyle w:val="Heading1"/>
        <w:widowControl w:val="0"/>
        <w:rPr>
          <w:b/>
          <w:bCs/>
          <w:noProof/>
          <w:sz w:val="24"/>
          <w:szCs w:val="24"/>
        </w:rPr>
      </w:pPr>
    </w:p>
    <w:p w:rsidR="00635258" w:rsidRDefault="00635258" w:rsidP="00FA1021">
      <w:pPr>
        <w:pStyle w:val="Heading1"/>
        <w:widowControl w:val="0"/>
        <w:numPr>
          <w:ilvl w:val="1"/>
          <w:numId w:val="2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МИРОВАЯ ЭКОНОМИКА И МЕЖДУНАРОДНЫЕ РЫНКИ</w:t>
      </w:r>
    </w:p>
    <w:p w:rsidR="00635258" w:rsidRPr="007A0B59" w:rsidRDefault="00635258" w:rsidP="00FA1021">
      <w:pPr>
        <w:autoSpaceDE w:val="0"/>
        <w:autoSpaceDN w:val="0"/>
        <w:adjustRightInd w:val="0"/>
        <w:spacing w:before="120"/>
        <w:ind w:firstLine="437"/>
        <w:jc w:val="both"/>
        <w:rPr>
          <w:color w:val="000000"/>
          <w:sz w:val="24"/>
          <w:szCs w:val="24"/>
        </w:rPr>
      </w:pPr>
      <w:r w:rsidRPr="007A0B59">
        <w:rPr>
          <w:color w:val="000000"/>
          <w:sz w:val="24"/>
          <w:szCs w:val="24"/>
        </w:rPr>
        <w:t xml:space="preserve">В отчётном периоде рост мировой экономики сложился на уровне 3,1% против 3,3% годом ранее. На фоне углубляющегося спада на развивающихся рынках и продолжающегося падения цен на сырьевых </w:t>
      </w:r>
      <w:r>
        <w:rPr>
          <w:color w:val="000000"/>
          <w:sz w:val="24"/>
          <w:szCs w:val="24"/>
        </w:rPr>
        <w:t xml:space="preserve">мировые финансовые институты продолжали ухудшать прогнозы относительно её перспектив. </w:t>
      </w:r>
    </w:p>
    <w:p w:rsidR="00635258" w:rsidRPr="007A0B59" w:rsidRDefault="00635258" w:rsidP="00FA1021">
      <w:pPr>
        <w:autoSpaceDE w:val="0"/>
        <w:autoSpaceDN w:val="0"/>
        <w:adjustRightInd w:val="0"/>
        <w:ind w:firstLine="437"/>
        <w:jc w:val="both"/>
        <w:rPr>
          <w:color w:val="000000"/>
          <w:sz w:val="24"/>
          <w:szCs w:val="24"/>
        </w:rPr>
      </w:pPr>
      <w:r w:rsidRPr="007A0B59">
        <w:rPr>
          <w:color w:val="000000"/>
          <w:sz w:val="24"/>
          <w:szCs w:val="24"/>
        </w:rPr>
        <w:t xml:space="preserve">По итогам года </w:t>
      </w:r>
      <w:r>
        <w:rPr>
          <w:color w:val="000000"/>
          <w:sz w:val="24"/>
          <w:szCs w:val="24"/>
        </w:rPr>
        <w:t>валовой внутренний продукт</w:t>
      </w:r>
      <w:r w:rsidRPr="007A0B59">
        <w:rPr>
          <w:color w:val="000000"/>
          <w:sz w:val="24"/>
          <w:szCs w:val="24"/>
        </w:rPr>
        <w:t xml:space="preserve"> США</w:t>
      </w:r>
      <w:r>
        <w:rPr>
          <w:color w:val="000000"/>
          <w:sz w:val="24"/>
          <w:szCs w:val="24"/>
        </w:rPr>
        <w:t xml:space="preserve"> вырос на 2,4%, что сопоставимо с уровнем 2014 года. Последний квартал характеризовался сокращением объёмов промышленного производства, занятости населения и увеличением дефицита внешней торговли.</w:t>
      </w:r>
    </w:p>
    <w:p w:rsidR="00635258" w:rsidRPr="002D20EB" w:rsidRDefault="00635258" w:rsidP="00FA1021">
      <w:pPr>
        <w:autoSpaceDE w:val="0"/>
        <w:autoSpaceDN w:val="0"/>
        <w:adjustRightInd w:val="0"/>
        <w:ind w:firstLine="437"/>
        <w:jc w:val="both"/>
        <w:rPr>
          <w:sz w:val="24"/>
          <w:szCs w:val="24"/>
        </w:rPr>
      </w:pPr>
      <w:r>
        <w:rPr>
          <w:sz w:val="24"/>
          <w:szCs w:val="24"/>
        </w:rPr>
        <w:t>Темпы прир</w:t>
      </w:r>
      <w:r w:rsidRPr="002D20EB">
        <w:rPr>
          <w:sz w:val="24"/>
          <w:szCs w:val="24"/>
        </w:rPr>
        <w:t>ост</w:t>
      </w:r>
      <w:r>
        <w:rPr>
          <w:sz w:val="24"/>
          <w:szCs w:val="24"/>
        </w:rPr>
        <w:t>а</w:t>
      </w:r>
      <w:r w:rsidRPr="002D20EB">
        <w:rPr>
          <w:sz w:val="24"/>
          <w:szCs w:val="24"/>
        </w:rPr>
        <w:t xml:space="preserve"> экономики Китая</w:t>
      </w:r>
      <w:r>
        <w:rPr>
          <w:sz w:val="24"/>
          <w:szCs w:val="24"/>
        </w:rPr>
        <w:t xml:space="preserve"> – второй в мире – продолжают замедляться: по итогам 2015 года они составили 6,9%, что стало </w:t>
      </w:r>
      <w:r w:rsidRPr="00FB498A">
        <w:rPr>
          <w:sz w:val="24"/>
          <w:szCs w:val="24"/>
        </w:rPr>
        <w:t>минимальным за последние 25 лет</w:t>
      </w:r>
      <w:r>
        <w:rPr>
          <w:sz w:val="24"/>
          <w:szCs w:val="24"/>
        </w:rPr>
        <w:t xml:space="preserve"> значением. Китайский экспорт на фоне сокращения мирового спроса всё чаще сталкивается с жёсткой ценовой конкуренцией со стороны других азиатских стран.</w:t>
      </w:r>
    </w:p>
    <w:p w:rsidR="00635258" w:rsidRPr="0099241B" w:rsidRDefault="00635258" w:rsidP="00FA1021">
      <w:pPr>
        <w:autoSpaceDE w:val="0"/>
        <w:autoSpaceDN w:val="0"/>
        <w:adjustRightInd w:val="0"/>
        <w:ind w:firstLine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отчётном году отмечалось незначительное ускорение темпов развития европейской экономики. Так, ВВП Еврозоны расширился на 1,5%, а </w:t>
      </w:r>
      <w:r>
        <w:rPr>
          <w:sz w:val="24"/>
          <w:szCs w:val="24"/>
          <w:lang w:val="en-US"/>
        </w:rPr>
        <w:t>EU</w:t>
      </w:r>
      <w:r>
        <w:rPr>
          <w:sz w:val="24"/>
          <w:szCs w:val="24"/>
        </w:rPr>
        <w:t xml:space="preserve">-28 – на 1,8%. Несмотря на проведение Европейским центральным банком политики количественного смягчения, промышленность продолжала стагнировать: наиболее существенное снижение объёмов выработки зафиксировано в энергетической отрасли и при </w:t>
      </w:r>
      <w:r w:rsidRPr="00F37EC5">
        <w:rPr>
          <w:sz w:val="24"/>
          <w:szCs w:val="24"/>
        </w:rPr>
        <w:t>выпуске</w:t>
      </w:r>
      <w:r>
        <w:rPr>
          <w:sz w:val="24"/>
          <w:szCs w:val="24"/>
        </w:rPr>
        <w:t xml:space="preserve"> средств производства. Преодолённый кризис суверенного долга ряда стран Европы сменился проблемой нелегальной миграции и содержания беженцев.</w:t>
      </w:r>
    </w:p>
    <w:p w:rsidR="00635258" w:rsidRPr="003F4609" w:rsidRDefault="00635258" w:rsidP="00FA1021">
      <w:pPr>
        <w:autoSpaceDE w:val="0"/>
        <w:autoSpaceDN w:val="0"/>
        <w:adjustRightInd w:val="0"/>
        <w:ind w:firstLine="437"/>
        <w:jc w:val="both"/>
        <w:rPr>
          <w:sz w:val="24"/>
          <w:szCs w:val="24"/>
          <w:highlight w:val="yellow"/>
        </w:rPr>
      </w:pPr>
      <w:r w:rsidRPr="003F4609">
        <w:rPr>
          <w:sz w:val="24"/>
          <w:szCs w:val="24"/>
        </w:rPr>
        <w:t>По предварительным данным Международного статистического комитета стран СНГ, по итогам 201</w:t>
      </w:r>
      <w:r>
        <w:rPr>
          <w:sz w:val="24"/>
          <w:szCs w:val="24"/>
        </w:rPr>
        <w:t>5</w:t>
      </w:r>
      <w:r w:rsidRPr="003F4609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сокращение </w:t>
      </w:r>
      <w:r w:rsidRPr="003F4609">
        <w:rPr>
          <w:sz w:val="24"/>
          <w:szCs w:val="24"/>
        </w:rPr>
        <w:t>ВВП</w:t>
      </w:r>
      <w:r>
        <w:rPr>
          <w:sz w:val="24"/>
          <w:szCs w:val="24"/>
        </w:rPr>
        <w:t xml:space="preserve"> </w:t>
      </w:r>
      <w:r w:rsidRPr="003F4609">
        <w:rPr>
          <w:sz w:val="24"/>
          <w:szCs w:val="24"/>
        </w:rPr>
        <w:t xml:space="preserve">государств Содружества </w:t>
      </w:r>
      <w:r>
        <w:rPr>
          <w:sz w:val="24"/>
          <w:szCs w:val="24"/>
        </w:rPr>
        <w:t>в постоянных ценах составило</w:t>
      </w:r>
      <w:r w:rsidRPr="003F460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3F4609">
        <w:rPr>
          <w:sz w:val="24"/>
          <w:szCs w:val="24"/>
        </w:rPr>
        <w:t xml:space="preserve">,0% </w:t>
      </w:r>
      <w:r>
        <w:rPr>
          <w:sz w:val="24"/>
          <w:szCs w:val="24"/>
        </w:rPr>
        <w:t xml:space="preserve">против незначительного роста в </w:t>
      </w:r>
      <w:r w:rsidRPr="00FB498A">
        <w:rPr>
          <w:sz w:val="24"/>
          <w:szCs w:val="24"/>
        </w:rPr>
        <w:t>2014</w:t>
      </w:r>
      <w:r>
        <w:rPr>
          <w:sz w:val="24"/>
          <w:szCs w:val="24"/>
        </w:rPr>
        <w:t xml:space="preserve"> году</w:t>
      </w:r>
      <w:r w:rsidRPr="00FB498A">
        <w:rPr>
          <w:sz w:val="24"/>
          <w:szCs w:val="24"/>
        </w:rPr>
        <w:t>.</w:t>
      </w:r>
      <w:r>
        <w:rPr>
          <w:sz w:val="24"/>
          <w:szCs w:val="24"/>
        </w:rPr>
        <w:t xml:space="preserve"> По имеющейся информации, спад фиксировался </w:t>
      </w:r>
      <w:r w:rsidRPr="00F7202A">
        <w:rPr>
          <w:sz w:val="24"/>
          <w:szCs w:val="24"/>
        </w:rPr>
        <w:t>в Украине (-9,9%), Белоруссии</w:t>
      </w:r>
      <w:r>
        <w:rPr>
          <w:sz w:val="24"/>
          <w:szCs w:val="24"/>
        </w:rPr>
        <w:t xml:space="preserve"> (-3,9%) и России (-3,7%). Основными причинами падения украинской экономики стали существенная девальвация национальной валюты и последующий за ней ценовой всплеск на внутреннем рынке, наличие замороженного военного конфликта внутри страны и медленное проведение экономических реформ. Ослабление российского рубля и высокая зависимость экономики Российской Федерации от ситуации на сырьевых рынках сказались, в том числе, и на работе предприятий промышленности: производство сократилось на 3,4% впервые за последние шесть лет.</w:t>
      </w:r>
    </w:p>
    <w:p w:rsidR="00635258" w:rsidRPr="00D16210" w:rsidRDefault="00635258" w:rsidP="00FA1021">
      <w:pPr>
        <w:autoSpaceDE w:val="0"/>
        <w:autoSpaceDN w:val="0"/>
        <w:adjustRightInd w:val="0"/>
        <w:ind w:firstLine="437"/>
        <w:jc w:val="both"/>
        <w:rPr>
          <w:color w:val="000000"/>
          <w:sz w:val="24"/>
          <w:szCs w:val="24"/>
        </w:rPr>
      </w:pPr>
      <w:r w:rsidRPr="00D16210">
        <w:rPr>
          <w:color w:val="000000"/>
          <w:sz w:val="24"/>
          <w:szCs w:val="24"/>
        </w:rPr>
        <w:t xml:space="preserve">Цены на мировых товарных рынках в отчётном году продолжали снижаться. Основными факторами сохранения данной динамики стало удешевление энергоносителей, металлов и продовольствия. </w:t>
      </w:r>
    </w:p>
    <w:p w:rsidR="00635258" w:rsidRPr="00CA1B7C" w:rsidRDefault="00635258" w:rsidP="00FA1021">
      <w:pPr>
        <w:autoSpaceDE w:val="0"/>
        <w:autoSpaceDN w:val="0"/>
        <w:adjustRightInd w:val="0"/>
        <w:ind w:firstLine="4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Отчётный период характеризовался сохранением тренда падения цен на нефть. Помимо снятия экспортного эмбарго с Ирана и накопления мировых запасов «чёрного золота», отмена впервые за 40 лет моратория на экспорт нефти из США в другие страны и отказ основных производителей сокращать объёмы добычи неблагоприятно сказывались на конъюнктуре нефтяных рынков. После колебания цен в диапазоне 50-65 долларов за баррель нефти Brent в период с января по май 2015 года, к концу года понижательный ценовой тренд только набирал обороты. </w:t>
      </w:r>
      <w:r w:rsidRPr="0055173E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аксимальное значение было зафиксировано в мае (66,9 долларов за баррель), минимальное – в декабре (36,7 долларов за баррель). </w:t>
      </w:r>
    </w:p>
    <w:p w:rsidR="00635258" w:rsidRDefault="00635258" w:rsidP="00FA1021">
      <w:pPr>
        <w:ind w:firstLine="437"/>
        <w:jc w:val="both"/>
        <w:rPr>
          <w:color w:val="000000"/>
          <w:sz w:val="24"/>
          <w:szCs w:val="24"/>
        </w:rPr>
      </w:pPr>
      <w:r w:rsidRPr="00FA6C81">
        <w:rPr>
          <w:color w:val="000000"/>
          <w:sz w:val="24"/>
          <w:szCs w:val="24"/>
        </w:rPr>
        <w:t>Согласно отчётам Продовольственной и сельс</w:t>
      </w:r>
      <w:r>
        <w:rPr>
          <w:color w:val="000000"/>
          <w:sz w:val="24"/>
          <w:szCs w:val="24"/>
        </w:rPr>
        <w:t xml:space="preserve">кохозяйственной организации ООН </w:t>
      </w:r>
      <w:r w:rsidRPr="00FA6C81">
        <w:rPr>
          <w:color w:val="000000"/>
          <w:sz w:val="24"/>
          <w:szCs w:val="24"/>
        </w:rPr>
        <w:t>(ФАО), по итогам 201</w:t>
      </w:r>
      <w:r>
        <w:rPr>
          <w:color w:val="000000"/>
          <w:sz w:val="24"/>
          <w:szCs w:val="24"/>
        </w:rPr>
        <w:t>5</w:t>
      </w:r>
      <w:r w:rsidRPr="00FA6C81">
        <w:rPr>
          <w:color w:val="000000"/>
          <w:sz w:val="24"/>
          <w:szCs w:val="24"/>
        </w:rPr>
        <w:t xml:space="preserve"> года совокупный индекс цен на </w:t>
      </w:r>
      <w:r w:rsidRPr="00EA212C">
        <w:rPr>
          <w:color w:val="000000"/>
          <w:sz w:val="24"/>
          <w:szCs w:val="24"/>
        </w:rPr>
        <w:t xml:space="preserve">продовольствие ФАО составил </w:t>
      </w:r>
      <w:r w:rsidRPr="00EA212C">
        <w:rPr>
          <w:color w:val="000000"/>
          <w:sz w:val="24"/>
          <w:szCs w:val="24"/>
        </w:rPr>
        <w:br/>
        <w:t xml:space="preserve">164,1 пункта, </w:t>
      </w:r>
      <w:r>
        <w:rPr>
          <w:color w:val="000000"/>
          <w:sz w:val="24"/>
          <w:szCs w:val="24"/>
        </w:rPr>
        <w:t>сократившись</w:t>
      </w:r>
      <w:r w:rsidRPr="00EA212C">
        <w:rPr>
          <w:color w:val="000000"/>
          <w:sz w:val="24"/>
          <w:szCs w:val="24"/>
        </w:rPr>
        <w:t xml:space="preserve"> по сравнению с отметкой 2014 года на 18,7%</w:t>
      </w:r>
      <w:r>
        <w:rPr>
          <w:color w:val="000000"/>
          <w:sz w:val="24"/>
          <w:szCs w:val="24"/>
        </w:rPr>
        <w:t xml:space="preserve"> и достигнув минимального значения с 2009 года. Таким образом, понижательная динамика индекса сохраняется четвёртый год подряд. Снижение в отчётном периоде фиксировалось </w:t>
      </w:r>
      <w:r w:rsidRPr="00862392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всем основным структурным составляющим. Так, индекс на молочную продукцию упал на </w:t>
      </w:r>
      <w:r>
        <w:rPr>
          <w:color w:val="000000"/>
          <w:sz w:val="24"/>
          <w:szCs w:val="24"/>
        </w:rPr>
        <w:br/>
        <w:t xml:space="preserve">63,8 пункта, на сахар – на 50,5 пункта, на масла – на 34,1 пункта, мясо и зерновые – порядка на 29 пунктов. Подобное ослабление цен на продовольствие объяснялось наличием значительных запасов и слабым спросом на мировых рынках. </w:t>
      </w:r>
    </w:p>
    <w:p w:rsidR="00635258" w:rsidRPr="000B3BC6" w:rsidRDefault="00635258" w:rsidP="00FA1021">
      <w:pPr>
        <w:ind w:firstLine="437"/>
        <w:jc w:val="both"/>
        <w:rPr>
          <w:sz w:val="24"/>
          <w:szCs w:val="24"/>
        </w:rPr>
      </w:pPr>
    </w:p>
    <w:p w:rsidR="00635258" w:rsidRDefault="00635258" w:rsidP="00FA1021">
      <w:pPr>
        <w:numPr>
          <w:ilvl w:val="1"/>
          <w:numId w:val="2"/>
        </w:numPr>
        <w:jc w:val="both"/>
        <w:rPr>
          <w:b/>
          <w:bCs/>
          <w:noProof/>
          <w:sz w:val="24"/>
          <w:szCs w:val="24"/>
        </w:rPr>
      </w:pPr>
      <w:r w:rsidRPr="00FD21E2">
        <w:rPr>
          <w:b/>
          <w:bCs/>
          <w:noProof/>
          <w:sz w:val="24"/>
          <w:szCs w:val="24"/>
        </w:rPr>
        <w:t>ЭКОНОМИЧЕСКОЕ ПОЛОЖЕНИЕ ПРИДНЕСТРОВЬЯ</w:t>
      </w:r>
    </w:p>
    <w:p w:rsidR="00635258" w:rsidRDefault="00635258" w:rsidP="00FA1021">
      <w:pPr>
        <w:spacing w:before="120" w:after="120"/>
        <w:ind w:left="425"/>
        <w:jc w:val="both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Реальный сектор</w:t>
      </w:r>
    </w:p>
    <w:p w:rsidR="00635258" w:rsidRPr="009434F9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 w:rsidRPr="00192F1D">
        <w:rPr>
          <w:sz w:val="24"/>
          <w:szCs w:val="24"/>
        </w:rPr>
        <w:t>Согласно данным Государственной службы статистики М</w:t>
      </w:r>
      <w:r>
        <w:rPr>
          <w:sz w:val="24"/>
          <w:szCs w:val="24"/>
        </w:rPr>
        <w:t xml:space="preserve">инистерства экономического развития ПМР, валовой выпуск предприятий индустриального комплекса в 2015 году составил 8 517,0 млн руб., что в сопоставимой оценке на 7,7% ниже значения базисного периода (табл. 1.1). По полному кругу предприятий с учётом субъектов малого предпринимательства объём промышленного производства сложился на уровне </w:t>
      </w:r>
      <w:r>
        <w:rPr>
          <w:sz w:val="24"/>
          <w:szCs w:val="24"/>
        </w:rPr>
        <w:br/>
        <w:t>9 067,5 млн руб. (-15,7%). Индекс физического объёма важнейших видов продукции составил 91,7% к отметке 2014 года.</w:t>
      </w:r>
    </w:p>
    <w:p w:rsidR="00635258" w:rsidRPr="007421DD" w:rsidRDefault="00635258" w:rsidP="00FA1021">
      <w:pPr>
        <w:pStyle w:val="Heading2"/>
        <w:widowControl w:val="0"/>
        <w:spacing w:before="60"/>
        <w:ind w:firstLine="42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21DD">
        <w:rPr>
          <w:rFonts w:ascii="Times New Roman" w:hAnsi="Times New Roman" w:cs="Times New Roman"/>
          <w:i/>
          <w:iCs/>
          <w:sz w:val="24"/>
          <w:szCs w:val="24"/>
        </w:rPr>
        <w:t>Таблица 1.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635258" w:rsidRPr="007421DD" w:rsidRDefault="00635258" w:rsidP="00FA1021">
      <w:pPr>
        <w:widowControl w:val="0"/>
        <w:spacing w:after="120"/>
        <w:jc w:val="center"/>
        <w:rPr>
          <w:b/>
          <w:bCs/>
          <w:i/>
          <w:iCs/>
          <w:sz w:val="24"/>
          <w:szCs w:val="24"/>
        </w:rPr>
      </w:pPr>
      <w:r w:rsidRPr="007421DD">
        <w:rPr>
          <w:b/>
          <w:bCs/>
          <w:i/>
          <w:iCs/>
          <w:sz w:val="24"/>
          <w:szCs w:val="24"/>
        </w:rPr>
        <w:t>Динамика объёмов производства по отраслям промышленности в 201</w:t>
      </w:r>
      <w:r>
        <w:rPr>
          <w:b/>
          <w:bCs/>
          <w:i/>
          <w:iCs/>
          <w:sz w:val="24"/>
          <w:szCs w:val="24"/>
        </w:rPr>
        <w:t>5</w:t>
      </w:r>
      <w:r w:rsidRPr="007421DD">
        <w:rPr>
          <w:b/>
          <w:bCs/>
          <w:i/>
          <w:iCs/>
          <w:sz w:val="24"/>
          <w:szCs w:val="24"/>
        </w:rPr>
        <w:t xml:space="preserve"> году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1748"/>
        <w:gridCol w:w="1443"/>
        <w:gridCol w:w="1776"/>
      </w:tblGrid>
      <w:tr w:rsidR="00635258" w:rsidRPr="007421DD">
        <w:trPr>
          <w:cantSplit/>
          <w:trHeight w:val="448"/>
        </w:trPr>
        <w:tc>
          <w:tcPr>
            <w:tcW w:w="4678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7421DD" w:rsidRDefault="00635258" w:rsidP="006D0B03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7421DD" w:rsidRDefault="00635258" w:rsidP="006D0B03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объём производства,</w:t>
            </w:r>
          </w:p>
          <w:p w:rsidR="00635258" w:rsidRPr="007421DD" w:rsidRDefault="00635258" w:rsidP="006D0B03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млн руб.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7421DD" w:rsidRDefault="00635258" w:rsidP="006D0B03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удельный</w:t>
            </w:r>
          </w:p>
          <w:p w:rsidR="00635258" w:rsidRPr="007421DD" w:rsidRDefault="00635258" w:rsidP="006D0B03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вес, %</w:t>
            </w:r>
          </w:p>
        </w:tc>
        <w:tc>
          <w:tcPr>
            <w:tcW w:w="1776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7421DD" w:rsidRDefault="00635258" w:rsidP="006D0B0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темп роста</w:t>
            </w:r>
            <w:r w:rsidRPr="007421DD">
              <w:rPr>
                <w:snapToGrid w:val="0"/>
                <w:sz w:val="22"/>
                <w:szCs w:val="22"/>
              </w:rPr>
              <w:br/>
              <w:t>(в сопоставимых ценах), %</w:t>
            </w:r>
          </w:p>
        </w:tc>
      </w:tr>
      <w:tr w:rsidR="00635258" w:rsidRPr="007421DD">
        <w:trPr>
          <w:trHeight w:val="240"/>
        </w:trPr>
        <w:tc>
          <w:tcPr>
            <w:tcW w:w="4678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Pr="007421DD" w:rsidRDefault="00635258" w:rsidP="006D0B03">
            <w:pPr>
              <w:widowControl w:val="0"/>
              <w:ind w:firstLine="142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Промышленность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8 517,0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 w:rsidRPr="007421DD">
              <w:rPr>
                <w:sz w:val="22"/>
                <w:szCs w:val="22"/>
              </w:rPr>
              <w:t>100,0</w:t>
            </w:r>
          </w:p>
        </w:tc>
        <w:tc>
          <w:tcPr>
            <w:tcW w:w="1776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</w:tr>
      <w:tr w:rsidR="00635258" w:rsidRPr="007421DD">
        <w:trPr>
          <w:trHeight w:val="270"/>
        </w:trPr>
        <w:tc>
          <w:tcPr>
            <w:tcW w:w="4678" w:type="dxa"/>
            <w:tcBorders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92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в том числе:</w:t>
            </w:r>
          </w:p>
        </w:tc>
        <w:tc>
          <w:tcPr>
            <w:tcW w:w="1748" w:type="dxa"/>
            <w:tcBorders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</w:p>
        </w:tc>
      </w:tr>
      <w:tr w:rsidR="00635258" w:rsidRPr="007421DD">
        <w:trPr>
          <w:trHeight w:val="270"/>
        </w:trPr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84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электроэнергетика</w:t>
            </w:r>
          </w:p>
        </w:tc>
        <w:tc>
          <w:tcPr>
            <w:tcW w:w="174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4 250,9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115,7</w:t>
            </w:r>
          </w:p>
        </w:tc>
      </w:tr>
      <w:tr w:rsidR="00635258" w:rsidRPr="007421DD">
        <w:trPr>
          <w:trHeight w:val="270"/>
        </w:trPr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84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чёрная металлургия</w:t>
            </w:r>
          </w:p>
        </w:tc>
        <w:tc>
          <w:tcPr>
            <w:tcW w:w="174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1 279,9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</w:tr>
      <w:tr w:rsidR="00635258" w:rsidRPr="007421DD">
        <w:trPr>
          <w:trHeight w:val="270"/>
        </w:trPr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84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химическая промышленность</w:t>
            </w:r>
          </w:p>
        </w:tc>
        <w:tc>
          <w:tcPr>
            <w:tcW w:w="174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</w:tr>
      <w:tr w:rsidR="00635258" w:rsidRPr="007421DD">
        <w:trPr>
          <w:trHeight w:val="270"/>
        </w:trPr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84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машиностроение и металлообработка</w:t>
            </w:r>
          </w:p>
        </w:tc>
        <w:tc>
          <w:tcPr>
            <w:tcW w:w="174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</w:tr>
      <w:tr w:rsidR="00635258" w:rsidRPr="007421DD">
        <w:trPr>
          <w:trHeight w:val="270"/>
        </w:trPr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396" w:hanging="90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электротехническая промышленность</w:t>
            </w:r>
          </w:p>
        </w:tc>
        <w:tc>
          <w:tcPr>
            <w:tcW w:w="174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131,1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</w:tr>
      <w:tr w:rsidR="00635258" w:rsidRPr="007421DD">
        <w:trPr>
          <w:trHeight w:val="434"/>
        </w:trPr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84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деревообрабатывающая и мебельная промышленность</w:t>
            </w:r>
          </w:p>
        </w:tc>
        <w:tc>
          <w:tcPr>
            <w:tcW w:w="174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</w:tr>
      <w:tr w:rsidR="00635258" w:rsidRPr="007421DD">
        <w:trPr>
          <w:trHeight w:val="111"/>
        </w:trPr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84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промышленность строительных материалов</w:t>
            </w:r>
          </w:p>
        </w:tc>
        <w:tc>
          <w:tcPr>
            <w:tcW w:w="174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352,9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</w:t>
            </w:r>
          </w:p>
        </w:tc>
      </w:tr>
      <w:tr w:rsidR="00635258" w:rsidRPr="007421DD">
        <w:trPr>
          <w:trHeight w:val="240"/>
        </w:trPr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84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лёгкая промышленность</w:t>
            </w:r>
          </w:p>
        </w:tc>
        <w:tc>
          <w:tcPr>
            <w:tcW w:w="174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1 034,3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85,5</w:t>
            </w:r>
          </w:p>
        </w:tc>
      </w:tr>
      <w:tr w:rsidR="00635258" w:rsidRPr="007421DD">
        <w:trPr>
          <w:trHeight w:val="240"/>
        </w:trPr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84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пищевая промышленность</w:t>
            </w:r>
          </w:p>
        </w:tc>
        <w:tc>
          <w:tcPr>
            <w:tcW w:w="174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980,2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</w:tr>
      <w:tr w:rsidR="00635258" w:rsidRPr="007421DD">
        <w:trPr>
          <w:trHeight w:val="71"/>
        </w:trPr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84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мукомольно-крупяная и комбикормовая промышленность</w:t>
            </w:r>
          </w:p>
        </w:tc>
        <w:tc>
          <w:tcPr>
            <w:tcW w:w="1748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  <w:tc>
          <w:tcPr>
            <w:tcW w:w="1443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776" w:type="dxa"/>
            <w:tcBorders>
              <w:top w:val="nil"/>
              <w:bottom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635258" w:rsidRPr="007421DD">
        <w:trPr>
          <w:trHeight w:val="141"/>
        </w:trPr>
        <w:tc>
          <w:tcPr>
            <w:tcW w:w="4678" w:type="dxa"/>
            <w:tcBorders>
              <w:top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left="284"/>
              <w:rPr>
                <w:snapToGrid w:val="0"/>
                <w:sz w:val="22"/>
                <w:szCs w:val="22"/>
              </w:rPr>
            </w:pPr>
            <w:r w:rsidRPr="007421DD">
              <w:rPr>
                <w:snapToGrid w:val="0"/>
                <w:sz w:val="22"/>
                <w:szCs w:val="22"/>
              </w:rPr>
              <w:t>полиграфическая промышленность</w:t>
            </w:r>
          </w:p>
        </w:tc>
        <w:tc>
          <w:tcPr>
            <w:tcW w:w="1748" w:type="dxa"/>
            <w:tcBorders>
              <w:top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1443" w:type="dxa"/>
            <w:tcBorders>
              <w:top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3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776" w:type="dxa"/>
            <w:tcBorders>
              <w:top w:val="nil"/>
            </w:tcBorders>
            <w:vAlign w:val="bottom"/>
          </w:tcPr>
          <w:p w:rsidR="00635258" w:rsidRPr="007421DD" w:rsidRDefault="00635258" w:rsidP="006D0B03">
            <w:pPr>
              <w:widowControl w:val="0"/>
              <w:ind w:right="49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278,9</w:t>
            </w:r>
          </w:p>
        </w:tc>
      </w:tr>
    </w:tbl>
    <w:p w:rsidR="00635258" w:rsidRPr="009434F9" w:rsidRDefault="00635258" w:rsidP="00FA1021">
      <w:pPr>
        <w:spacing w:before="120"/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Ухудшение экономических условий функционирования хозяйствующих субъектов обусловило сокращение количества предприятий, нарастивших объём производства в отчётном периоде, до 30 (33,3% от общего числа) против 44 годом ранее (41,9%). Спад был допущен на 59 предприятиях (62,1%) против 50 в 2014 году.</w:t>
      </w:r>
    </w:p>
    <w:p w:rsidR="00635258" w:rsidRPr="004E36E3" w:rsidRDefault="00635258" w:rsidP="00FA102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Поквартальная динамика результатов работы индустриального комплекса сохраняла положительный внутригодовой вектор в течение первых трёх кварталов. Максимальный объём выпуска был достигнут в </w:t>
      </w:r>
      <w:r w:rsidRPr="004E36E3">
        <w:rPr>
          <w:sz w:val="24"/>
          <w:szCs w:val="24"/>
        </w:rPr>
        <w:t>III</w:t>
      </w:r>
      <w:r>
        <w:rPr>
          <w:sz w:val="24"/>
          <w:szCs w:val="24"/>
        </w:rPr>
        <w:t>-м</w:t>
      </w:r>
      <w:r w:rsidRPr="004E36E3">
        <w:rPr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– 2 230,1 млн руб., что на 10,1% превысило значение </w:t>
      </w:r>
      <w:r w:rsidRPr="004E36E3">
        <w:rPr>
          <w:sz w:val="24"/>
          <w:szCs w:val="24"/>
        </w:rPr>
        <w:t>I</w:t>
      </w:r>
      <w:r>
        <w:rPr>
          <w:sz w:val="24"/>
          <w:szCs w:val="24"/>
        </w:rPr>
        <w:t xml:space="preserve">-го и на 4,5% – </w:t>
      </w:r>
      <w:r w:rsidRPr="004E36E3">
        <w:rPr>
          <w:sz w:val="24"/>
          <w:szCs w:val="24"/>
        </w:rPr>
        <w:t>II</w:t>
      </w:r>
      <w:r>
        <w:rPr>
          <w:sz w:val="24"/>
          <w:szCs w:val="24"/>
        </w:rPr>
        <w:t>-го кварталов. Однако в октябре-декабре 2015 года под воздействием негативной ситуации на традиционных рынках сбыта ряда ключевых экспортных товаров тренд показателя изменился и отразил снижение объёмов производства на 4,6% к уровню июля-сентября до 2 127,6 млн руб.</w:t>
      </w:r>
    </w:p>
    <w:p w:rsidR="00635258" w:rsidRDefault="00635258" w:rsidP="00FA102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Увеличение объёма отпускаемой за пределы республики электроэнергии позволило отрасли укрепить лидирующие позиции в структуре промышленного производства на </w:t>
      </w:r>
      <w:r>
        <w:rPr>
          <w:sz w:val="24"/>
          <w:szCs w:val="24"/>
        </w:rPr>
        <w:br/>
        <w:t>13,6 п.п. до 49,9%. На лёгкую и пищевую промышленности в сумме пришлось практически четверть промышленного выпуска (12,1% и 11,5% соответственно).</w:t>
      </w:r>
      <w:r w:rsidRPr="00A21967">
        <w:rPr>
          <w:sz w:val="24"/>
          <w:szCs w:val="24"/>
        </w:rPr>
        <w:t xml:space="preserve"> </w:t>
      </w:r>
    </w:p>
    <w:p w:rsidR="00635258" w:rsidRDefault="00635258" w:rsidP="00FA102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металлургии</w:t>
      </w:r>
      <w:r w:rsidRPr="00A729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ценовые колебания, несмотря на увеличение выпуска отдельных видов продукции в натуральном выражении, обусловили снижение доли отрасли в совокупном показателе до 15,0% (24,5% годом ранее). </w:t>
      </w:r>
      <w:r w:rsidRPr="007C10A8">
        <w:rPr>
          <w:sz w:val="24"/>
          <w:szCs w:val="24"/>
        </w:rPr>
        <w:t>Следует отметить, что ситуация на рынках металлов продолжала оставаться крайне нестабильной. Мировая металлургическая отрасль была загружена всего на 66%, отдельные предприятия были полностью остановлены. Однако даже в этих условиях ОАО «Молдавский металлургический завод» расширял рынки сбыта, реализовывал собственные и принимал участие в государственных социальных программах. Сохранение на плаву флагмана приднестровской индустрии, в том числе благодаря кредитной поддержке банковской системы, играло важную социальную функцию, а также позволяло поддерживать работу целого ряда крупных и мелких предприятий, чей финансовый результат зависит от деятельности завода. В их числе можно отметить и ЗАО «Молдавская ГРЭС», которая поставляет на ОАО «ММЗ» 45% производимой для внутреннего рынка электроэнергии.</w:t>
      </w:r>
    </w:p>
    <w:p w:rsidR="00635258" w:rsidRPr="00827CDD" w:rsidRDefault="00635258" w:rsidP="00FA1021">
      <w:pPr>
        <w:ind w:firstLine="425"/>
        <w:jc w:val="both"/>
        <w:rPr>
          <w:sz w:val="24"/>
          <w:szCs w:val="24"/>
        </w:rPr>
      </w:pPr>
      <w:r w:rsidRPr="00827CDD">
        <w:rPr>
          <w:sz w:val="24"/>
          <w:szCs w:val="24"/>
        </w:rPr>
        <w:t xml:space="preserve">В силу неблагоприятных </w:t>
      </w:r>
      <w:r>
        <w:rPr>
          <w:sz w:val="24"/>
          <w:szCs w:val="24"/>
        </w:rPr>
        <w:t>погодных условий в вегетационный период в отчётном году по сравнению с аналогичными показателями 2014 года было зафиксировано сокращение валового сбора по укрупнённым позициям растениеводства, таким как зерно и зернобобовые, а также технические культуры, в пределах 10-15%. В основном это произошло вследствие падения сбора рапса (-57,1%), кукурузы (-33,9%), озимого и ярового ячменя (-16,3%) на фоне устойчивой динамики роста пшеницы (+1,3% до 263,4 тыс. тонн).</w:t>
      </w:r>
    </w:p>
    <w:p w:rsidR="00635258" w:rsidRPr="00832223" w:rsidRDefault="00635258" w:rsidP="00FA1021">
      <w:pPr>
        <w:ind w:firstLine="425"/>
        <w:jc w:val="both"/>
        <w:rPr>
          <w:b/>
          <w:bCs/>
          <w:sz w:val="24"/>
          <w:szCs w:val="24"/>
        </w:rPr>
      </w:pPr>
      <w:r w:rsidRPr="00832223">
        <w:rPr>
          <w:sz w:val="24"/>
          <w:szCs w:val="24"/>
        </w:rPr>
        <w:t>По группе «картофель, овощи и бахчевые»</w:t>
      </w:r>
      <w:r>
        <w:rPr>
          <w:sz w:val="24"/>
          <w:szCs w:val="24"/>
        </w:rPr>
        <w:t xml:space="preserve"> сбор культур составил 77,0 тыс. тонн (-7,0% к базисному показателю). Отставание от параметров 2014 года зафиксировано по картофелю </w:t>
      </w:r>
      <w:r>
        <w:rPr>
          <w:sz w:val="24"/>
          <w:szCs w:val="24"/>
        </w:rPr>
        <w:br/>
        <w:t>(-28,2%), овощам открытого грунта (-12,9%) и винограду (-6,5%).</w:t>
      </w:r>
      <w:r w:rsidRPr="00F15754">
        <w:rPr>
          <w:sz w:val="24"/>
          <w:szCs w:val="24"/>
        </w:rPr>
        <w:t xml:space="preserve"> </w:t>
      </w:r>
      <w:r>
        <w:rPr>
          <w:sz w:val="24"/>
          <w:szCs w:val="24"/>
        </w:rPr>
        <w:t>В то же время больше, чем год назад, было собрано плодов (+15,1% до 14,5 тыс. тонн).</w:t>
      </w:r>
    </w:p>
    <w:p w:rsidR="00635258" w:rsidRPr="00C13246" w:rsidRDefault="00635258" w:rsidP="00FA102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животноводстве результаты деятельности сельскохозяйственных организаций отразили рост реализации скота и птицы на убой (в живом весе) до 4,6 тыс. тонн (+30,5%), из которых 36,7% (+2,7 п.п.) пришлось на реализацию свиней и 47,3% (+0,8 п.п.) – птицы. Производство молока за год снизилось на 2,5%, куриных яиц – на 17,5%. </w:t>
      </w:r>
    </w:p>
    <w:p w:rsidR="00635258" w:rsidRPr="008D34E5" w:rsidRDefault="00635258" w:rsidP="00FA1021">
      <w:pPr>
        <w:ind w:firstLine="425"/>
        <w:jc w:val="both"/>
        <w:rPr>
          <w:sz w:val="24"/>
          <w:szCs w:val="24"/>
        </w:rPr>
      </w:pPr>
      <w:r w:rsidRPr="007A15EE">
        <w:rPr>
          <w:sz w:val="24"/>
          <w:szCs w:val="24"/>
        </w:rPr>
        <w:t xml:space="preserve">Сокращение инвестиционной активности </w:t>
      </w:r>
      <w:r>
        <w:rPr>
          <w:sz w:val="24"/>
          <w:szCs w:val="24"/>
        </w:rPr>
        <w:t>коррелировало с основными макроэкономическими тенденциями. По итогам 2015 года объём инвестиций в основной капитал (</w:t>
      </w:r>
      <w:r w:rsidRPr="007A15EE">
        <w:rPr>
          <w:sz w:val="24"/>
          <w:szCs w:val="24"/>
        </w:rPr>
        <w:t>с учётом субъектов малого предпринимательства и индивидуальных застройщиков</w:t>
      </w:r>
      <w:r>
        <w:rPr>
          <w:sz w:val="24"/>
          <w:szCs w:val="24"/>
        </w:rPr>
        <w:t xml:space="preserve">) составил 1 660,5 млн руб., что в текущих ценах на 21,3% меньше базисного показателя. При этом по крупным предприятиям и организациям вложения в приобретение новых машин, оборудования снизились на 26,1% до 693,8 млн руб., в строительно-монтажные работы – на 0,7% до 581,9 млн руб. </w:t>
      </w:r>
    </w:p>
    <w:p w:rsidR="00635258" w:rsidRDefault="00635258" w:rsidP="00FA1021">
      <w:pPr>
        <w:widowControl w:val="0"/>
        <w:ind w:firstLine="357"/>
        <w:jc w:val="both"/>
        <w:rPr>
          <w:sz w:val="24"/>
          <w:szCs w:val="24"/>
          <w:highlight w:val="yellow"/>
        </w:rPr>
      </w:pPr>
      <w:r w:rsidRPr="00663ADE">
        <w:rPr>
          <w:sz w:val="24"/>
          <w:szCs w:val="24"/>
        </w:rPr>
        <w:t xml:space="preserve">Финансирование </w:t>
      </w:r>
      <w:r>
        <w:rPr>
          <w:sz w:val="24"/>
          <w:szCs w:val="24"/>
        </w:rPr>
        <w:t>инвестиций</w:t>
      </w:r>
      <w:r w:rsidRPr="00663ADE">
        <w:rPr>
          <w:sz w:val="24"/>
          <w:szCs w:val="24"/>
        </w:rPr>
        <w:t xml:space="preserve"> за счёт собственных средств организаций </w:t>
      </w:r>
      <w:r>
        <w:rPr>
          <w:sz w:val="24"/>
          <w:szCs w:val="24"/>
        </w:rPr>
        <w:t>продолжает сохранять лидирующие позиции в структуре итогового показателя (84,5%). Роль бюджетных источников составила 3,9% (+0,3 п.п.). В разрезе форм собственности на долю государственных и муниципальных предприятий в отчётном периоде пришлось 42,3% совокупных капитальных вложений, что на 13,6 п.п. больше уровня 2014 года.</w:t>
      </w:r>
    </w:p>
    <w:p w:rsidR="00635258" w:rsidRPr="005A0C4F" w:rsidRDefault="00635258" w:rsidP="00FA1021">
      <w:pPr>
        <w:ind w:firstLine="42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Наибольший объём капитальных вложений, несмотря на сокращение в абсолютном выражении на 26,4% до 493,6 млн руб., был освоен промышленными предприятиями (36,5% совокупного показателя). В</w:t>
      </w:r>
      <w:r w:rsidRPr="00BF2A0D">
        <w:rPr>
          <w:sz w:val="24"/>
          <w:szCs w:val="24"/>
        </w:rPr>
        <w:t xml:space="preserve"> сельскохозяйственном секторе</w:t>
      </w:r>
      <w:r>
        <w:rPr>
          <w:sz w:val="24"/>
          <w:szCs w:val="24"/>
        </w:rPr>
        <w:t xml:space="preserve"> инвестиции в основной капитал составили 137,1 млн руб. (-27,7%), в торговле и общественном питании – 122,9 млн руб. </w:t>
      </w:r>
      <w:r>
        <w:rPr>
          <w:sz w:val="24"/>
          <w:szCs w:val="24"/>
        </w:rPr>
        <w:br/>
        <w:t xml:space="preserve">(-15,4%). </w:t>
      </w:r>
      <w:r w:rsidRPr="005A0C4F">
        <w:rPr>
          <w:sz w:val="24"/>
          <w:szCs w:val="24"/>
        </w:rPr>
        <w:t xml:space="preserve">После </w:t>
      </w:r>
      <w:r>
        <w:rPr>
          <w:sz w:val="24"/>
          <w:szCs w:val="24"/>
        </w:rPr>
        <w:t xml:space="preserve">более чем двукратного роста объёма инвестиций в сфере транспорта в </w:t>
      </w:r>
      <w:r>
        <w:rPr>
          <w:sz w:val="24"/>
          <w:szCs w:val="24"/>
        </w:rPr>
        <w:br/>
        <w:t>2014 году, в отчётном периоде транспортные организации освоили лишь 60,4 млн руб., что составило 32,8% от базисного уровня.</w:t>
      </w:r>
    </w:p>
    <w:p w:rsidR="00635258" w:rsidRPr="0009481C" w:rsidRDefault="00635258" w:rsidP="00FA1021">
      <w:pPr>
        <w:pStyle w:val="Heading2"/>
        <w:widowControl w:val="0"/>
        <w:spacing w:after="0"/>
        <w:ind w:firstLine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 шести</w:t>
      </w:r>
      <w:r w:rsidRPr="000948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кратное увеличение финансирования капитальных вложений в области образования (до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98</w:t>
      </w:r>
      <w:r w:rsidRPr="0009481C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948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млн руб.) обеспечил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0948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прирост в структуре итогового показателя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</w:t>
      </w:r>
      <w:r w:rsidRPr="0009481C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0948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п.п. до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09481C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09481C">
        <w:rPr>
          <w:rFonts w:ascii="Times New Roman" w:hAnsi="Times New Roman" w:cs="Times New Roman"/>
          <w:b w:val="0"/>
          <w:bCs w:val="0"/>
          <w:sz w:val="24"/>
          <w:szCs w:val="24"/>
        </w:rPr>
        <w:t>%.</w:t>
      </w:r>
    </w:p>
    <w:p w:rsidR="00635258" w:rsidRDefault="00635258" w:rsidP="00FA1021">
      <w:pPr>
        <w:widowControl w:val="0"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</w:p>
    <w:p w:rsidR="00635258" w:rsidRPr="00E15946" w:rsidRDefault="00635258" w:rsidP="00FA1021">
      <w:pPr>
        <w:widowControl w:val="0"/>
        <w:autoSpaceDE w:val="0"/>
        <w:autoSpaceDN w:val="0"/>
        <w:adjustRightInd w:val="0"/>
        <w:spacing w:after="120"/>
        <w:ind w:firstLine="425"/>
        <w:jc w:val="both"/>
        <w:rPr>
          <w:i/>
          <w:iCs/>
          <w:sz w:val="24"/>
          <w:szCs w:val="24"/>
        </w:rPr>
      </w:pPr>
      <w:r w:rsidRPr="00E15946">
        <w:rPr>
          <w:i/>
          <w:iCs/>
          <w:sz w:val="24"/>
          <w:szCs w:val="24"/>
        </w:rPr>
        <w:t>Динамика цен</w:t>
      </w:r>
    </w:p>
    <w:p w:rsidR="00635258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 w:rsidRPr="001E1CB9">
        <w:rPr>
          <w:sz w:val="24"/>
          <w:szCs w:val="24"/>
        </w:rPr>
        <w:t>По данным Государственной службы статистики МЭР ПМР, в 2015 году сводный индекс потребительских цен продолжил обновлять исторические минимумы: на внутреннем рынке республики впервые за весь период наблюдений была зафиксирована дефляция на уровне 1,8%</w:t>
      </w:r>
      <w:r>
        <w:rPr>
          <w:rFonts w:ascii="Sylfaen" w:hAnsi="Sylfaen" w:cs="Sylfaen"/>
          <w:sz w:val="22"/>
          <w:szCs w:val="22"/>
        </w:rPr>
        <w:t xml:space="preserve"> </w:t>
      </w:r>
      <w:r w:rsidRPr="00624DF5">
        <w:rPr>
          <w:sz w:val="24"/>
          <w:szCs w:val="24"/>
        </w:rPr>
        <w:t xml:space="preserve">(табл. </w:t>
      </w:r>
      <w:r>
        <w:rPr>
          <w:sz w:val="24"/>
          <w:szCs w:val="24"/>
        </w:rPr>
        <w:t>1.2</w:t>
      </w:r>
      <w:r w:rsidRPr="00624DF5">
        <w:rPr>
          <w:sz w:val="24"/>
          <w:szCs w:val="24"/>
        </w:rPr>
        <w:t>).</w:t>
      </w:r>
    </w:p>
    <w:p w:rsidR="00635258" w:rsidRPr="00F24904" w:rsidRDefault="00635258" w:rsidP="00FA1021">
      <w:pPr>
        <w:pStyle w:val="NormalWeb"/>
        <w:widowControl w:val="0"/>
        <w:spacing w:before="0" w:beforeAutospacing="0" w:after="0" w:afterAutospacing="0"/>
        <w:ind w:firstLine="425"/>
        <w:jc w:val="both"/>
      </w:pPr>
      <w:r w:rsidRPr="00F24904">
        <w:t xml:space="preserve">Основным фактором снижения общего уровня цен стал коррелирующий с общемировыми тенденциями отрицательный вектор стоимости продуктов питания, которые за год подешевели на 4,6%. В результате вклад в совокупный показатель со стороны продовольственной корзины составил -1,89 п.п., в то время как ранее изменение цен в данном секторе чаще создавало проинфляционные импульсы. </w:t>
      </w:r>
    </w:p>
    <w:p w:rsidR="00635258" w:rsidRDefault="00635258" w:rsidP="00FA1021">
      <w:pPr>
        <w:widowControl w:val="0"/>
        <w:spacing w:before="120" w:after="120"/>
        <w:ind w:firstLine="425"/>
        <w:jc w:val="right"/>
        <w:rPr>
          <w:b/>
          <w:bCs/>
          <w:i/>
          <w:iCs/>
          <w:sz w:val="24"/>
          <w:szCs w:val="24"/>
        </w:rPr>
      </w:pPr>
    </w:p>
    <w:p w:rsidR="00635258" w:rsidRPr="00672AEF" w:rsidRDefault="00635258" w:rsidP="00FA1021">
      <w:pPr>
        <w:widowControl w:val="0"/>
        <w:spacing w:before="120" w:after="120"/>
        <w:ind w:firstLine="425"/>
        <w:jc w:val="right"/>
        <w:rPr>
          <w:b/>
          <w:bCs/>
          <w:i/>
          <w:iCs/>
          <w:sz w:val="24"/>
          <w:szCs w:val="24"/>
        </w:rPr>
      </w:pPr>
      <w:r w:rsidRPr="00672AEF">
        <w:rPr>
          <w:b/>
          <w:bCs/>
          <w:i/>
          <w:iCs/>
          <w:sz w:val="24"/>
          <w:szCs w:val="24"/>
        </w:rPr>
        <w:t>Таблица 1.</w:t>
      </w:r>
      <w:r>
        <w:rPr>
          <w:b/>
          <w:bCs/>
          <w:i/>
          <w:iCs/>
          <w:sz w:val="24"/>
          <w:szCs w:val="24"/>
        </w:rPr>
        <w:t>2</w:t>
      </w:r>
    </w:p>
    <w:p w:rsidR="00635258" w:rsidRPr="00672AEF" w:rsidRDefault="00635258" w:rsidP="00FA1021">
      <w:pPr>
        <w:widowControl w:val="0"/>
        <w:spacing w:after="120"/>
        <w:jc w:val="center"/>
        <w:rPr>
          <w:b/>
          <w:bCs/>
          <w:i/>
          <w:iCs/>
          <w:sz w:val="24"/>
          <w:szCs w:val="24"/>
        </w:rPr>
      </w:pPr>
      <w:r w:rsidRPr="00672AEF">
        <w:rPr>
          <w:b/>
          <w:bCs/>
          <w:i/>
          <w:iCs/>
          <w:sz w:val="24"/>
          <w:szCs w:val="24"/>
        </w:rPr>
        <w:t>Темпы роста потребительских цен, %</w:t>
      </w:r>
      <w:r w:rsidRPr="00672AEF">
        <w:rPr>
          <w:rStyle w:val="FootnoteReference"/>
          <w:b/>
          <w:bCs/>
          <w:i/>
          <w:iCs/>
          <w:sz w:val="24"/>
          <w:szCs w:val="24"/>
        </w:rPr>
        <w:footnoteReference w:id="2"/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4"/>
        <w:gridCol w:w="1221"/>
        <w:gridCol w:w="1221"/>
        <w:gridCol w:w="1221"/>
        <w:gridCol w:w="1222"/>
      </w:tblGrid>
      <w:tr w:rsidR="00635258" w:rsidRPr="00672AEF">
        <w:trPr>
          <w:cantSplit/>
          <w:trHeight w:val="74"/>
        </w:trPr>
        <w:tc>
          <w:tcPr>
            <w:tcW w:w="4754" w:type="dxa"/>
            <w:shd w:val="clear" w:color="auto" w:fill="CCCCCC"/>
          </w:tcPr>
          <w:p w:rsidR="00635258" w:rsidRPr="00672AEF" w:rsidRDefault="00635258" w:rsidP="006D0B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672AEF" w:rsidRDefault="00635258" w:rsidP="006D0B03">
            <w:pPr>
              <w:widowControl w:val="0"/>
              <w:jc w:val="center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2</w:t>
            </w:r>
            <w:r w:rsidRPr="00672AE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21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672AEF" w:rsidRDefault="00635258" w:rsidP="006D0B03">
            <w:pPr>
              <w:widowControl w:val="0"/>
              <w:jc w:val="center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3</w:t>
            </w:r>
            <w:r w:rsidRPr="00672AE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21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672AEF" w:rsidRDefault="00635258" w:rsidP="006D0B03">
            <w:pPr>
              <w:widowControl w:val="0"/>
              <w:jc w:val="center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4</w:t>
            </w:r>
            <w:r w:rsidRPr="00672AE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CCCCCC"/>
          </w:tcPr>
          <w:p w:rsidR="00635258" w:rsidRPr="00672AEF" w:rsidRDefault="00635258" w:rsidP="006D0B03">
            <w:pPr>
              <w:widowControl w:val="0"/>
              <w:jc w:val="center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672AEF">
              <w:rPr>
                <w:sz w:val="22"/>
                <w:szCs w:val="22"/>
              </w:rPr>
              <w:t xml:space="preserve"> год</w:t>
            </w:r>
          </w:p>
        </w:tc>
      </w:tr>
      <w:tr w:rsidR="00635258" w:rsidRPr="00672AEF">
        <w:tc>
          <w:tcPr>
            <w:tcW w:w="4754" w:type="dxa"/>
            <w:tcBorders>
              <w:top w:val="double" w:sz="4" w:space="0" w:color="auto"/>
            </w:tcBorders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Темпы роста цен на продовольственные товары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bottom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114,1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bottom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  <w:lang w:val="en-US"/>
              </w:rPr>
              <w:t>105,2</w:t>
            </w:r>
          </w:p>
        </w:tc>
        <w:tc>
          <w:tcPr>
            <w:tcW w:w="1221" w:type="dxa"/>
            <w:tcBorders>
              <w:top w:val="double" w:sz="4" w:space="0" w:color="auto"/>
            </w:tcBorders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101,7</w:t>
            </w:r>
          </w:p>
        </w:tc>
        <w:tc>
          <w:tcPr>
            <w:tcW w:w="1222" w:type="dxa"/>
            <w:tcBorders>
              <w:top w:val="double" w:sz="4" w:space="0" w:color="auto"/>
            </w:tcBorders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95,4</w:t>
            </w:r>
          </w:p>
        </w:tc>
      </w:tr>
      <w:tr w:rsidR="00635258" w:rsidRPr="00672AEF">
        <w:trPr>
          <w:trHeight w:val="62"/>
        </w:trPr>
        <w:tc>
          <w:tcPr>
            <w:tcW w:w="4754" w:type="dxa"/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Темпы роста цен на непродовольственные товары</w:t>
            </w:r>
          </w:p>
        </w:tc>
        <w:tc>
          <w:tcPr>
            <w:tcW w:w="1221" w:type="dxa"/>
            <w:vAlign w:val="bottom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106,0</w:t>
            </w:r>
          </w:p>
        </w:tc>
        <w:tc>
          <w:tcPr>
            <w:tcW w:w="1221" w:type="dxa"/>
            <w:vAlign w:val="bottom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100,4</w:t>
            </w:r>
          </w:p>
        </w:tc>
        <w:tc>
          <w:tcPr>
            <w:tcW w:w="1221" w:type="dxa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96,6</w:t>
            </w:r>
          </w:p>
        </w:tc>
        <w:tc>
          <w:tcPr>
            <w:tcW w:w="1222" w:type="dxa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96,9</w:t>
            </w:r>
          </w:p>
        </w:tc>
      </w:tr>
      <w:tr w:rsidR="00635258" w:rsidRPr="00672AEF">
        <w:trPr>
          <w:trHeight w:val="62"/>
        </w:trPr>
        <w:tc>
          <w:tcPr>
            <w:tcW w:w="4754" w:type="dxa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Темпы роста тарифов на услуги</w:t>
            </w:r>
          </w:p>
        </w:tc>
        <w:tc>
          <w:tcPr>
            <w:tcW w:w="1221" w:type="dxa"/>
            <w:vAlign w:val="bottom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110,0</w:t>
            </w:r>
          </w:p>
        </w:tc>
        <w:tc>
          <w:tcPr>
            <w:tcW w:w="1221" w:type="dxa"/>
            <w:vAlign w:val="bottom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105,4</w:t>
            </w:r>
          </w:p>
        </w:tc>
        <w:tc>
          <w:tcPr>
            <w:tcW w:w="1221" w:type="dxa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107,7</w:t>
            </w:r>
          </w:p>
        </w:tc>
        <w:tc>
          <w:tcPr>
            <w:tcW w:w="1222" w:type="dxa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105,9</w:t>
            </w:r>
          </w:p>
        </w:tc>
      </w:tr>
      <w:tr w:rsidR="00635258" w:rsidRPr="00672AEF">
        <w:trPr>
          <w:trHeight w:val="62"/>
        </w:trPr>
        <w:tc>
          <w:tcPr>
            <w:tcW w:w="4754" w:type="dxa"/>
            <w:shd w:val="clear" w:color="auto" w:fill="E0E0E0"/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Сводный индекс потребительских цен</w:t>
            </w:r>
          </w:p>
        </w:tc>
        <w:tc>
          <w:tcPr>
            <w:tcW w:w="1221" w:type="dxa"/>
            <w:shd w:val="clear" w:color="auto" w:fill="E0E0E0"/>
            <w:vAlign w:val="center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110,4</w:t>
            </w:r>
          </w:p>
        </w:tc>
        <w:tc>
          <w:tcPr>
            <w:tcW w:w="1221" w:type="dxa"/>
            <w:shd w:val="clear" w:color="auto" w:fill="E0E0E0"/>
            <w:vAlign w:val="center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103,6</w:t>
            </w:r>
          </w:p>
        </w:tc>
        <w:tc>
          <w:tcPr>
            <w:tcW w:w="1221" w:type="dxa"/>
            <w:shd w:val="clear" w:color="auto" w:fill="E0E0E0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101,0</w:t>
            </w:r>
          </w:p>
        </w:tc>
        <w:tc>
          <w:tcPr>
            <w:tcW w:w="1222" w:type="dxa"/>
            <w:shd w:val="clear" w:color="auto" w:fill="E0E0E0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98,2</w:t>
            </w:r>
          </w:p>
        </w:tc>
      </w:tr>
      <w:tr w:rsidR="00635258" w:rsidRPr="00672AEF">
        <w:trPr>
          <w:trHeight w:val="62"/>
        </w:trPr>
        <w:tc>
          <w:tcPr>
            <w:tcW w:w="4754" w:type="dxa"/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Базовая инфляция</w:t>
            </w:r>
          </w:p>
        </w:tc>
        <w:tc>
          <w:tcPr>
            <w:tcW w:w="1221" w:type="dxa"/>
            <w:vAlign w:val="center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109,5</w:t>
            </w:r>
          </w:p>
        </w:tc>
        <w:tc>
          <w:tcPr>
            <w:tcW w:w="1221" w:type="dxa"/>
            <w:vAlign w:val="center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101,2</w:t>
            </w:r>
          </w:p>
        </w:tc>
        <w:tc>
          <w:tcPr>
            <w:tcW w:w="1221" w:type="dxa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97,2</w:t>
            </w:r>
          </w:p>
        </w:tc>
        <w:tc>
          <w:tcPr>
            <w:tcW w:w="1222" w:type="dxa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93,9</w:t>
            </w:r>
          </w:p>
        </w:tc>
      </w:tr>
      <w:tr w:rsidR="00635258" w:rsidRPr="00672AEF">
        <w:trPr>
          <w:trHeight w:val="62"/>
        </w:trPr>
        <w:tc>
          <w:tcPr>
            <w:tcW w:w="4754" w:type="dxa"/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Небазовая инфляция</w:t>
            </w:r>
          </w:p>
        </w:tc>
        <w:tc>
          <w:tcPr>
            <w:tcW w:w="1221" w:type="dxa"/>
            <w:vAlign w:val="center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111,9</w:t>
            </w:r>
          </w:p>
        </w:tc>
        <w:tc>
          <w:tcPr>
            <w:tcW w:w="1221" w:type="dxa"/>
            <w:vAlign w:val="center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107,0</w:t>
            </w:r>
          </w:p>
        </w:tc>
        <w:tc>
          <w:tcPr>
            <w:tcW w:w="1221" w:type="dxa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107,0</w:t>
            </w:r>
          </w:p>
        </w:tc>
        <w:tc>
          <w:tcPr>
            <w:tcW w:w="1222" w:type="dxa"/>
          </w:tcPr>
          <w:p w:rsidR="00635258" w:rsidRPr="00B87174" w:rsidRDefault="00635258" w:rsidP="006D0B03">
            <w:pPr>
              <w:widowControl w:val="0"/>
              <w:ind w:right="175"/>
              <w:jc w:val="right"/>
              <w:rPr>
                <w:sz w:val="22"/>
                <w:szCs w:val="22"/>
              </w:rPr>
            </w:pPr>
            <w:r w:rsidRPr="00B87174">
              <w:rPr>
                <w:sz w:val="22"/>
                <w:szCs w:val="22"/>
              </w:rPr>
              <w:t>104,9</w:t>
            </w:r>
          </w:p>
        </w:tc>
      </w:tr>
    </w:tbl>
    <w:p w:rsidR="00635258" w:rsidRDefault="00635258" w:rsidP="00FA1021">
      <w:pPr>
        <w:widowControl w:val="0"/>
        <w:spacing w:before="120"/>
        <w:ind w:firstLine="425"/>
        <w:jc w:val="both"/>
      </w:pPr>
      <w:r w:rsidRPr="001E1CB9">
        <w:rPr>
          <w:sz w:val="24"/>
          <w:szCs w:val="24"/>
        </w:rPr>
        <w:t xml:space="preserve">Спад потребительской активности в республике, разновекторные процессы в сфере курсообразования в Приднестровье и сопредельных странах отражались на динамике цен на продовольствие с рыночным характером ценообразования. Стоимость товаров данной группы снизилась в среднем на 11,5%. </w:t>
      </w:r>
      <w:r>
        <w:rPr>
          <w:sz w:val="24"/>
          <w:szCs w:val="24"/>
        </w:rPr>
        <w:t>Наиболее существенно подешевели</w:t>
      </w:r>
      <w:r w:rsidRPr="001E1CB9">
        <w:rPr>
          <w:sz w:val="24"/>
          <w:szCs w:val="24"/>
        </w:rPr>
        <w:t xml:space="preserve"> мясо и мясопродукты </w:t>
      </w:r>
      <w:r>
        <w:rPr>
          <w:sz w:val="24"/>
          <w:szCs w:val="24"/>
        </w:rPr>
        <w:t>–</w:t>
      </w:r>
      <w:r w:rsidRPr="001E1CB9">
        <w:rPr>
          <w:sz w:val="24"/>
          <w:szCs w:val="24"/>
        </w:rPr>
        <w:t xml:space="preserve"> на 15,9%</w:t>
      </w:r>
      <w:r>
        <w:rPr>
          <w:sz w:val="24"/>
          <w:szCs w:val="24"/>
        </w:rPr>
        <w:t>,</w:t>
      </w:r>
      <w:r w:rsidRPr="001E1CB9">
        <w:rPr>
          <w:sz w:val="24"/>
          <w:szCs w:val="24"/>
        </w:rPr>
        <w:t xml:space="preserve"> сыр – на 15,3%, рыб</w:t>
      </w:r>
      <w:r>
        <w:rPr>
          <w:sz w:val="24"/>
          <w:szCs w:val="24"/>
        </w:rPr>
        <w:t>а</w:t>
      </w:r>
      <w:r w:rsidRPr="001E1CB9">
        <w:rPr>
          <w:sz w:val="24"/>
          <w:szCs w:val="24"/>
        </w:rPr>
        <w:t xml:space="preserve"> и рыбопродукты – на 11,9%, сахар – на 11,6%, алкогольн</w:t>
      </w:r>
      <w:r>
        <w:rPr>
          <w:sz w:val="24"/>
          <w:szCs w:val="24"/>
        </w:rPr>
        <w:t>ая продукция</w:t>
      </w:r>
      <w:r w:rsidRPr="001E1CB9">
        <w:rPr>
          <w:sz w:val="24"/>
          <w:szCs w:val="24"/>
        </w:rPr>
        <w:t xml:space="preserve"> – на 7,4%</w:t>
      </w:r>
      <w:r>
        <w:rPr>
          <w:rFonts w:ascii="Sylfaen" w:hAnsi="Sylfaen" w:cs="Sylfaen"/>
          <w:sz w:val="22"/>
          <w:szCs w:val="22"/>
        </w:rPr>
        <w:t xml:space="preserve">. </w:t>
      </w:r>
    </w:p>
    <w:p w:rsidR="00635258" w:rsidRPr="00D22498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 w:rsidRPr="00D22498">
        <w:rPr>
          <w:sz w:val="24"/>
          <w:szCs w:val="24"/>
        </w:rPr>
        <w:t>Частичный нивелирующий эффект на показатель дефляции, зафиксированной по группе продуктов питания, оказывала динамика цен на продовольственные товары, находящиеся под воздействием административных и сезонных факторов</w:t>
      </w:r>
      <w:r>
        <w:rPr>
          <w:sz w:val="24"/>
          <w:szCs w:val="24"/>
        </w:rPr>
        <w:t>.</w:t>
      </w:r>
      <w:r w:rsidRPr="00D2249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22498">
        <w:rPr>
          <w:sz w:val="24"/>
          <w:szCs w:val="24"/>
        </w:rPr>
        <w:t xml:space="preserve"> отчётном периоде они подорожали в среднем на 2,9% (против 5,3% годом ранее), что было обусловлено в основном резким ростом цен на овощи: +69,7% (+33,8% в 2014 году и +55,1% в 2013 году). Кроме того, на 4,1% возросла стоимость муки. Вместе с тем по большинству структурных составляющих фиксировал</w:t>
      </w:r>
      <w:r>
        <w:rPr>
          <w:sz w:val="24"/>
          <w:szCs w:val="24"/>
        </w:rPr>
        <w:t>о</w:t>
      </w:r>
      <w:r w:rsidRPr="00D22498">
        <w:rPr>
          <w:sz w:val="24"/>
          <w:szCs w:val="24"/>
        </w:rPr>
        <w:t xml:space="preserve">сь </w:t>
      </w:r>
      <w:r>
        <w:rPr>
          <w:sz w:val="24"/>
          <w:szCs w:val="24"/>
        </w:rPr>
        <w:t>снижение цен</w:t>
      </w:r>
      <w:r w:rsidRPr="00D22498">
        <w:rPr>
          <w:sz w:val="24"/>
          <w:szCs w:val="24"/>
        </w:rPr>
        <w:t>. Так, наиболее заметно подешевели картофель (-35,5%), молоко и молочная продукция (-13,2%), масл</w:t>
      </w:r>
      <w:r>
        <w:rPr>
          <w:sz w:val="24"/>
          <w:szCs w:val="24"/>
        </w:rPr>
        <w:t>а</w:t>
      </w:r>
      <w:r w:rsidRPr="00D22498">
        <w:rPr>
          <w:sz w:val="24"/>
          <w:szCs w:val="24"/>
        </w:rPr>
        <w:t xml:space="preserve"> и жиры (-11,6%)</w:t>
      </w:r>
      <w:r>
        <w:rPr>
          <w:sz w:val="24"/>
          <w:szCs w:val="24"/>
        </w:rPr>
        <w:t>,</w:t>
      </w:r>
      <w:r w:rsidRPr="00D22498">
        <w:rPr>
          <w:sz w:val="24"/>
          <w:szCs w:val="24"/>
        </w:rPr>
        <w:t xml:space="preserve"> яйца (-11,1%).</w:t>
      </w:r>
    </w:p>
    <w:p w:rsidR="00635258" w:rsidRPr="00D22498" w:rsidRDefault="00635258" w:rsidP="00FA1021">
      <w:pPr>
        <w:pStyle w:val="NormalWeb"/>
        <w:spacing w:before="0" w:beforeAutospacing="0" w:after="0" w:afterAutospacing="0"/>
        <w:ind w:firstLine="425"/>
        <w:jc w:val="both"/>
      </w:pPr>
      <w:r w:rsidRPr="00D22498">
        <w:t>В течение года во многом вследствие изменения потребительского поведения населения республики, выразившегося в снижении спроса на товары длительного пользования, индекс цен в непродовольственном сегменте оставался в области отрицательных значений, составив в результате 96,9%, что сопоставимо с показателем предыдущего года. По итогам отчётного периода сохранение влияния мировых тенденций на ценообразование в топливном сегменте привело к снижению цен на 10,6%, что</w:t>
      </w:r>
      <w:r>
        <w:t xml:space="preserve"> тем самым</w:t>
      </w:r>
      <w:r w:rsidRPr="00D22498">
        <w:t xml:space="preserve"> обеспечило -0,44 п.п. итогового показателя. Помимо этого, существенно сократилась стоимость стройматериалов (-8,8%), товаров бытовой химии (-7,7%), моющих средств (-6,7%) и мебели (-6,1%). Цены на медикаменты, являющи</w:t>
      </w:r>
      <w:r>
        <w:t>е</w:t>
      </w:r>
      <w:r w:rsidRPr="00D22498">
        <w:t>ся одной из крупных структурных составляющих группы, под воздействием конъюнктуры региональных рынков, а также благодаря развитию конкуренции со стороны государственных социальных аптек</w:t>
      </w:r>
      <w:r>
        <w:t>,</w:t>
      </w:r>
      <w:r w:rsidRPr="00D22498">
        <w:t xml:space="preserve"> снизились в среднем на 1,7%. </w:t>
      </w:r>
    </w:p>
    <w:p w:rsidR="00635258" w:rsidRPr="00D22498" w:rsidRDefault="00635258" w:rsidP="00FA1021">
      <w:pPr>
        <w:pStyle w:val="NormalWeb"/>
        <w:spacing w:before="0" w:beforeAutospacing="0" w:after="0" w:afterAutospacing="0"/>
        <w:ind w:firstLine="425"/>
        <w:jc w:val="both"/>
      </w:pPr>
      <w:r w:rsidRPr="00D22498">
        <w:t>Сфера услуг продолжала вносить проинфляционный вклад в сводный индекс потребительских цен. Основная часть инфляционных процессов по-прежнему генерировалась в сфере административно-регулируемы</w:t>
      </w:r>
      <w:r>
        <w:t>х</w:t>
      </w:r>
      <w:r w:rsidRPr="00D22498">
        <w:t xml:space="preserve"> услуг, которые подорожали на 6,3%. В разрезе структурных составляющих определяющим стал рост тарифов на услуги связи (+8,6%) и медицинские услуги (+37,7%), что обеспечило +0,56 п.п. и +0,44 п.п. совокупного показателя соответственно. </w:t>
      </w:r>
    </w:p>
    <w:p w:rsidR="00635258" w:rsidRPr="00D22498" w:rsidRDefault="00635258" w:rsidP="00FA1021">
      <w:pPr>
        <w:pStyle w:val="NormalWeb"/>
        <w:spacing w:before="0" w:beforeAutospacing="0" w:after="0" w:afterAutospacing="0"/>
        <w:ind w:firstLine="425"/>
        <w:jc w:val="both"/>
      </w:pPr>
      <w:r w:rsidRPr="00D22498">
        <w:t xml:space="preserve">Сохранение социально-ориентированного подхода в сфере ценообразования на жилищно-коммунальные услуги позволило ограничить рост тарифов по итогам года в пределах 2,6%. При этом увеличение нагрузки на потребительский бюджет со стороны услуг по водоснабжению (+22,8%) было нивелировано отрицательными корректировками стоимости электроэнергии (-3,1%), газа (-3,0%), отопления (-1,4%). Дошкольное воспитание за год </w:t>
      </w:r>
      <w:r>
        <w:t>подорожало на 21,8%</w:t>
      </w:r>
      <w:r w:rsidRPr="00D22498">
        <w:t>, в то время как оздоровительные услуги подешевели на 14,1%.</w:t>
      </w:r>
    </w:p>
    <w:p w:rsidR="00635258" w:rsidRPr="00D22498" w:rsidRDefault="00635258" w:rsidP="00FA1021">
      <w:pPr>
        <w:pStyle w:val="NormalWeb"/>
        <w:spacing w:before="0" w:beforeAutospacing="0" w:after="0" w:afterAutospacing="0"/>
        <w:ind w:firstLine="425"/>
        <w:jc w:val="both"/>
      </w:pPr>
      <w:r w:rsidRPr="00D22498">
        <w:t>Незначительное увеличение стоимости рыночных услуг (+0,8% против дефляции -3,7% годом ранее) сформировалось под воздействием разнонаправленного вектора тарифов на бытовые услуги (+2,3%) и услуги коммерческих банков (-6,0%). В целом, следует отметить, что тарифы на розничные банковские услуги сохраняют отрицательную динамику четвёртый год подряд.</w:t>
      </w:r>
    </w:p>
    <w:p w:rsidR="00635258" w:rsidRPr="00D22498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 w:rsidRPr="00D22498">
        <w:rPr>
          <w:sz w:val="24"/>
          <w:szCs w:val="24"/>
        </w:rPr>
        <w:t xml:space="preserve">Таким образом, общий уровень цен в отчётном году преимущественно определялся действием рыночных факторов, которые усилили своё </w:t>
      </w:r>
      <w:r>
        <w:rPr>
          <w:sz w:val="24"/>
          <w:szCs w:val="24"/>
        </w:rPr>
        <w:t>понижающее</w:t>
      </w:r>
      <w:r w:rsidRPr="00D22498">
        <w:rPr>
          <w:sz w:val="24"/>
          <w:szCs w:val="24"/>
        </w:rPr>
        <w:t xml:space="preserve"> влияние</w:t>
      </w:r>
      <w:r>
        <w:rPr>
          <w:sz w:val="24"/>
          <w:szCs w:val="24"/>
        </w:rPr>
        <w:t xml:space="preserve"> на индекс потребительских цен</w:t>
      </w:r>
      <w:r w:rsidRPr="00D22498">
        <w:rPr>
          <w:sz w:val="24"/>
          <w:szCs w:val="24"/>
        </w:rPr>
        <w:t>. Товары и услуги, входящие в расчёт базовой компоненты, в совокупности подешевели на 6,1% против 2,8% в 2014 году. В то же время показатель «небазовой инфляции» сократил проинфляционный вклад: набор товаров и услуг, стоимость которых изменяется под влиянием сезонных и административных факторов, подорожал на 4,9% против 7,0% годом ранее. В результате по 38 из 53 укрупнённых позиций фиксировалась дефляция.</w:t>
      </w:r>
    </w:p>
    <w:p w:rsidR="00635258" w:rsidRPr="001E1CB9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 w:rsidRPr="001E1CB9">
        <w:rPr>
          <w:sz w:val="24"/>
          <w:szCs w:val="24"/>
        </w:rPr>
        <w:t xml:space="preserve">На ценовую ситуацию на внутреннем потребительском рынке определённое воздействие оказывала и обстановка в индустриальном секторе. В 2015 году промышленные предприятия республики продолжали функционировать в условиях спада платёжеспособного спроса, высокой конкуренции со стороны импортных товаров, а также сохраняющихся трудностей в осуществлении </w:t>
      </w:r>
      <w:r>
        <w:rPr>
          <w:sz w:val="24"/>
          <w:szCs w:val="24"/>
        </w:rPr>
        <w:t>внешнеэкономической деятельности</w:t>
      </w:r>
      <w:r w:rsidRPr="001E1CB9">
        <w:rPr>
          <w:sz w:val="24"/>
          <w:szCs w:val="24"/>
        </w:rPr>
        <w:t xml:space="preserve">. Ситуацию осложняли мировые тренды в сфере ценообразования на продукцию ведущих отраслей приднестровской промышленности. В результате индекс отпускных цен сложился на уровне 80,0% (табл. </w:t>
      </w:r>
      <w:r>
        <w:rPr>
          <w:sz w:val="24"/>
          <w:szCs w:val="24"/>
        </w:rPr>
        <w:t>1.3</w:t>
      </w:r>
      <w:r w:rsidRPr="001E1CB9">
        <w:rPr>
          <w:sz w:val="24"/>
          <w:szCs w:val="24"/>
        </w:rPr>
        <w:t>), отразив понижательную корректировку в большинстве отраслей индустрии.</w:t>
      </w:r>
    </w:p>
    <w:p w:rsidR="00635258" w:rsidRPr="00672AEF" w:rsidRDefault="00635258" w:rsidP="00FA1021">
      <w:pPr>
        <w:widowControl w:val="0"/>
        <w:spacing w:before="120" w:after="120"/>
        <w:ind w:firstLine="425"/>
        <w:jc w:val="right"/>
        <w:rPr>
          <w:b/>
          <w:bCs/>
          <w:i/>
          <w:iCs/>
          <w:sz w:val="24"/>
          <w:szCs w:val="24"/>
        </w:rPr>
      </w:pPr>
      <w:r w:rsidRPr="00672AEF">
        <w:rPr>
          <w:b/>
          <w:bCs/>
          <w:i/>
          <w:iCs/>
          <w:sz w:val="24"/>
          <w:szCs w:val="24"/>
        </w:rPr>
        <w:t>Таблица 1.</w:t>
      </w:r>
      <w:r>
        <w:rPr>
          <w:b/>
          <w:bCs/>
          <w:i/>
          <w:iCs/>
          <w:sz w:val="24"/>
          <w:szCs w:val="24"/>
        </w:rPr>
        <w:t>3</w:t>
      </w:r>
    </w:p>
    <w:p w:rsidR="00635258" w:rsidRPr="00672AEF" w:rsidRDefault="00635258" w:rsidP="00FA1021">
      <w:pPr>
        <w:widowControl w:val="0"/>
        <w:spacing w:after="120"/>
        <w:jc w:val="center"/>
        <w:rPr>
          <w:b/>
          <w:bCs/>
          <w:i/>
          <w:iCs/>
          <w:sz w:val="24"/>
          <w:szCs w:val="24"/>
        </w:rPr>
      </w:pPr>
      <w:r w:rsidRPr="00672AEF">
        <w:rPr>
          <w:b/>
          <w:bCs/>
          <w:i/>
          <w:iCs/>
          <w:sz w:val="24"/>
          <w:szCs w:val="24"/>
        </w:rPr>
        <w:t>Темпы роста отпускных цен в отраслях промышленности, %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6"/>
        <w:gridCol w:w="1298"/>
        <w:gridCol w:w="1298"/>
        <w:gridCol w:w="1298"/>
        <w:gridCol w:w="1299"/>
      </w:tblGrid>
      <w:tr w:rsidR="00635258" w:rsidRPr="00672AEF">
        <w:trPr>
          <w:cantSplit/>
          <w:trHeight w:val="61"/>
          <w:jc w:val="center"/>
        </w:trPr>
        <w:tc>
          <w:tcPr>
            <w:tcW w:w="4476" w:type="dxa"/>
            <w:shd w:val="clear" w:color="auto" w:fill="CCCCCC"/>
          </w:tcPr>
          <w:p w:rsidR="00635258" w:rsidRPr="00672AEF" w:rsidRDefault="00635258" w:rsidP="006D0B0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CCCCCC"/>
            <w:vAlign w:val="center"/>
          </w:tcPr>
          <w:p w:rsidR="00635258" w:rsidRPr="00672AEF" w:rsidRDefault="00635258" w:rsidP="006D0B03">
            <w:pPr>
              <w:widowControl w:val="0"/>
              <w:ind w:left="-109" w:right="-97"/>
              <w:jc w:val="center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2</w:t>
            </w:r>
            <w:r w:rsidRPr="00672AE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98" w:type="dxa"/>
            <w:shd w:val="clear" w:color="auto" w:fill="CCCCCC"/>
            <w:vAlign w:val="center"/>
          </w:tcPr>
          <w:p w:rsidR="00635258" w:rsidRPr="00672AEF" w:rsidRDefault="00635258" w:rsidP="006D0B03">
            <w:pPr>
              <w:widowControl w:val="0"/>
              <w:ind w:left="-109" w:right="-97"/>
              <w:jc w:val="center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20</w:t>
            </w:r>
            <w:r w:rsidRPr="00672AE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672AE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98" w:type="dxa"/>
            <w:shd w:val="clear" w:color="auto" w:fill="CCCCCC"/>
            <w:vAlign w:val="center"/>
          </w:tcPr>
          <w:p w:rsidR="00635258" w:rsidRPr="00672AEF" w:rsidRDefault="00635258" w:rsidP="006D0B03">
            <w:pPr>
              <w:widowControl w:val="0"/>
              <w:ind w:left="-109" w:right="-97"/>
              <w:jc w:val="center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4</w:t>
            </w:r>
            <w:r w:rsidRPr="00672AE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99" w:type="dxa"/>
            <w:shd w:val="clear" w:color="auto" w:fill="CCCCCC"/>
          </w:tcPr>
          <w:p w:rsidR="00635258" w:rsidRPr="00672AEF" w:rsidRDefault="00635258" w:rsidP="006D0B03">
            <w:pPr>
              <w:widowControl w:val="0"/>
              <w:ind w:left="-109" w:right="-97"/>
              <w:jc w:val="center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672AEF">
              <w:rPr>
                <w:sz w:val="22"/>
                <w:szCs w:val="22"/>
              </w:rPr>
              <w:t xml:space="preserve"> год</w:t>
            </w:r>
          </w:p>
        </w:tc>
      </w:tr>
      <w:tr w:rsidR="00635258" w:rsidRPr="00672AEF">
        <w:trPr>
          <w:trHeight w:val="171"/>
          <w:jc w:val="center"/>
        </w:trPr>
        <w:tc>
          <w:tcPr>
            <w:tcW w:w="4476" w:type="dxa"/>
            <w:tcBorders>
              <w:top w:val="double" w:sz="4" w:space="0" w:color="auto"/>
            </w:tcBorders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Чёрная металлургия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vAlign w:val="bottom"/>
          </w:tcPr>
          <w:p w:rsidR="00635258" w:rsidRPr="001E70C3" w:rsidRDefault="00635258" w:rsidP="006D0B03">
            <w:pPr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98,6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vAlign w:val="bottom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92,8</w:t>
            </w:r>
          </w:p>
        </w:tc>
        <w:tc>
          <w:tcPr>
            <w:tcW w:w="1298" w:type="dxa"/>
            <w:tcBorders>
              <w:top w:val="double" w:sz="4" w:space="0" w:color="auto"/>
            </w:tcBorders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89,9</w:t>
            </w:r>
          </w:p>
        </w:tc>
        <w:tc>
          <w:tcPr>
            <w:tcW w:w="1299" w:type="dxa"/>
            <w:tcBorders>
              <w:top w:val="double" w:sz="4" w:space="0" w:color="auto"/>
            </w:tcBorders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52,4</w:t>
            </w:r>
          </w:p>
        </w:tc>
      </w:tr>
      <w:tr w:rsidR="00635258" w:rsidRPr="00672AEF">
        <w:trPr>
          <w:trHeight w:val="240"/>
          <w:jc w:val="center"/>
        </w:trPr>
        <w:tc>
          <w:tcPr>
            <w:tcW w:w="4476" w:type="dxa"/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Электроэнергетика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109,1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100,0</w:t>
            </w:r>
          </w:p>
        </w:tc>
        <w:tc>
          <w:tcPr>
            <w:tcW w:w="1298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133,5</w:t>
            </w:r>
          </w:p>
        </w:tc>
        <w:tc>
          <w:tcPr>
            <w:tcW w:w="1299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106,5</w:t>
            </w:r>
          </w:p>
        </w:tc>
      </w:tr>
      <w:tr w:rsidR="00635258" w:rsidRPr="00672AEF">
        <w:trPr>
          <w:trHeight w:val="240"/>
          <w:jc w:val="center"/>
        </w:trPr>
        <w:tc>
          <w:tcPr>
            <w:tcW w:w="4476" w:type="dxa"/>
            <w:vAlign w:val="center"/>
          </w:tcPr>
          <w:p w:rsidR="00635258" w:rsidRPr="00672AEF" w:rsidRDefault="00635258" w:rsidP="006D0B03">
            <w:pPr>
              <w:widowControl w:val="0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Машиностроение и металлообработка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109,5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100,0</w:t>
            </w:r>
          </w:p>
        </w:tc>
        <w:tc>
          <w:tcPr>
            <w:tcW w:w="1298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100,0</w:t>
            </w:r>
          </w:p>
        </w:tc>
        <w:tc>
          <w:tcPr>
            <w:tcW w:w="1299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99,3</w:t>
            </w:r>
          </w:p>
        </w:tc>
      </w:tr>
      <w:tr w:rsidR="00635258" w:rsidRPr="00672AEF">
        <w:trPr>
          <w:trHeight w:val="240"/>
          <w:jc w:val="center"/>
        </w:trPr>
        <w:tc>
          <w:tcPr>
            <w:tcW w:w="4476" w:type="dxa"/>
            <w:tcBorders>
              <w:top w:val="nil"/>
            </w:tcBorders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Электротехническая промышленность</w:t>
            </w:r>
          </w:p>
        </w:tc>
        <w:tc>
          <w:tcPr>
            <w:tcW w:w="1298" w:type="dxa"/>
            <w:tcBorders>
              <w:top w:val="nil"/>
            </w:tcBorders>
            <w:vAlign w:val="bottom"/>
          </w:tcPr>
          <w:p w:rsidR="00635258" w:rsidRPr="001E70C3" w:rsidRDefault="00635258" w:rsidP="006D0B03">
            <w:pPr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103,7</w:t>
            </w:r>
          </w:p>
        </w:tc>
        <w:tc>
          <w:tcPr>
            <w:tcW w:w="1298" w:type="dxa"/>
            <w:tcBorders>
              <w:top w:val="nil"/>
            </w:tcBorders>
            <w:vAlign w:val="bottom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99,8</w:t>
            </w:r>
          </w:p>
        </w:tc>
        <w:tc>
          <w:tcPr>
            <w:tcW w:w="1298" w:type="dxa"/>
            <w:tcBorders>
              <w:top w:val="nil"/>
            </w:tcBorders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94,1</w:t>
            </w:r>
          </w:p>
        </w:tc>
        <w:tc>
          <w:tcPr>
            <w:tcW w:w="1299" w:type="dxa"/>
            <w:tcBorders>
              <w:top w:val="nil"/>
            </w:tcBorders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91,4</w:t>
            </w:r>
          </w:p>
        </w:tc>
      </w:tr>
      <w:tr w:rsidR="00635258" w:rsidRPr="00672AEF">
        <w:trPr>
          <w:trHeight w:val="84"/>
          <w:jc w:val="center"/>
        </w:trPr>
        <w:tc>
          <w:tcPr>
            <w:tcW w:w="4476" w:type="dxa"/>
            <w:vAlign w:val="center"/>
          </w:tcPr>
          <w:p w:rsidR="00635258" w:rsidRPr="00672AEF" w:rsidRDefault="00635258" w:rsidP="006D0B03">
            <w:pPr>
              <w:widowControl w:val="0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Деревообрабатывающая промышленность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100,0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107,4</w:t>
            </w:r>
          </w:p>
        </w:tc>
        <w:tc>
          <w:tcPr>
            <w:tcW w:w="1298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114,2</w:t>
            </w:r>
          </w:p>
        </w:tc>
        <w:tc>
          <w:tcPr>
            <w:tcW w:w="1299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100,0</w:t>
            </w:r>
          </w:p>
        </w:tc>
      </w:tr>
      <w:tr w:rsidR="00635258" w:rsidRPr="00672AEF">
        <w:trPr>
          <w:trHeight w:val="158"/>
          <w:jc w:val="center"/>
        </w:trPr>
        <w:tc>
          <w:tcPr>
            <w:tcW w:w="4476" w:type="dxa"/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Промышленность строительных материалов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115,2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96,0</w:t>
            </w:r>
          </w:p>
        </w:tc>
        <w:tc>
          <w:tcPr>
            <w:tcW w:w="1298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99,2</w:t>
            </w:r>
          </w:p>
        </w:tc>
        <w:tc>
          <w:tcPr>
            <w:tcW w:w="1299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71,7</w:t>
            </w:r>
          </w:p>
        </w:tc>
      </w:tr>
      <w:tr w:rsidR="00635258" w:rsidRPr="00672AEF">
        <w:trPr>
          <w:trHeight w:val="240"/>
          <w:jc w:val="center"/>
        </w:trPr>
        <w:tc>
          <w:tcPr>
            <w:tcW w:w="4476" w:type="dxa"/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Лёгкая промышленность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102,9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92,1</w:t>
            </w:r>
          </w:p>
        </w:tc>
        <w:tc>
          <w:tcPr>
            <w:tcW w:w="1298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100,0</w:t>
            </w:r>
          </w:p>
        </w:tc>
        <w:tc>
          <w:tcPr>
            <w:tcW w:w="1299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99,7</w:t>
            </w:r>
          </w:p>
        </w:tc>
      </w:tr>
      <w:tr w:rsidR="00635258" w:rsidRPr="00672AEF">
        <w:trPr>
          <w:trHeight w:val="240"/>
          <w:jc w:val="center"/>
        </w:trPr>
        <w:tc>
          <w:tcPr>
            <w:tcW w:w="4476" w:type="dxa"/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Пищевая промышленность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109,6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101,7</w:t>
            </w:r>
          </w:p>
        </w:tc>
        <w:tc>
          <w:tcPr>
            <w:tcW w:w="1298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102,2</w:t>
            </w:r>
          </w:p>
        </w:tc>
        <w:tc>
          <w:tcPr>
            <w:tcW w:w="1299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93,9</w:t>
            </w:r>
          </w:p>
        </w:tc>
      </w:tr>
      <w:tr w:rsidR="00635258" w:rsidRPr="00672AEF">
        <w:trPr>
          <w:trHeight w:val="132"/>
          <w:jc w:val="center"/>
        </w:trPr>
        <w:tc>
          <w:tcPr>
            <w:tcW w:w="4476" w:type="dxa"/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Полиграфическая промышленность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106,4</w:t>
            </w:r>
          </w:p>
        </w:tc>
        <w:tc>
          <w:tcPr>
            <w:tcW w:w="1298" w:type="dxa"/>
            <w:vAlign w:val="bottom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102,8</w:t>
            </w:r>
          </w:p>
        </w:tc>
        <w:tc>
          <w:tcPr>
            <w:tcW w:w="1298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101,2</w:t>
            </w:r>
          </w:p>
        </w:tc>
        <w:tc>
          <w:tcPr>
            <w:tcW w:w="1299" w:type="dxa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105,7</w:t>
            </w:r>
          </w:p>
        </w:tc>
      </w:tr>
      <w:tr w:rsidR="00635258" w:rsidRPr="00672AEF">
        <w:trPr>
          <w:trHeight w:val="62"/>
          <w:jc w:val="center"/>
        </w:trPr>
        <w:tc>
          <w:tcPr>
            <w:tcW w:w="4476" w:type="dxa"/>
            <w:shd w:val="clear" w:color="auto" w:fill="E0E0E0"/>
            <w:vAlign w:val="center"/>
          </w:tcPr>
          <w:p w:rsidR="00635258" w:rsidRPr="00672AEF" w:rsidRDefault="00635258" w:rsidP="006D0B03">
            <w:pPr>
              <w:widowControl w:val="0"/>
              <w:jc w:val="both"/>
              <w:rPr>
                <w:sz w:val="22"/>
                <w:szCs w:val="22"/>
              </w:rPr>
            </w:pPr>
            <w:r w:rsidRPr="00672AEF">
              <w:rPr>
                <w:sz w:val="22"/>
                <w:szCs w:val="22"/>
              </w:rPr>
              <w:t>Всего по промышленности</w:t>
            </w:r>
          </w:p>
        </w:tc>
        <w:tc>
          <w:tcPr>
            <w:tcW w:w="1298" w:type="dxa"/>
            <w:shd w:val="clear" w:color="auto" w:fill="E0E0E0"/>
            <w:vAlign w:val="bottom"/>
          </w:tcPr>
          <w:p w:rsidR="00635258" w:rsidRPr="001E70C3" w:rsidRDefault="00635258" w:rsidP="006D0B03">
            <w:pPr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105,4</w:t>
            </w:r>
          </w:p>
        </w:tc>
        <w:tc>
          <w:tcPr>
            <w:tcW w:w="1298" w:type="dxa"/>
            <w:shd w:val="clear" w:color="auto" w:fill="E0E0E0"/>
            <w:vAlign w:val="bottom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96,8</w:t>
            </w:r>
          </w:p>
        </w:tc>
        <w:tc>
          <w:tcPr>
            <w:tcW w:w="1298" w:type="dxa"/>
            <w:shd w:val="clear" w:color="auto" w:fill="E0E0E0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107,7</w:t>
            </w:r>
          </w:p>
        </w:tc>
        <w:tc>
          <w:tcPr>
            <w:tcW w:w="1299" w:type="dxa"/>
            <w:shd w:val="clear" w:color="auto" w:fill="E0E0E0"/>
          </w:tcPr>
          <w:p w:rsidR="00635258" w:rsidRPr="001E70C3" w:rsidRDefault="00635258" w:rsidP="006D0B03">
            <w:pPr>
              <w:widowControl w:val="0"/>
              <w:ind w:right="260"/>
              <w:jc w:val="right"/>
              <w:rPr>
                <w:sz w:val="22"/>
                <w:szCs w:val="22"/>
              </w:rPr>
            </w:pPr>
            <w:r w:rsidRPr="001E70C3">
              <w:rPr>
                <w:sz w:val="22"/>
                <w:szCs w:val="22"/>
              </w:rPr>
              <w:t>80,0</w:t>
            </w:r>
          </w:p>
        </w:tc>
      </w:tr>
    </w:tbl>
    <w:p w:rsidR="00635258" w:rsidRPr="001E1CB9" w:rsidRDefault="00635258" w:rsidP="00FA1021">
      <w:pPr>
        <w:widowControl w:val="0"/>
        <w:spacing w:before="120"/>
        <w:ind w:firstLine="425"/>
        <w:jc w:val="both"/>
        <w:rPr>
          <w:sz w:val="24"/>
          <w:szCs w:val="24"/>
        </w:rPr>
      </w:pPr>
      <w:r w:rsidRPr="001E1CB9">
        <w:rPr>
          <w:sz w:val="24"/>
          <w:szCs w:val="24"/>
        </w:rPr>
        <w:t>Наиболее остро ситуация на мировых рынках сказывается на чёрной металлургии. Падение отпускных цен в отрасли наблюдается на протяжении последних четырёх лет. При этом в отчётном году стоимость продукции снизилась</w:t>
      </w:r>
      <w:r>
        <w:rPr>
          <w:sz w:val="24"/>
          <w:szCs w:val="24"/>
        </w:rPr>
        <w:t xml:space="preserve"> ещё</w:t>
      </w:r>
      <w:r w:rsidRPr="001E1CB9">
        <w:rPr>
          <w:sz w:val="24"/>
          <w:szCs w:val="24"/>
        </w:rPr>
        <w:t xml:space="preserve"> на 47,6%, а за период с 2012 по 2015 годы – на 56,9%. Существенно</w:t>
      </w:r>
      <w:r>
        <w:rPr>
          <w:sz w:val="24"/>
          <w:szCs w:val="24"/>
        </w:rPr>
        <w:t xml:space="preserve"> (на 28,3%)</w:t>
      </w:r>
      <w:r w:rsidRPr="001E1CB9">
        <w:rPr>
          <w:sz w:val="24"/>
          <w:szCs w:val="24"/>
        </w:rPr>
        <w:t xml:space="preserve"> подешевели строительные материалы.</w:t>
      </w:r>
    </w:p>
    <w:p w:rsidR="00635258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 w:rsidRPr="001E1CB9">
        <w:rPr>
          <w:sz w:val="24"/>
          <w:szCs w:val="24"/>
        </w:rPr>
        <w:t>В то же время предприятия индустрии, нарастившие объём выпуска в отчётном периоде, осуществляли преимущественно повышательные корректировки цен. Так, продукция электроэнергетической отрасли в среднем подорожала на 6,5%, полиграфической промышленности – на 5,7%.</w:t>
      </w:r>
    </w:p>
    <w:p w:rsidR="00635258" w:rsidRDefault="00635258" w:rsidP="00FA1021">
      <w:pPr>
        <w:spacing w:after="120"/>
        <w:ind w:left="425"/>
        <w:jc w:val="both"/>
        <w:rPr>
          <w:i/>
          <w:iCs/>
          <w:noProof/>
          <w:sz w:val="24"/>
          <w:szCs w:val="24"/>
        </w:rPr>
      </w:pPr>
      <w:r w:rsidRPr="00F5666D">
        <w:rPr>
          <w:i/>
          <w:iCs/>
          <w:noProof/>
          <w:sz w:val="24"/>
          <w:szCs w:val="24"/>
        </w:rPr>
        <w:t>Социальная сфера</w:t>
      </w:r>
    </w:p>
    <w:p w:rsidR="00635258" w:rsidRPr="005D3E76" w:rsidRDefault="00635258" w:rsidP="00D41471">
      <w:pPr>
        <w:widowControl w:val="0"/>
        <w:spacing w:line="252" w:lineRule="auto"/>
        <w:ind w:firstLine="425"/>
        <w:jc w:val="both"/>
        <w:rPr>
          <w:color w:val="000000"/>
          <w:sz w:val="24"/>
          <w:szCs w:val="24"/>
        </w:rPr>
      </w:pPr>
      <w:r w:rsidRPr="005D3E76">
        <w:rPr>
          <w:sz w:val="24"/>
          <w:szCs w:val="24"/>
        </w:rPr>
        <w:t>Основные показатели, характеризующие ситуацию в социальной сфере</w:t>
      </w:r>
      <w:r>
        <w:rPr>
          <w:sz w:val="24"/>
          <w:szCs w:val="24"/>
        </w:rPr>
        <w:t>, в 2015 году</w:t>
      </w:r>
      <w:r w:rsidRPr="005D3E76">
        <w:rPr>
          <w:sz w:val="24"/>
          <w:szCs w:val="24"/>
        </w:rPr>
        <w:t xml:space="preserve"> демонстрирова</w:t>
      </w:r>
      <w:r>
        <w:rPr>
          <w:sz w:val="24"/>
          <w:szCs w:val="24"/>
        </w:rPr>
        <w:t>ли понижательную динамику</w:t>
      </w:r>
      <w:r w:rsidRPr="005D3E76">
        <w:rPr>
          <w:sz w:val="24"/>
          <w:szCs w:val="24"/>
        </w:rPr>
        <w:t xml:space="preserve">. Так, номинальные денежные доходы населения </w:t>
      </w:r>
      <w:r>
        <w:rPr>
          <w:sz w:val="24"/>
          <w:szCs w:val="24"/>
        </w:rPr>
        <w:t xml:space="preserve">сократились на 24,6% </w:t>
      </w:r>
      <w:r w:rsidRPr="005D3E76">
        <w:rPr>
          <w:color w:val="000000"/>
          <w:sz w:val="24"/>
          <w:szCs w:val="24"/>
        </w:rPr>
        <w:t>и сложились в сумме</w:t>
      </w:r>
      <w:r w:rsidRPr="005D3E76">
        <w:rPr>
          <w:sz w:val="24"/>
          <w:szCs w:val="24"/>
        </w:rPr>
        <w:t xml:space="preserve"> </w:t>
      </w:r>
      <w:r>
        <w:rPr>
          <w:sz w:val="24"/>
          <w:szCs w:val="24"/>
        </w:rPr>
        <w:t>11 011,0</w:t>
      </w:r>
      <w:r w:rsidRPr="005D3E76">
        <w:rPr>
          <w:sz w:val="24"/>
          <w:szCs w:val="24"/>
        </w:rPr>
        <w:t xml:space="preserve"> млн руб. </w:t>
      </w:r>
      <w:r w:rsidRPr="005D3E76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992,0</w:t>
      </w:r>
      <w:r w:rsidRPr="005D3E76">
        <w:rPr>
          <w:color w:val="000000"/>
          <w:sz w:val="24"/>
          <w:szCs w:val="24"/>
        </w:rPr>
        <w:t xml:space="preserve"> млн долл.), из которых после уплаты различных платежей и взносов в личном распоряжении граждан</w:t>
      </w:r>
      <w:r w:rsidRPr="005D3E76">
        <w:rPr>
          <w:rStyle w:val="FootnoteReference"/>
          <w:color w:val="000000"/>
          <w:sz w:val="24"/>
          <w:szCs w:val="24"/>
        </w:rPr>
        <w:footnoteReference w:id="3"/>
      </w:r>
      <w:r w:rsidRPr="005D3E76">
        <w:rPr>
          <w:color w:val="000000"/>
          <w:sz w:val="24"/>
          <w:szCs w:val="24"/>
        </w:rPr>
        <w:t xml:space="preserve"> оставалось </w:t>
      </w:r>
      <w:r>
        <w:rPr>
          <w:color w:val="000000"/>
          <w:sz w:val="24"/>
          <w:szCs w:val="24"/>
        </w:rPr>
        <w:t>10 017,0</w:t>
      </w:r>
      <w:r w:rsidRPr="005D3E76">
        <w:rPr>
          <w:color w:val="000000"/>
          <w:sz w:val="24"/>
          <w:szCs w:val="24"/>
        </w:rPr>
        <w:t xml:space="preserve"> млн руб. (</w:t>
      </w:r>
      <w:r>
        <w:rPr>
          <w:color w:val="000000"/>
          <w:sz w:val="24"/>
          <w:szCs w:val="24"/>
        </w:rPr>
        <w:t xml:space="preserve">902,4 </w:t>
      </w:r>
      <w:r w:rsidRPr="005D3E76">
        <w:rPr>
          <w:color w:val="000000"/>
          <w:sz w:val="24"/>
          <w:szCs w:val="24"/>
        </w:rPr>
        <w:t xml:space="preserve">млн долл.). </w:t>
      </w:r>
    </w:p>
    <w:p w:rsidR="00635258" w:rsidRPr="005D3E76" w:rsidRDefault="00635258" w:rsidP="00D41471">
      <w:pPr>
        <w:autoSpaceDE w:val="0"/>
        <w:autoSpaceDN w:val="0"/>
        <w:adjustRightInd w:val="0"/>
        <w:ind w:firstLine="425"/>
        <w:jc w:val="both"/>
        <w:rPr>
          <w:color w:val="000000"/>
          <w:sz w:val="24"/>
          <w:szCs w:val="24"/>
        </w:rPr>
      </w:pPr>
      <w:r w:rsidRPr="005D3E76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5D3E76">
        <w:rPr>
          <w:color w:val="000000"/>
          <w:sz w:val="24"/>
          <w:szCs w:val="24"/>
        </w:rPr>
        <w:t>среднем</w:t>
      </w:r>
      <w:r>
        <w:rPr>
          <w:color w:val="000000"/>
          <w:sz w:val="24"/>
          <w:szCs w:val="24"/>
        </w:rPr>
        <w:t xml:space="preserve"> </w:t>
      </w:r>
      <w:r w:rsidRPr="005D3E76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5D3E76">
        <w:rPr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 w:rsidRPr="005D3E76">
        <w:rPr>
          <w:color w:val="000000"/>
          <w:sz w:val="24"/>
          <w:szCs w:val="24"/>
        </w:rPr>
        <w:t>денежные</w:t>
      </w:r>
      <w:r>
        <w:rPr>
          <w:color w:val="000000"/>
          <w:sz w:val="24"/>
          <w:szCs w:val="24"/>
        </w:rPr>
        <w:t xml:space="preserve"> </w:t>
      </w:r>
      <w:r w:rsidRPr="005D3E76">
        <w:rPr>
          <w:color w:val="000000"/>
          <w:sz w:val="24"/>
          <w:szCs w:val="24"/>
        </w:rPr>
        <w:t xml:space="preserve">доходы составили </w:t>
      </w:r>
      <w:r>
        <w:rPr>
          <w:color w:val="000000"/>
          <w:sz w:val="24"/>
          <w:szCs w:val="24"/>
        </w:rPr>
        <w:t>1 835,2</w:t>
      </w:r>
      <w:r w:rsidRPr="005D3E76">
        <w:rPr>
          <w:color w:val="000000"/>
          <w:sz w:val="24"/>
          <w:szCs w:val="24"/>
        </w:rPr>
        <w:t xml:space="preserve"> руб. (порядка </w:t>
      </w:r>
      <w:r>
        <w:rPr>
          <w:color w:val="000000"/>
          <w:sz w:val="24"/>
          <w:szCs w:val="24"/>
        </w:rPr>
        <w:t>165,3</w:t>
      </w:r>
      <w:r w:rsidRPr="005D3E76">
        <w:rPr>
          <w:color w:val="000000"/>
          <w:sz w:val="24"/>
          <w:szCs w:val="24"/>
        </w:rPr>
        <w:t xml:space="preserve"> долл.) в месяц против </w:t>
      </w:r>
      <w:r>
        <w:rPr>
          <w:color w:val="000000"/>
          <w:sz w:val="24"/>
          <w:szCs w:val="24"/>
        </w:rPr>
        <w:t>2 425,5</w:t>
      </w:r>
      <w:r w:rsidRPr="005D3E76">
        <w:rPr>
          <w:color w:val="000000"/>
          <w:sz w:val="24"/>
          <w:szCs w:val="24"/>
        </w:rPr>
        <w:t xml:space="preserve"> руб. (</w:t>
      </w:r>
      <w:r>
        <w:rPr>
          <w:color w:val="000000"/>
          <w:sz w:val="24"/>
          <w:szCs w:val="24"/>
        </w:rPr>
        <w:t>218,5</w:t>
      </w:r>
      <w:r w:rsidRPr="005D3E76">
        <w:rPr>
          <w:color w:val="000000"/>
          <w:sz w:val="24"/>
          <w:szCs w:val="24"/>
        </w:rPr>
        <w:t xml:space="preserve"> долл.) годом ранее. </w:t>
      </w:r>
    </w:p>
    <w:p w:rsidR="00635258" w:rsidRPr="005D3E76" w:rsidRDefault="00635258" w:rsidP="00D41471">
      <w:pPr>
        <w:widowControl w:val="0"/>
        <w:ind w:firstLine="425"/>
        <w:jc w:val="both"/>
        <w:rPr>
          <w:sz w:val="24"/>
          <w:szCs w:val="24"/>
        </w:rPr>
      </w:pPr>
      <w:r w:rsidRPr="005D3E76">
        <w:rPr>
          <w:sz w:val="24"/>
          <w:szCs w:val="24"/>
        </w:rPr>
        <w:t>Столь высокие темпы спада среднедушевых доходов (-</w:t>
      </w:r>
      <w:r>
        <w:rPr>
          <w:sz w:val="24"/>
          <w:szCs w:val="24"/>
        </w:rPr>
        <w:t>24,3</w:t>
      </w:r>
      <w:r w:rsidRPr="005D3E76">
        <w:rPr>
          <w:sz w:val="24"/>
          <w:szCs w:val="24"/>
        </w:rPr>
        <w:t>%) обусловили уменьшение их покупательной способности с 1,</w:t>
      </w:r>
      <w:r>
        <w:rPr>
          <w:sz w:val="24"/>
          <w:szCs w:val="24"/>
        </w:rPr>
        <w:t xml:space="preserve">84 до 1,42 </w:t>
      </w:r>
      <w:r w:rsidRPr="005D3E76">
        <w:rPr>
          <w:sz w:val="24"/>
          <w:szCs w:val="24"/>
        </w:rPr>
        <w:t xml:space="preserve">набора прожиточного минимума, средняя величина которого </w:t>
      </w:r>
      <w:r>
        <w:rPr>
          <w:sz w:val="24"/>
          <w:szCs w:val="24"/>
        </w:rPr>
        <w:t>сложилась на отметке 1 295,2 руб. (-1,7%</w:t>
      </w:r>
      <w:r w:rsidRPr="005D3E76">
        <w:rPr>
          <w:sz w:val="24"/>
          <w:szCs w:val="24"/>
        </w:rPr>
        <w:t xml:space="preserve">). </w:t>
      </w:r>
    </w:p>
    <w:p w:rsidR="00635258" w:rsidRPr="005D3E76" w:rsidRDefault="00635258" w:rsidP="00D41471">
      <w:pPr>
        <w:widowControl w:val="0"/>
        <w:ind w:firstLine="425"/>
        <w:jc w:val="both"/>
        <w:rPr>
          <w:sz w:val="24"/>
          <w:szCs w:val="24"/>
        </w:rPr>
      </w:pPr>
      <w:r w:rsidRPr="005D3E76">
        <w:rPr>
          <w:sz w:val="24"/>
          <w:szCs w:val="24"/>
        </w:rPr>
        <w:t xml:space="preserve">Определяющее влияние на </w:t>
      </w:r>
      <w:r>
        <w:rPr>
          <w:sz w:val="24"/>
          <w:szCs w:val="24"/>
        </w:rPr>
        <w:t>скорость</w:t>
      </w:r>
      <w:r w:rsidRPr="005D3E76">
        <w:rPr>
          <w:sz w:val="24"/>
          <w:szCs w:val="24"/>
        </w:rPr>
        <w:t xml:space="preserve"> сокращения совокупного показателя оказала динамика поступлени</w:t>
      </w:r>
      <w:r>
        <w:rPr>
          <w:sz w:val="24"/>
          <w:szCs w:val="24"/>
        </w:rPr>
        <w:t xml:space="preserve">й от продажи иностранной валюты, объём которых за рассматриваемый период </w:t>
      </w:r>
      <w:r w:rsidRPr="005D3E76">
        <w:rPr>
          <w:sz w:val="24"/>
          <w:szCs w:val="24"/>
        </w:rPr>
        <w:t>снизился практически вдвое до</w:t>
      </w:r>
      <w:r>
        <w:rPr>
          <w:sz w:val="24"/>
          <w:szCs w:val="24"/>
        </w:rPr>
        <w:t xml:space="preserve"> 2 209,1</w:t>
      </w:r>
      <w:r w:rsidRPr="005D3E76">
        <w:rPr>
          <w:sz w:val="24"/>
          <w:szCs w:val="24"/>
        </w:rPr>
        <w:t xml:space="preserve"> млн руб., что соответствует 20,</w:t>
      </w:r>
      <w:r>
        <w:rPr>
          <w:sz w:val="24"/>
          <w:szCs w:val="24"/>
        </w:rPr>
        <w:t>1</w:t>
      </w:r>
      <w:r w:rsidRPr="005D3E76">
        <w:rPr>
          <w:sz w:val="24"/>
          <w:szCs w:val="24"/>
        </w:rPr>
        <w:t>% (-</w:t>
      </w:r>
      <w:r>
        <w:rPr>
          <w:sz w:val="24"/>
          <w:szCs w:val="24"/>
        </w:rPr>
        <w:t>7,1</w:t>
      </w:r>
      <w:r w:rsidRPr="005D3E76">
        <w:rPr>
          <w:sz w:val="24"/>
          <w:szCs w:val="24"/>
        </w:rPr>
        <w:t xml:space="preserve"> п.п.) доходов населения.</w:t>
      </w:r>
    </w:p>
    <w:p w:rsidR="00635258" w:rsidRPr="005D3E76" w:rsidRDefault="00635258" w:rsidP="00D41471">
      <w:pPr>
        <w:widowControl w:val="0"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5D3E76">
        <w:rPr>
          <w:sz w:val="24"/>
          <w:szCs w:val="24"/>
        </w:rPr>
        <w:t xml:space="preserve">В то же время основной удельный вес в структуре </w:t>
      </w:r>
      <w:r>
        <w:rPr>
          <w:sz w:val="24"/>
          <w:szCs w:val="24"/>
        </w:rPr>
        <w:t>совокупного показателя</w:t>
      </w:r>
      <w:r w:rsidRPr="005D3E76">
        <w:rPr>
          <w:sz w:val="24"/>
          <w:szCs w:val="24"/>
        </w:rPr>
        <w:t xml:space="preserve"> пришёлся на заработную плату, котор</w:t>
      </w:r>
      <w:r>
        <w:rPr>
          <w:sz w:val="24"/>
          <w:szCs w:val="24"/>
        </w:rPr>
        <w:t>ый</w:t>
      </w:r>
      <w:r w:rsidRPr="005D3E76">
        <w:rPr>
          <w:sz w:val="24"/>
          <w:szCs w:val="24"/>
        </w:rPr>
        <w:t xml:space="preserve"> ввиду уменьшения вклада других составляющих в отчётном периоде расширился на </w:t>
      </w:r>
      <w:r>
        <w:rPr>
          <w:sz w:val="24"/>
          <w:szCs w:val="24"/>
        </w:rPr>
        <w:t>6,0</w:t>
      </w:r>
      <w:r w:rsidRPr="005D3E76">
        <w:rPr>
          <w:sz w:val="24"/>
          <w:szCs w:val="24"/>
        </w:rPr>
        <w:t xml:space="preserve"> п.п. до 43,3%. При этом совокупный объём фонда начисленной заработной платы всех работающих по сравнению с базисным </w:t>
      </w:r>
      <w:r>
        <w:rPr>
          <w:sz w:val="24"/>
          <w:szCs w:val="24"/>
        </w:rPr>
        <w:t>уровнем</w:t>
      </w:r>
      <w:r w:rsidRPr="005D3E76">
        <w:rPr>
          <w:sz w:val="24"/>
          <w:szCs w:val="24"/>
        </w:rPr>
        <w:t xml:space="preserve"> сократился на </w:t>
      </w:r>
      <w:r>
        <w:rPr>
          <w:sz w:val="24"/>
          <w:szCs w:val="24"/>
        </w:rPr>
        <w:t>8,2% до 5 052,0</w:t>
      </w:r>
      <w:r w:rsidRPr="005D3E76">
        <w:rPr>
          <w:sz w:val="24"/>
          <w:szCs w:val="24"/>
        </w:rPr>
        <w:t xml:space="preserve"> млн руб.</w:t>
      </w:r>
    </w:p>
    <w:p w:rsidR="00635258" w:rsidRPr="003A2BEB" w:rsidRDefault="00635258" w:rsidP="00D41471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5D3E76">
        <w:rPr>
          <w:sz w:val="24"/>
          <w:szCs w:val="24"/>
        </w:rPr>
        <w:t xml:space="preserve">Согласно оценке Государственной службы статистики Министерства экономического развития ПМР, среднемесячная заработная плата одного работника в целом по экономике, включая субъекты малого предпринимательства, сложилась на </w:t>
      </w:r>
      <w:r>
        <w:rPr>
          <w:sz w:val="24"/>
          <w:szCs w:val="24"/>
        </w:rPr>
        <w:t>отметке</w:t>
      </w:r>
      <w:r w:rsidRPr="005D3E76">
        <w:rPr>
          <w:sz w:val="24"/>
          <w:szCs w:val="24"/>
        </w:rPr>
        <w:t xml:space="preserve"> </w:t>
      </w:r>
      <w:r>
        <w:rPr>
          <w:sz w:val="24"/>
          <w:szCs w:val="24"/>
        </w:rPr>
        <w:t>3 805,0</w:t>
      </w:r>
      <w:r w:rsidRPr="005D3E76">
        <w:rPr>
          <w:sz w:val="24"/>
          <w:szCs w:val="24"/>
        </w:rPr>
        <w:t> руб., что в номинальном выражении на 3,</w:t>
      </w:r>
      <w:r>
        <w:rPr>
          <w:sz w:val="24"/>
          <w:szCs w:val="24"/>
        </w:rPr>
        <w:t>5</w:t>
      </w:r>
      <w:r w:rsidRPr="005D3E76">
        <w:rPr>
          <w:sz w:val="24"/>
          <w:szCs w:val="24"/>
        </w:rPr>
        <w:t>% ниже базисного значения, а с учётом дефляции – на 2</w:t>
      </w:r>
      <w:r>
        <w:rPr>
          <w:sz w:val="24"/>
          <w:szCs w:val="24"/>
        </w:rPr>
        <w:t>,6</w:t>
      </w:r>
      <w:r w:rsidRPr="005D3E76">
        <w:rPr>
          <w:sz w:val="24"/>
          <w:szCs w:val="24"/>
        </w:rPr>
        <w:t xml:space="preserve">%. </w:t>
      </w:r>
      <w:r w:rsidRPr="003A2BEB">
        <w:rPr>
          <w:sz w:val="24"/>
          <w:szCs w:val="24"/>
        </w:rPr>
        <w:t>При этом оплата труда у работающих на крупных предприятиях составила 3 865,0 руб., сократившись на 4,2%, в том числе в секторе материального производства – 4 575,0 руб. (на 4,7%), в непроизводственной сфере – 3</w:t>
      </w:r>
      <w:r>
        <w:rPr>
          <w:sz w:val="24"/>
          <w:szCs w:val="24"/>
        </w:rPr>
        <w:t> </w:t>
      </w:r>
      <w:r w:rsidRPr="003A2BEB">
        <w:rPr>
          <w:sz w:val="24"/>
          <w:szCs w:val="24"/>
        </w:rPr>
        <w:t>144</w:t>
      </w:r>
      <w:r>
        <w:rPr>
          <w:sz w:val="24"/>
          <w:szCs w:val="24"/>
        </w:rPr>
        <w:t>,0</w:t>
      </w:r>
      <w:r w:rsidRPr="003A2BEB">
        <w:rPr>
          <w:sz w:val="24"/>
          <w:szCs w:val="24"/>
        </w:rPr>
        <w:t xml:space="preserve"> руб. (на 3,0%). Занятые в малом бизнесе получали в месяц в среднем 3 360,1 руб., что на 2,0% больше, чем год назад. </w:t>
      </w:r>
    </w:p>
    <w:p w:rsidR="00635258" w:rsidRPr="005D3E76" w:rsidRDefault="00635258" w:rsidP="00D41471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5D3E76">
        <w:rPr>
          <w:sz w:val="24"/>
          <w:szCs w:val="24"/>
        </w:rPr>
        <w:t>Вследствие более высокой скорости сокращения оплаты труда по сравнению с темпами уменьшения прожиточного минимум</w:t>
      </w:r>
      <w:r>
        <w:rPr>
          <w:sz w:val="24"/>
          <w:szCs w:val="24"/>
        </w:rPr>
        <w:t>а трудоспособного человека (-1,8</w:t>
      </w:r>
      <w:r w:rsidRPr="005D3E76">
        <w:rPr>
          <w:sz w:val="24"/>
          <w:szCs w:val="24"/>
        </w:rPr>
        <w:t>% до 1 3</w:t>
      </w:r>
      <w:r>
        <w:rPr>
          <w:sz w:val="24"/>
          <w:szCs w:val="24"/>
        </w:rPr>
        <w:t>7</w:t>
      </w:r>
      <w:r w:rsidRPr="005D3E76">
        <w:rPr>
          <w:sz w:val="24"/>
          <w:szCs w:val="24"/>
        </w:rPr>
        <w:t>8,</w:t>
      </w:r>
      <w:r>
        <w:rPr>
          <w:sz w:val="24"/>
          <w:szCs w:val="24"/>
        </w:rPr>
        <w:t>1</w:t>
      </w:r>
      <w:r w:rsidRPr="005D3E76">
        <w:rPr>
          <w:sz w:val="24"/>
          <w:szCs w:val="24"/>
        </w:rPr>
        <w:t xml:space="preserve"> руб.) покупательная способность заработной </w:t>
      </w:r>
      <w:r>
        <w:rPr>
          <w:sz w:val="24"/>
          <w:szCs w:val="24"/>
        </w:rPr>
        <w:t xml:space="preserve">платы по итогам </w:t>
      </w:r>
      <w:r w:rsidRPr="005D3E76">
        <w:rPr>
          <w:sz w:val="24"/>
          <w:szCs w:val="24"/>
        </w:rPr>
        <w:t>2015 года снизилась до 2</w:t>
      </w:r>
      <w:r>
        <w:rPr>
          <w:sz w:val="24"/>
          <w:szCs w:val="24"/>
        </w:rPr>
        <w:t>,8</w:t>
      </w:r>
      <w:r w:rsidRPr="005D3E76">
        <w:rPr>
          <w:sz w:val="24"/>
          <w:szCs w:val="24"/>
        </w:rPr>
        <w:t xml:space="preserve"> наборов прожиточного минимума (</w:t>
      </w:r>
      <w:r>
        <w:rPr>
          <w:sz w:val="24"/>
          <w:szCs w:val="24"/>
        </w:rPr>
        <w:t>-0,1 пункт</w:t>
      </w:r>
      <w:r w:rsidRPr="005D3E76">
        <w:rPr>
          <w:sz w:val="24"/>
          <w:szCs w:val="24"/>
        </w:rPr>
        <w:t xml:space="preserve">). </w:t>
      </w:r>
    </w:p>
    <w:p w:rsidR="00635258" w:rsidRPr="005D3E76" w:rsidRDefault="00635258" w:rsidP="00D41471">
      <w:pPr>
        <w:widowControl w:val="0"/>
        <w:ind w:firstLine="425"/>
        <w:jc w:val="both"/>
        <w:rPr>
          <w:sz w:val="24"/>
          <w:szCs w:val="24"/>
        </w:rPr>
      </w:pPr>
      <w:r w:rsidRPr="005D3E76">
        <w:rPr>
          <w:sz w:val="24"/>
          <w:szCs w:val="24"/>
        </w:rPr>
        <w:t>Наиболее острая ситуация складывалась в бюджетной сфере. Номинальн</w:t>
      </w:r>
      <w:r>
        <w:rPr>
          <w:sz w:val="24"/>
          <w:szCs w:val="24"/>
        </w:rPr>
        <w:t>ая начисленная заработная плата</w:t>
      </w:r>
      <w:r w:rsidRPr="005D3E76">
        <w:rPr>
          <w:sz w:val="24"/>
          <w:szCs w:val="24"/>
        </w:rPr>
        <w:t xml:space="preserve"> работающих в данном секторе по сравнению с базисным уровнем практически не изменилась и в среднем составляла 2 6</w:t>
      </w:r>
      <w:r>
        <w:rPr>
          <w:sz w:val="24"/>
          <w:szCs w:val="24"/>
        </w:rPr>
        <w:t>58</w:t>
      </w:r>
      <w:r w:rsidRPr="005D3E76">
        <w:rPr>
          <w:sz w:val="24"/>
          <w:szCs w:val="24"/>
        </w:rPr>
        <w:t>,0 руб., что соответствовало 1,9 наборов прожиточного минимума.</w:t>
      </w:r>
      <w:r>
        <w:rPr>
          <w:sz w:val="24"/>
          <w:szCs w:val="24"/>
        </w:rPr>
        <w:t xml:space="preserve"> П</w:t>
      </w:r>
      <w:r w:rsidRPr="005D3E76">
        <w:rPr>
          <w:sz w:val="24"/>
          <w:szCs w:val="24"/>
        </w:rPr>
        <w:t xml:space="preserve">ринимая во внимание действовавший с марта </w:t>
      </w:r>
      <w:r>
        <w:rPr>
          <w:sz w:val="24"/>
          <w:szCs w:val="24"/>
        </w:rPr>
        <w:t>2015</w:t>
      </w:r>
      <w:r w:rsidRPr="005D3E76">
        <w:rPr>
          <w:sz w:val="24"/>
          <w:szCs w:val="24"/>
        </w:rPr>
        <w:t xml:space="preserve"> года механизм финансирования обязательств государства по оплате труда </w:t>
      </w:r>
      <w:r>
        <w:rPr>
          <w:sz w:val="24"/>
          <w:szCs w:val="24"/>
        </w:rPr>
        <w:t>данной категории работников</w:t>
      </w:r>
      <w:r w:rsidRPr="005D3E76">
        <w:rPr>
          <w:sz w:val="24"/>
          <w:szCs w:val="24"/>
        </w:rPr>
        <w:t xml:space="preserve">, </w:t>
      </w:r>
      <w:r w:rsidRPr="008C3A6A">
        <w:rPr>
          <w:sz w:val="24"/>
          <w:szCs w:val="24"/>
        </w:rPr>
        <w:t xml:space="preserve">по итогам </w:t>
      </w:r>
      <w:r>
        <w:rPr>
          <w:sz w:val="24"/>
          <w:szCs w:val="24"/>
        </w:rPr>
        <w:t>отчётного периода, несмотря на частичное погашение в конце года,</w:t>
      </w:r>
      <w:r w:rsidRPr="005D3E76">
        <w:rPr>
          <w:sz w:val="24"/>
          <w:szCs w:val="24"/>
        </w:rPr>
        <w:t xml:space="preserve"> </w:t>
      </w:r>
      <w:r>
        <w:rPr>
          <w:sz w:val="24"/>
          <w:szCs w:val="24"/>
        </w:rPr>
        <w:t>задолженность по её выплате состави</w:t>
      </w:r>
      <w:r w:rsidRPr="005D3E76">
        <w:rPr>
          <w:sz w:val="24"/>
          <w:szCs w:val="24"/>
        </w:rPr>
        <w:t xml:space="preserve">ла </w:t>
      </w:r>
      <w:r>
        <w:rPr>
          <w:sz w:val="24"/>
          <w:szCs w:val="24"/>
        </w:rPr>
        <w:t>206,5</w:t>
      </w:r>
      <w:r w:rsidRPr="005D3E76">
        <w:rPr>
          <w:sz w:val="24"/>
          <w:szCs w:val="24"/>
        </w:rPr>
        <w:t xml:space="preserve"> млн руб.</w:t>
      </w:r>
    </w:p>
    <w:p w:rsidR="00635258" w:rsidRPr="003A2BEB" w:rsidRDefault="00635258" w:rsidP="00D41471">
      <w:pPr>
        <w:widowControl w:val="0"/>
        <w:ind w:firstLine="425"/>
        <w:jc w:val="both"/>
        <w:rPr>
          <w:sz w:val="24"/>
          <w:szCs w:val="24"/>
        </w:rPr>
      </w:pPr>
      <w:r w:rsidRPr="005D3E76">
        <w:rPr>
          <w:sz w:val="24"/>
          <w:szCs w:val="24"/>
        </w:rPr>
        <w:t>В других сферах экономики сумма долгов по зарплате</w:t>
      </w:r>
      <w:r>
        <w:rPr>
          <w:sz w:val="24"/>
          <w:szCs w:val="24"/>
        </w:rPr>
        <w:t xml:space="preserve"> возросла в 2,3 раза</w:t>
      </w:r>
      <w:r w:rsidRPr="005D3E76">
        <w:rPr>
          <w:sz w:val="24"/>
          <w:szCs w:val="24"/>
        </w:rPr>
        <w:t xml:space="preserve"> </w:t>
      </w:r>
      <w:r>
        <w:rPr>
          <w:sz w:val="24"/>
          <w:szCs w:val="24"/>
        </w:rPr>
        <w:t>и составила 45,6 млн руб.</w:t>
      </w:r>
      <w:r w:rsidRPr="005D3E76">
        <w:rPr>
          <w:sz w:val="24"/>
          <w:szCs w:val="24"/>
        </w:rPr>
        <w:t xml:space="preserve"> </w:t>
      </w:r>
      <w:r w:rsidRPr="003A2BEB">
        <w:rPr>
          <w:sz w:val="24"/>
          <w:szCs w:val="24"/>
        </w:rPr>
        <w:t xml:space="preserve">В целом совокупная задолженность сложилась на отметке 59,9% среднемесячного фонда оплаты труда. Фактически в виде заработной платы за 2015 год было выдано 4 770,0 млн руб. (-12,6%). </w:t>
      </w:r>
    </w:p>
    <w:p w:rsidR="00635258" w:rsidRPr="00DC7221" w:rsidRDefault="00635258" w:rsidP="00D41471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9953E9">
        <w:rPr>
          <w:sz w:val="24"/>
          <w:szCs w:val="24"/>
        </w:rPr>
        <w:t>Основным гарантированным доходом для четверти населе</w:t>
      </w:r>
      <w:r>
        <w:rPr>
          <w:sz w:val="24"/>
          <w:szCs w:val="24"/>
        </w:rPr>
        <w:t xml:space="preserve">ния республики выступает пенсия. </w:t>
      </w:r>
      <w:r w:rsidRPr="005D3E76">
        <w:rPr>
          <w:sz w:val="24"/>
          <w:szCs w:val="24"/>
        </w:rPr>
        <w:t xml:space="preserve">Номинально средний размер пенсии с учётом корректировок и надбавок в отчётном периоде практически не изменился, составив </w:t>
      </w:r>
      <w:r w:rsidRPr="003A2BEB">
        <w:rPr>
          <w:sz w:val="24"/>
          <w:szCs w:val="24"/>
        </w:rPr>
        <w:t>1</w:t>
      </w:r>
      <w:r w:rsidRPr="003A2BEB">
        <w:rPr>
          <w:color w:val="000000"/>
          <w:sz w:val="24"/>
          <w:szCs w:val="24"/>
        </w:rPr>
        <w:t> 332,7 руб.</w:t>
      </w:r>
      <w:r w:rsidRPr="003A2BEB">
        <w:rPr>
          <w:rStyle w:val="FootnoteReference"/>
          <w:color w:val="000000"/>
          <w:sz w:val="24"/>
          <w:szCs w:val="24"/>
        </w:rPr>
        <w:footnoteReference w:id="4"/>
      </w:r>
      <w:r w:rsidRPr="003A2BEB">
        <w:rPr>
          <w:color w:val="000000"/>
          <w:sz w:val="24"/>
          <w:szCs w:val="24"/>
        </w:rPr>
        <w:t xml:space="preserve"> (-1,3%), что</w:t>
      </w:r>
      <w:r w:rsidRPr="003A2BEB">
        <w:rPr>
          <w:sz w:val="24"/>
          <w:szCs w:val="24"/>
        </w:rPr>
        <w:t xml:space="preserve"> на 22,3% выше расчётного значения прожиточного минимума пенсионера (</w:t>
      </w:r>
      <w:r w:rsidRPr="003A2BEB">
        <w:rPr>
          <w:color w:val="000000"/>
          <w:sz w:val="24"/>
          <w:szCs w:val="24"/>
        </w:rPr>
        <w:t>1 089,5</w:t>
      </w:r>
      <w:r w:rsidRPr="003A2BEB">
        <w:rPr>
          <w:sz w:val="24"/>
          <w:szCs w:val="24"/>
        </w:rPr>
        <w:t xml:space="preserve"> руб.).</w:t>
      </w:r>
      <w:r w:rsidRPr="008716AC">
        <w:rPr>
          <w:rFonts w:ascii="Sylfaen" w:hAnsi="Sylfaen" w:cs="Sylfaen"/>
          <w:sz w:val="22"/>
          <w:szCs w:val="22"/>
        </w:rPr>
        <w:t xml:space="preserve"> </w:t>
      </w:r>
      <w:r w:rsidRPr="005D3E76">
        <w:rPr>
          <w:sz w:val="24"/>
          <w:szCs w:val="24"/>
        </w:rPr>
        <w:t xml:space="preserve">Однако в условиях ограниченных финансовых возможностей государства, с марта </w:t>
      </w:r>
      <w:r>
        <w:rPr>
          <w:sz w:val="24"/>
          <w:szCs w:val="24"/>
        </w:rPr>
        <w:t>2015</w:t>
      </w:r>
      <w:r w:rsidRPr="005D3E76">
        <w:rPr>
          <w:sz w:val="24"/>
          <w:szCs w:val="24"/>
        </w:rPr>
        <w:t xml:space="preserve"> года </w:t>
      </w:r>
      <w:r w:rsidRPr="00D41471">
        <w:rPr>
          <w:sz w:val="24"/>
          <w:szCs w:val="24"/>
        </w:rPr>
        <w:t>вплоть до ноября пенсионеры получали 70% от начисленной пенсии (в среднем около 933 руб.). В последний месяц года сформированная перед пенсионерами задолженность была полностью погашена.</w:t>
      </w:r>
      <w:r w:rsidRPr="00DC7221">
        <w:rPr>
          <w:sz w:val="24"/>
          <w:szCs w:val="24"/>
        </w:rPr>
        <w:t xml:space="preserve"> </w:t>
      </w:r>
      <w:r w:rsidRPr="005D3E76">
        <w:rPr>
          <w:sz w:val="24"/>
          <w:szCs w:val="24"/>
        </w:rPr>
        <w:t xml:space="preserve">С учётом дополнительных выплат из средств российской гуманитарной помощи, </w:t>
      </w:r>
      <w:r>
        <w:rPr>
          <w:sz w:val="24"/>
          <w:szCs w:val="24"/>
        </w:rPr>
        <w:t xml:space="preserve">рублёвый эквивалент </w:t>
      </w:r>
      <w:r w:rsidRPr="005D3E76">
        <w:rPr>
          <w:sz w:val="24"/>
          <w:szCs w:val="24"/>
        </w:rPr>
        <w:t>которы</w:t>
      </w:r>
      <w:r>
        <w:rPr>
          <w:sz w:val="24"/>
          <w:szCs w:val="24"/>
        </w:rPr>
        <w:t>х</w:t>
      </w:r>
      <w:r w:rsidRPr="005D3E76">
        <w:rPr>
          <w:sz w:val="24"/>
          <w:szCs w:val="24"/>
        </w:rPr>
        <w:t xml:space="preserve"> вследствие девальвационных процессов в Российской Федерации сократилс</w:t>
      </w:r>
      <w:r>
        <w:rPr>
          <w:sz w:val="24"/>
          <w:szCs w:val="24"/>
        </w:rPr>
        <w:t>я</w:t>
      </w:r>
      <w:r w:rsidRPr="005D3E76">
        <w:rPr>
          <w:sz w:val="24"/>
          <w:szCs w:val="24"/>
        </w:rPr>
        <w:t xml:space="preserve"> на 65 руб. до 100 руб. </w:t>
      </w:r>
      <w:r w:rsidRPr="00DC7221">
        <w:rPr>
          <w:sz w:val="24"/>
          <w:szCs w:val="24"/>
        </w:rPr>
        <w:t xml:space="preserve">Таким образом, за 2015 год в совокупности было выплачено пенсий в объёме 2 665,4 млн руб., что на 8,8% меньше сложившегося годом ранее уровня. </w:t>
      </w:r>
    </w:p>
    <w:p w:rsidR="00635258" w:rsidRPr="00DC7221" w:rsidRDefault="00635258" w:rsidP="00D41471">
      <w:pPr>
        <w:widowControl w:val="0"/>
        <w:ind w:firstLine="425"/>
        <w:jc w:val="both"/>
        <w:rPr>
          <w:sz w:val="24"/>
          <w:szCs w:val="24"/>
        </w:rPr>
      </w:pPr>
      <w:r w:rsidRPr="00DC7221">
        <w:rPr>
          <w:sz w:val="24"/>
          <w:szCs w:val="24"/>
        </w:rPr>
        <w:t>В целом совокупный объём социального финансирования из средств Республиканского бюджета, Единого Государственного фонда социального страхования ПМР и прочих источников составил 2 961,4 млн руб., или 91,5% от уровня предыдущего года.</w:t>
      </w:r>
    </w:p>
    <w:p w:rsidR="00635258" w:rsidRDefault="00635258" w:rsidP="00D41471">
      <w:pPr>
        <w:pStyle w:val="Footer"/>
        <w:widowControl w:val="0"/>
        <w:tabs>
          <w:tab w:val="left" w:pos="900"/>
        </w:tabs>
        <w:ind w:firstLine="425"/>
        <w:jc w:val="both"/>
        <w:rPr>
          <w:sz w:val="24"/>
          <w:szCs w:val="24"/>
        </w:rPr>
      </w:pPr>
      <w:r w:rsidRPr="00DC7221">
        <w:rPr>
          <w:sz w:val="24"/>
          <w:szCs w:val="24"/>
        </w:rPr>
        <w:t xml:space="preserve">На рынке труда сохранилась тенденция сокращения занятых в организованном секторе экономики. Так, численность персонала на промышленных предприятиях уменьшилась на </w:t>
      </w:r>
      <w:r>
        <w:rPr>
          <w:sz w:val="24"/>
          <w:szCs w:val="24"/>
        </w:rPr>
        <w:br/>
      </w:r>
      <w:r w:rsidRPr="00DC7221">
        <w:rPr>
          <w:sz w:val="24"/>
          <w:szCs w:val="24"/>
        </w:rPr>
        <w:t>2 814 человек. Отток кадров произошёл также в сфере народного образования и торговли – на 659 и 629 человек соответственно. Всего за 2015 год принято на работу 18</w:t>
      </w:r>
      <w:r>
        <w:rPr>
          <w:sz w:val="24"/>
          <w:szCs w:val="24"/>
        </w:rPr>
        <w:t> </w:t>
      </w:r>
      <w:r w:rsidRPr="00DC7221">
        <w:rPr>
          <w:sz w:val="24"/>
          <w:szCs w:val="24"/>
        </w:rPr>
        <w:t>455</w:t>
      </w:r>
      <w:r>
        <w:rPr>
          <w:sz w:val="24"/>
          <w:szCs w:val="24"/>
        </w:rPr>
        <w:t xml:space="preserve"> </w:t>
      </w:r>
      <w:r w:rsidRPr="00DC7221">
        <w:rPr>
          <w:sz w:val="24"/>
          <w:szCs w:val="24"/>
        </w:rPr>
        <w:t>человек, из них 786 человека – на вновь созданные и дополнительно введённые рабочие места. Процент замещения выбывших работников новыми кадрами составил 84,1%.</w:t>
      </w:r>
      <w:r>
        <w:rPr>
          <w:sz w:val="24"/>
          <w:szCs w:val="24"/>
        </w:rPr>
        <w:t xml:space="preserve"> </w:t>
      </w:r>
    </w:p>
    <w:p w:rsidR="00635258" w:rsidRPr="00DD686F" w:rsidRDefault="00635258" w:rsidP="00D41471">
      <w:pPr>
        <w:pStyle w:val="artx"/>
        <w:widowControl w:val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686F">
        <w:rPr>
          <w:rFonts w:ascii="Times New Roman" w:hAnsi="Times New Roman" w:cs="Times New Roman"/>
          <w:sz w:val="24"/>
          <w:szCs w:val="24"/>
        </w:rPr>
        <w:t xml:space="preserve">В отчётном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Pr="00DD686F">
        <w:rPr>
          <w:rFonts w:ascii="Times New Roman" w:hAnsi="Times New Roman" w:cs="Times New Roman"/>
          <w:sz w:val="24"/>
          <w:szCs w:val="24"/>
        </w:rPr>
        <w:t xml:space="preserve"> в качестве ищущих работу было зарегистрировано </w:t>
      </w:r>
      <w:r w:rsidRPr="00DC7221">
        <w:rPr>
          <w:rFonts w:ascii="Times New Roman" w:hAnsi="Times New Roman" w:cs="Times New Roman"/>
          <w:sz w:val="24"/>
          <w:szCs w:val="24"/>
        </w:rPr>
        <w:t xml:space="preserve">8 207 </w:t>
      </w:r>
      <w:r w:rsidRPr="00DD686F">
        <w:rPr>
          <w:rFonts w:ascii="Times New Roman" w:hAnsi="Times New Roman" w:cs="Times New Roman"/>
          <w:sz w:val="24"/>
          <w:szCs w:val="24"/>
        </w:rPr>
        <w:t xml:space="preserve">человек, что на четверть меньше соответствующего показателя предыдущего года. Сокращение обращений граждан в территориальные органы Единого государственного фонда социального страхования ПМР обусловлено либо трудоустройством граждан без заключения трудового договора, либо выездом в поисках работы за границу. При этом на фоне снижения дополнительной потребности в работниках, заявленной работодателями в государственные учреждения службы занятости (на </w:t>
      </w:r>
      <w:r>
        <w:rPr>
          <w:rFonts w:ascii="Times New Roman" w:hAnsi="Times New Roman" w:cs="Times New Roman"/>
          <w:sz w:val="24"/>
          <w:szCs w:val="24"/>
        </w:rPr>
        <w:t xml:space="preserve">485 </w:t>
      </w:r>
      <w:r w:rsidRPr="00DD686F">
        <w:rPr>
          <w:rFonts w:ascii="Times New Roman" w:hAnsi="Times New Roman" w:cs="Times New Roman"/>
          <w:sz w:val="24"/>
          <w:szCs w:val="24"/>
        </w:rPr>
        <w:t xml:space="preserve">человек до </w:t>
      </w:r>
      <w:r>
        <w:rPr>
          <w:rFonts w:ascii="Times New Roman" w:hAnsi="Times New Roman" w:cs="Times New Roman"/>
          <w:sz w:val="24"/>
          <w:szCs w:val="24"/>
        </w:rPr>
        <w:t>908</w:t>
      </w:r>
      <w:r w:rsidRPr="00DD686F">
        <w:rPr>
          <w:rFonts w:ascii="Times New Roman" w:hAnsi="Times New Roman" w:cs="Times New Roman"/>
          <w:sz w:val="24"/>
          <w:szCs w:val="24"/>
        </w:rPr>
        <w:t xml:space="preserve"> человек), увеличился коэффициент напряжённости – с </w:t>
      </w:r>
      <w:r>
        <w:rPr>
          <w:rFonts w:ascii="Times New Roman" w:hAnsi="Times New Roman" w:cs="Times New Roman"/>
          <w:sz w:val="24"/>
          <w:szCs w:val="24"/>
        </w:rPr>
        <w:t>3,7</w:t>
      </w:r>
      <w:r w:rsidRPr="00DD686F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DD686F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DD686F">
        <w:rPr>
          <w:rFonts w:ascii="Times New Roman" w:hAnsi="Times New Roman" w:cs="Times New Roman"/>
          <w:sz w:val="24"/>
          <w:szCs w:val="24"/>
        </w:rPr>
        <w:t xml:space="preserve">, что свидетельствует об ухудшении ситуации на рынке труда. В результате официальная безработица в республике фиксируется на уровне </w:t>
      </w:r>
      <w:r>
        <w:rPr>
          <w:rFonts w:ascii="Times New Roman" w:hAnsi="Times New Roman" w:cs="Times New Roman"/>
          <w:sz w:val="24"/>
          <w:szCs w:val="24"/>
        </w:rPr>
        <w:t>2,6</w:t>
      </w:r>
      <w:r w:rsidRPr="00DD686F">
        <w:rPr>
          <w:rFonts w:ascii="Times New Roman" w:hAnsi="Times New Roman" w:cs="Times New Roman"/>
          <w:sz w:val="24"/>
          <w:szCs w:val="24"/>
        </w:rPr>
        <w:t>% экономически активного населения.</w:t>
      </w:r>
    </w:p>
    <w:p w:rsidR="00635258" w:rsidRPr="00DD686F" w:rsidRDefault="00635258" w:rsidP="00D41471">
      <w:pPr>
        <w:widowControl w:val="0"/>
        <w:ind w:firstLine="425"/>
        <w:jc w:val="both"/>
        <w:rPr>
          <w:color w:val="000000"/>
          <w:sz w:val="24"/>
          <w:szCs w:val="24"/>
        </w:rPr>
      </w:pPr>
      <w:r w:rsidRPr="00DD686F">
        <w:rPr>
          <w:color w:val="000000"/>
          <w:sz w:val="24"/>
          <w:szCs w:val="24"/>
        </w:rPr>
        <w:t xml:space="preserve">За отчётный период совокупные денежные расходы граждан составили </w:t>
      </w:r>
      <w:r>
        <w:rPr>
          <w:color w:val="000000"/>
          <w:sz w:val="24"/>
          <w:szCs w:val="24"/>
        </w:rPr>
        <w:br/>
        <w:t xml:space="preserve">11 009,2 </w:t>
      </w:r>
      <w:r w:rsidRPr="00DD686F">
        <w:rPr>
          <w:color w:val="000000"/>
          <w:sz w:val="24"/>
          <w:szCs w:val="24"/>
        </w:rPr>
        <w:t>млн руб., или 1</w:t>
      </w:r>
      <w:r>
        <w:rPr>
          <w:color w:val="000000"/>
          <w:sz w:val="24"/>
          <w:szCs w:val="24"/>
        </w:rPr>
        <w:t> 834,9</w:t>
      </w:r>
      <w:r w:rsidRPr="00DD686F">
        <w:rPr>
          <w:color w:val="000000"/>
          <w:sz w:val="24"/>
          <w:szCs w:val="24"/>
        </w:rPr>
        <w:t xml:space="preserve"> руб. в месяц на душу населения. Таким образом, населением было потрачено на </w:t>
      </w:r>
      <w:r>
        <w:rPr>
          <w:color w:val="000000"/>
          <w:sz w:val="24"/>
          <w:szCs w:val="24"/>
        </w:rPr>
        <w:t>1,8</w:t>
      </w:r>
      <w:r w:rsidRPr="00DD686F">
        <w:rPr>
          <w:color w:val="000000"/>
          <w:sz w:val="24"/>
          <w:szCs w:val="24"/>
        </w:rPr>
        <w:t xml:space="preserve"> млн руб. меньше суммы полученных доходов.</w:t>
      </w:r>
    </w:p>
    <w:p w:rsidR="00635258" w:rsidRPr="00DD686F" w:rsidRDefault="00635258" w:rsidP="00D41471">
      <w:pPr>
        <w:widowControl w:val="0"/>
        <w:ind w:firstLine="425"/>
        <w:jc w:val="both"/>
        <w:rPr>
          <w:sz w:val="24"/>
          <w:szCs w:val="24"/>
        </w:rPr>
      </w:pPr>
      <w:r w:rsidRPr="009953E9">
        <w:rPr>
          <w:sz w:val="24"/>
          <w:szCs w:val="24"/>
        </w:rPr>
        <w:t xml:space="preserve">На текущее потребление было </w:t>
      </w:r>
      <w:r>
        <w:rPr>
          <w:sz w:val="24"/>
          <w:szCs w:val="24"/>
        </w:rPr>
        <w:t>направлено</w:t>
      </w:r>
      <w:r w:rsidRPr="009953E9">
        <w:rPr>
          <w:sz w:val="24"/>
          <w:szCs w:val="24"/>
        </w:rPr>
        <w:t xml:space="preserve"> </w:t>
      </w:r>
      <w:r>
        <w:rPr>
          <w:sz w:val="24"/>
          <w:szCs w:val="24"/>
        </w:rPr>
        <w:t>7 729,5</w:t>
      </w:r>
      <w:r w:rsidRPr="00DD686F">
        <w:rPr>
          <w:sz w:val="24"/>
          <w:szCs w:val="24"/>
        </w:rPr>
        <w:t xml:space="preserve"> </w:t>
      </w:r>
      <w:r w:rsidRPr="009953E9">
        <w:rPr>
          <w:sz w:val="24"/>
          <w:szCs w:val="24"/>
        </w:rPr>
        <w:t xml:space="preserve">млн руб., что на </w:t>
      </w:r>
      <w:r>
        <w:rPr>
          <w:sz w:val="24"/>
          <w:szCs w:val="24"/>
        </w:rPr>
        <w:t>21,1</w:t>
      </w:r>
      <w:r w:rsidRPr="009953E9">
        <w:rPr>
          <w:sz w:val="24"/>
          <w:szCs w:val="24"/>
        </w:rPr>
        <w:t xml:space="preserve">% </w:t>
      </w:r>
      <w:r>
        <w:rPr>
          <w:sz w:val="24"/>
          <w:szCs w:val="24"/>
        </w:rPr>
        <w:t>меньше</w:t>
      </w:r>
      <w:r w:rsidRPr="009953E9">
        <w:rPr>
          <w:sz w:val="24"/>
          <w:szCs w:val="24"/>
        </w:rPr>
        <w:t xml:space="preserve"> базисно</w:t>
      </w:r>
      <w:r>
        <w:rPr>
          <w:sz w:val="24"/>
          <w:szCs w:val="24"/>
        </w:rPr>
        <w:t>го</w:t>
      </w:r>
      <w:r w:rsidRPr="009953E9">
        <w:rPr>
          <w:sz w:val="24"/>
          <w:szCs w:val="24"/>
        </w:rPr>
        <w:t xml:space="preserve"> значени</w:t>
      </w:r>
      <w:r>
        <w:rPr>
          <w:sz w:val="24"/>
          <w:szCs w:val="24"/>
        </w:rPr>
        <w:t>я</w:t>
      </w:r>
      <w:r w:rsidRPr="009953E9">
        <w:rPr>
          <w:sz w:val="24"/>
          <w:szCs w:val="24"/>
        </w:rPr>
        <w:t xml:space="preserve">. </w:t>
      </w:r>
      <w:r w:rsidRPr="00DD686F">
        <w:rPr>
          <w:sz w:val="24"/>
          <w:szCs w:val="24"/>
        </w:rPr>
        <w:t xml:space="preserve">В то же время вследствие более масштабного сужения объёма средств, израсходованных на иные цели, доля потребительских расходов увеличилась на </w:t>
      </w:r>
      <w:r>
        <w:rPr>
          <w:sz w:val="24"/>
          <w:szCs w:val="24"/>
        </w:rPr>
        <w:t>3,2</w:t>
      </w:r>
      <w:r w:rsidRPr="00DD686F">
        <w:rPr>
          <w:sz w:val="24"/>
          <w:szCs w:val="24"/>
        </w:rPr>
        <w:t xml:space="preserve"> п.п. до 7</w:t>
      </w:r>
      <w:r>
        <w:rPr>
          <w:sz w:val="24"/>
          <w:szCs w:val="24"/>
        </w:rPr>
        <w:t>0,</w:t>
      </w:r>
      <w:r w:rsidRPr="00DD686F">
        <w:rPr>
          <w:sz w:val="24"/>
          <w:szCs w:val="24"/>
        </w:rPr>
        <w:t>2%.</w:t>
      </w:r>
      <w:r>
        <w:rPr>
          <w:sz w:val="24"/>
          <w:szCs w:val="24"/>
        </w:rPr>
        <w:t xml:space="preserve"> </w:t>
      </w:r>
      <w:r w:rsidRPr="00DD686F">
        <w:rPr>
          <w:sz w:val="24"/>
          <w:szCs w:val="24"/>
        </w:rPr>
        <w:t xml:space="preserve">Расходы на продовольственные товары составили </w:t>
      </w:r>
      <w:r>
        <w:rPr>
          <w:sz w:val="24"/>
          <w:szCs w:val="24"/>
        </w:rPr>
        <w:t>2 577,6</w:t>
      </w:r>
      <w:r w:rsidRPr="00DD686F">
        <w:rPr>
          <w:sz w:val="24"/>
          <w:szCs w:val="24"/>
        </w:rPr>
        <w:t xml:space="preserve"> млн руб., что на </w:t>
      </w:r>
      <w:r>
        <w:rPr>
          <w:sz w:val="24"/>
          <w:szCs w:val="24"/>
        </w:rPr>
        <w:br/>
        <w:t>651,8</w:t>
      </w:r>
      <w:r w:rsidRPr="00DD686F">
        <w:rPr>
          <w:sz w:val="24"/>
          <w:szCs w:val="24"/>
        </w:rPr>
        <w:t xml:space="preserve"> млн руб. (-</w:t>
      </w:r>
      <w:r>
        <w:rPr>
          <w:sz w:val="24"/>
          <w:szCs w:val="24"/>
        </w:rPr>
        <w:t>20,2</w:t>
      </w:r>
      <w:r w:rsidRPr="00DD686F">
        <w:rPr>
          <w:sz w:val="24"/>
          <w:szCs w:val="24"/>
        </w:rPr>
        <w:t xml:space="preserve">%) ниже базисного уровня, а их доля в совокупном потреблении </w:t>
      </w:r>
      <w:r>
        <w:rPr>
          <w:sz w:val="24"/>
          <w:szCs w:val="24"/>
        </w:rPr>
        <w:t>увеличилась</w:t>
      </w:r>
      <w:r w:rsidRPr="00DD686F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D686F">
        <w:rPr>
          <w:sz w:val="24"/>
          <w:szCs w:val="24"/>
        </w:rPr>
        <w:t>0,4 п.п., сложившись на отметке 33,</w:t>
      </w:r>
      <w:r>
        <w:rPr>
          <w:sz w:val="24"/>
          <w:szCs w:val="24"/>
        </w:rPr>
        <w:t>4</w:t>
      </w:r>
      <w:r w:rsidRPr="00DD686F">
        <w:rPr>
          <w:sz w:val="24"/>
          <w:szCs w:val="24"/>
        </w:rPr>
        <w:t xml:space="preserve">%. На приобретение непродовольственных товаров населением было израсходовано на </w:t>
      </w:r>
      <w:r>
        <w:rPr>
          <w:sz w:val="24"/>
          <w:szCs w:val="24"/>
        </w:rPr>
        <w:t>1 373,8</w:t>
      </w:r>
      <w:r w:rsidRPr="00DD686F">
        <w:rPr>
          <w:sz w:val="24"/>
          <w:szCs w:val="24"/>
        </w:rPr>
        <w:t xml:space="preserve"> млн руб. меньше, чем год назад –</w:t>
      </w:r>
      <w:r>
        <w:rPr>
          <w:sz w:val="24"/>
          <w:szCs w:val="24"/>
        </w:rPr>
        <w:t xml:space="preserve"> </w:t>
      </w:r>
      <w:r w:rsidRPr="00DD686F">
        <w:rPr>
          <w:sz w:val="24"/>
          <w:szCs w:val="24"/>
        </w:rPr>
        <w:t>2</w:t>
      </w:r>
      <w:r>
        <w:rPr>
          <w:sz w:val="24"/>
          <w:szCs w:val="24"/>
        </w:rPr>
        <w:t> 977,6</w:t>
      </w:r>
      <w:r w:rsidRPr="00DD686F">
        <w:rPr>
          <w:sz w:val="24"/>
          <w:szCs w:val="24"/>
        </w:rPr>
        <w:t xml:space="preserve"> млн руб., </w:t>
      </w:r>
      <w:r>
        <w:rPr>
          <w:sz w:val="24"/>
          <w:szCs w:val="24"/>
        </w:rPr>
        <w:t>или 38,5</w:t>
      </w:r>
      <w:r w:rsidRPr="00DD686F">
        <w:rPr>
          <w:sz w:val="24"/>
          <w:szCs w:val="24"/>
        </w:rPr>
        <w:t>% в структуре (-5,</w:t>
      </w:r>
      <w:r>
        <w:rPr>
          <w:sz w:val="24"/>
          <w:szCs w:val="24"/>
        </w:rPr>
        <w:t>9</w:t>
      </w:r>
      <w:r w:rsidRPr="00DD686F">
        <w:rPr>
          <w:sz w:val="24"/>
          <w:szCs w:val="24"/>
        </w:rPr>
        <w:t xml:space="preserve"> п.п.). </w:t>
      </w:r>
    </w:p>
    <w:p w:rsidR="00635258" w:rsidRPr="00136DDC" w:rsidRDefault="00635258" w:rsidP="00D41471">
      <w:pPr>
        <w:widowControl w:val="0"/>
        <w:ind w:firstLine="425"/>
        <w:jc w:val="both"/>
        <w:rPr>
          <w:sz w:val="24"/>
          <w:szCs w:val="24"/>
        </w:rPr>
      </w:pPr>
      <w:r w:rsidRPr="009953E9">
        <w:rPr>
          <w:color w:val="000000"/>
          <w:sz w:val="24"/>
          <w:szCs w:val="24"/>
        </w:rPr>
        <w:t>Сумм</w:t>
      </w:r>
      <w:r>
        <w:rPr>
          <w:color w:val="000000"/>
          <w:sz w:val="24"/>
          <w:szCs w:val="24"/>
        </w:rPr>
        <w:t>а</w:t>
      </w:r>
      <w:r w:rsidRPr="009953E9">
        <w:rPr>
          <w:color w:val="000000"/>
          <w:sz w:val="24"/>
          <w:szCs w:val="24"/>
        </w:rPr>
        <w:t>, потраченн</w:t>
      </w:r>
      <w:r>
        <w:rPr>
          <w:color w:val="000000"/>
          <w:sz w:val="24"/>
          <w:szCs w:val="24"/>
        </w:rPr>
        <w:t>ая</w:t>
      </w:r>
      <w:r w:rsidRPr="009953E9">
        <w:rPr>
          <w:color w:val="000000"/>
          <w:sz w:val="24"/>
          <w:szCs w:val="24"/>
        </w:rPr>
        <w:t xml:space="preserve"> населением на оплату услуг, сложил</w:t>
      </w:r>
      <w:r>
        <w:rPr>
          <w:color w:val="000000"/>
          <w:sz w:val="24"/>
          <w:szCs w:val="24"/>
        </w:rPr>
        <w:t>а</w:t>
      </w:r>
      <w:r w:rsidRPr="009953E9">
        <w:rPr>
          <w:color w:val="000000"/>
          <w:sz w:val="24"/>
          <w:szCs w:val="24"/>
        </w:rPr>
        <w:t xml:space="preserve">сь в размере </w:t>
      </w:r>
      <w:r>
        <w:rPr>
          <w:color w:val="000000"/>
          <w:sz w:val="24"/>
          <w:szCs w:val="24"/>
        </w:rPr>
        <w:t xml:space="preserve">2 174,3 млн руб. </w:t>
      </w:r>
      <w:r>
        <w:rPr>
          <w:color w:val="000000"/>
          <w:sz w:val="24"/>
          <w:szCs w:val="24"/>
        </w:rPr>
        <w:br/>
        <w:t>(-1,7%) и</w:t>
      </w:r>
      <w:r w:rsidRPr="00995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основном </w:t>
      </w:r>
      <w:r w:rsidRPr="009953E9">
        <w:rPr>
          <w:color w:val="000000"/>
          <w:sz w:val="24"/>
          <w:szCs w:val="24"/>
        </w:rPr>
        <w:t>была представлена затратами на оплату жилищно-коммунальны</w:t>
      </w:r>
      <w:r>
        <w:rPr>
          <w:color w:val="000000"/>
          <w:sz w:val="24"/>
          <w:szCs w:val="24"/>
        </w:rPr>
        <w:t>х, транспортных</w:t>
      </w:r>
      <w:r w:rsidRPr="009953E9">
        <w:rPr>
          <w:color w:val="000000"/>
          <w:sz w:val="24"/>
          <w:szCs w:val="24"/>
        </w:rPr>
        <w:t xml:space="preserve"> услуг</w:t>
      </w:r>
      <w:r>
        <w:rPr>
          <w:color w:val="000000"/>
          <w:sz w:val="24"/>
          <w:szCs w:val="24"/>
        </w:rPr>
        <w:t xml:space="preserve"> </w:t>
      </w:r>
      <w:r w:rsidRPr="009953E9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 xml:space="preserve">услуг </w:t>
      </w:r>
      <w:r w:rsidRPr="009953E9">
        <w:rPr>
          <w:color w:val="000000"/>
          <w:sz w:val="24"/>
          <w:szCs w:val="24"/>
        </w:rPr>
        <w:t>связи.</w:t>
      </w:r>
      <w:r>
        <w:rPr>
          <w:color w:val="000000"/>
          <w:sz w:val="24"/>
          <w:szCs w:val="24"/>
        </w:rPr>
        <w:t xml:space="preserve"> </w:t>
      </w:r>
      <w:r w:rsidRPr="00136DDC">
        <w:rPr>
          <w:sz w:val="24"/>
          <w:szCs w:val="24"/>
        </w:rPr>
        <w:t xml:space="preserve">На приобретение наличной иностранной валюты было </w:t>
      </w:r>
      <w:r>
        <w:rPr>
          <w:sz w:val="24"/>
          <w:szCs w:val="24"/>
        </w:rPr>
        <w:t>направлено</w:t>
      </w:r>
      <w:r w:rsidRPr="00136DDC">
        <w:rPr>
          <w:sz w:val="24"/>
          <w:szCs w:val="24"/>
        </w:rPr>
        <w:t xml:space="preserve"> </w:t>
      </w:r>
      <w:r>
        <w:rPr>
          <w:sz w:val="24"/>
          <w:szCs w:val="24"/>
        </w:rPr>
        <w:t>2 611,3</w:t>
      </w:r>
      <w:r w:rsidRPr="00136DDC">
        <w:rPr>
          <w:sz w:val="24"/>
          <w:szCs w:val="24"/>
        </w:rPr>
        <w:t xml:space="preserve"> млн руб., или 2</w:t>
      </w:r>
      <w:r>
        <w:rPr>
          <w:sz w:val="24"/>
          <w:szCs w:val="24"/>
        </w:rPr>
        <w:t>3,7</w:t>
      </w:r>
      <w:r w:rsidRPr="00136DDC">
        <w:rPr>
          <w:sz w:val="24"/>
          <w:szCs w:val="24"/>
        </w:rPr>
        <w:t>% совокупных доходов, что в 1,</w:t>
      </w:r>
      <w:r>
        <w:rPr>
          <w:sz w:val="24"/>
          <w:szCs w:val="24"/>
        </w:rPr>
        <w:t>5</w:t>
      </w:r>
      <w:r w:rsidRPr="00136DDC">
        <w:rPr>
          <w:sz w:val="24"/>
          <w:szCs w:val="24"/>
        </w:rPr>
        <w:t xml:space="preserve"> раза меньше, чем год назад. </w:t>
      </w:r>
    </w:p>
    <w:p w:rsidR="00635258" w:rsidRPr="00136DDC" w:rsidRDefault="00635258" w:rsidP="00FA1021">
      <w:pPr>
        <w:jc w:val="both"/>
        <w:rPr>
          <w:sz w:val="24"/>
          <w:szCs w:val="24"/>
        </w:rPr>
      </w:pPr>
    </w:p>
    <w:p w:rsidR="00635258" w:rsidRPr="003D5CED" w:rsidRDefault="00635258" w:rsidP="00FA1021">
      <w:pPr>
        <w:numPr>
          <w:ilvl w:val="1"/>
          <w:numId w:val="2"/>
        </w:numPr>
        <w:jc w:val="both"/>
        <w:rPr>
          <w:b/>
          <w:bCs/>
          <w:noProof/>
          <w:sz w:val="24"/>
          <w:szCs w:val="24"/>
        </w:rPr>
      </w:pPr>
      <w:r w:rsidRPr="003D5CED">
        <w:rPr>
          <w:b/>
          <w:bCs/>
          <w:noProof/>
          <w:sz w:val="24"/>
          <w:szCs w:val="24"/>
        </w:rPr>
        <w:t xml:space="preserve">ГОСУДАРСТВЕННЫЕ ФИНАНСЫ </w:t>
      </w:r>
    </w:p>
    <w:p w:rsidR="00635258" w:rsidRPr="00491B85" w:rsidRDefault="00635258" w:rsidP="00FA1021">
      <w:pPr>
        <w:spacing w:before="120"/>
        <w:ind w:firstLine="425"/>
        <w:jc w:val="both"/>
        <w:rPr>
          <w:i/>
          <w:iCs/>
          <w:sz w:val="24"/>
          <w:szCs w:val="24"/>
        </w:rPr>
      </w:pPr>
      <w:r w:rsidRPr="00D74FBC">
        <w:rPr>
          <w:i/>
          <w:iCs/>
          <w:sz w:val="24"/>
          <w:szCs w:val="24"/>
        </w:rPr>
        <w:t>Доходная часть</w:t>
      </w:r>
    </w:p>
    <w:p w:rsidR="00635258" w:rsidRPr="00476CD5" w:rsidRDefault="00635258" w:rsidP="00FA1021">
      <w:pPr>
        <w:widowControl w:val="0"/>
        <w:spacing w:before="120"/>
        <w:ind w:firstLine="425"/>
        <w:jc w:val="both"/>
        <w:rPr>
          <w:sz w:val="24"/>
          <w:szCs w:val="24"/>
        </w:rPr>
      </w:pPr>
      <w:r w:rsidRPr="00622910">
        <w:rPr>
          <w:sz w:val="24"/>
          <w:szCs w:val="24"/>
        </w:rPr>
        <w:t>По итогам 2015 года в консолидированный бюджет</w:t>
      </w:r>
      <w:r>
        <w:rPr>
          <w:sz w:val="24"/>
          <w:szCs w:val="24"/>
        </w:rPr>
        <w:t xml:space="preserve"> государства</w:t>
      </w:r>
      <w:r w:rsidRPr="00622910">
        <w:rPr>
          <w:sz w:val="24"/>
          <w:szCs w:val="24"/>
        </w:rPr>
        <w:t xml:space="preserve"> поступило налоговых и неналоговых доходов в сумме </w:t>
      </w:r>
      <w:r>
        <w:rPr>
          <w:sz w:val="24"/>
          <w:szCs w:val="24"/>
        </w:rPr>
        <w:t>2 325,1</w:t>
      </w:r>
      <w:r w:rsidRPr="00622910">
        <w:rPr>
          <w:sz w:val="24"/>
          <w:szCs w:val="24"/>
        </w:rPr>
        <w:t xml:space="preserve"> млн руб. </w:t>
      </w:r>
      <w:r w:rsidRPr="002A0AB4">
        <w:rPr>
          <w:sz w:val="24"/>
          <w:szCs w:val="24"/>
        </w:rPr>
        <w:t xml:space="preserve">В сопоставимой оценке </w:t>
      </w:r>
      <w:r>
        <w:rPr>
          <w:sz w:val="24"/>
          <w:szCs w:val="24"/>
        </w:rPr>
        <w:t>(</w:t>
      </w:r>
      <w:r w:rsidRPr="002C79D2">
        <w:rPr>
          <w:sz w:val="24"/>
          <w:szCs w:val="24"/>
        </w:rPr>
        <w:t>без учёта операции по выпуску в 2014 году долгосрочной бескупонной государственной облигации, а также сумм безвозмездных перечислений)</w:t>
      </w:r>
      <w:r>
        <w:rPr>
          <w:sz w:val="24"/>
          <w:szCs w:val="24"/>
        </w:rPr>
        <w:t xml:space="preserve"> </w:t>
      </w:r>
      <w:r w:rsidRPr="002A0AB4">
        <w:rPr>
          <w:sz w:val="24"/>
          <w:szCs w:val="24"/>
        </w:rPr>
        <w:t xml:space="preserve">доходная часть сократилась на 20,8%, или на </w:t>
      </w:r>
      <w:r>
        <w:rPr>
          <w:sz w:val="24"/>
          <w:szCs w:val="24"/>
        </w:rPr>
        <w:br/>
      </w:r>
      <w:r w:rsidRPr="002A0AB4">
        <w:rPr>
          <w:sz w:val="24"/>
          <w:szCs w:val="24"/>
        </w:rPr>
        <w:t>607,1 млн руб., до 2 312,4 млн</w:t>
      </w:r>
      <w:r w:rsidRPr="00622910">
        <w:rPr>
          <w:sz w:val="24"/>
          <w:szCs w:val="24"/>
        </w:rPr>
        <w:t xml:space="preserve"> руб. </w:t>
      </w:r>
      <w:r w:rsidRPr="00476CD5">
        <w:rPr>
          <w:sz w:val="24"/>
          <w:szCs w:val="24"/>
        </w:rPr>
        <w:t>Зафиксированная глубина спада в большей степени определялась значительным снижением в отчётном периоде перечислений налогов на внешнюю торговлю. При этом остальные укрупнённые статьи доходов (за исключением доходов от предпринимательской деятельности) также характеризовались отставанием от базисных значений. В совокупности объём налоговых доходов консолидированного бюджета сократился на 22,4</w:t>
      </w:r>
      <w:r>
        <w:rPr>
          <w:sz w:val="24"/>
          <w:szCs w:val="24"/>
        </w:rPr>
        <w:t xml:space="preserve">%, или </w:t>
      </w:r>
      <w:r w:rsidRPr="00476CD5">
        <w:rPr>
          <w:sz w:val="24"/>
          <w:szCs w:val="24"/>
        </w:rPr>
        <w:t xml:space="preserve">519,0 млн руб., до 1 797,0 млн руб. </w:t>
      </w:r>
    </w:p>
    <w:p w:rsidR="00635258" w:rsidRPr="00476CD5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 w:rsidRPr="00476CD5">
        <w:rPr>
          <w:sz w:val="24"/>
          <w:szCs w:val="24"/>
        </w:rPr>
        <w:t xml:space="preserve">Основные позиции в фискальных доходах, как и годом ранее, занимал налог на доходы организаций (40,9%, или +8,6 п.п.). В целом поступления по данной статье сложились близкими к базисному уровню (98,2%) в сумме 734,4 млн руб. </w:t>
      </w:r>
    </w:p>
    <w:p w:rsidR="00635258" w:rsidRPr="00253C0D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Неблагоприятные </w:t>
      </w:r>
      <w:r w:rsidRPr="00476CD5">
        <w:rPr>
          <w:sz w:val="24"/>
          <w:szCs w:val="24"/>
        </w:rPr>
        <w:t>условия внешнеэкономической деятельности определили более чем двукратное сокращение совокупного объёма налогов от внешней торговли. Так, импортные пошлины поступили в бюджет в сумме 322,7 млн руб., что на 53,2% меньше базисных параметров. Значительно ниже показателей 2014 года (-24,0%) сложились поступления акцизов – 135,3 млн руб. На фоне сужения производства винно-водочных изделий и пива налоги на производимую и реализуемую в республике подакцизную продукцию снизились на 20,0% (-7,</w:t>
      </w:r>
      <w:r>
        <w:rPr>
          <w:sz w:val="24"/>
          <w:szCs w:val="24"/>
        </w:rPr>
        <w:t>7</w:t>
      </w:r>
      <w:r w:rsidRPr="00476CD5">
        <w:rPr>
          <w:sz w:val="24"/>
          <w:szCs w:val="24"/>
        </w:rPr>
        <w:t xml:space="preserve"> млн руб.) до 30,7 млн руб. </w:t>
      </w:r>
      <w:r w:rsidRPr="00253C0D">
        <w:rPr>
          <w:sz w:val="24"/>
          <w:szCs w:val="24"/>
        </w:rPr>
        <w:t xml:space="preserve">Акцизный сбор на импортируемые в республику товары сократился на 25,7%, или 34,9 млн руб., до 101,1 млн руб. Налог, взимаемый при реализации на территории республики отдельных видов подакцизной продукции (газ, реализуемый в качестве автомобильного топлива), сложился в сумме </w:t>
      </w:r>
      <w:r>
        <w:rPr>
          <w:sz w:val="24"/>
          <w:szCs w:val="24"/>
        </w:rPr>
        <w:t>3,6</w:t>
      </w:r>
      <w:r w:rsidRPr="00253C0D">
        <w:rPr>
          <w:sz w:val="24"/>
          <w:szCs w:val="24"/>
        </w:rPr>
        <w:t xml:space="preserve"> млн руб., или 9</w:t>
      </w:r>
      <w:r>
        <w:rPr>
          <w:sz w:val="24"/>
          <w:szCs w:val="24"/>
        </w:rPr>
        <w:t>6,3</w:t>
      </w:r>
      <w:r w:rsidRPr="00253C0D">
        <w:rPr>
          <w:sz w:val="24"/>
          <w:szCs w:val="24"/>
        </w:rPr>
        <w:t xml:space="preserve">% от базисного уровня. </w:t>
      </w:r>
    </w:p>
    <w:p w:rsidR="00635258" w:rsidRPr="00253C0D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 w:rsidRPr="00253C0D">
        <w:rPr>
          <w:sz w:val="24"/>
          <w:szCs w:val="24"/>
        </w:rPr>
        <w:t>Введение особого механизма финансирования выплат заработных плат в бюджетном секторе, а также сокращение фонда оплаты труда в целом по республике обусловили снижение</w:t>
      </w:r>
      <w:r>
        <w:rPr>
          <w:sz w:val="24"/>
          <w:szCs w:val="24"/>
        </w:rPr>
        <w:t xml:space="preserve"> суммы</w:t>
      </w:r>
      <w:r w:rsidRPr="00253C0D">
        <w:rPr>
          <w:sz w:val="24"/>
          <w:szCs w:val="24"/>
        </w:rPr>
        <w:t xml:space="preserve"> уплаченного подоходного налога с физических лиц на 2</w:t>
      </w:r>
      <w:r>
        <w:rPr>
          <w:sz w:val="24"/>
          <w:szCs w:val="24"/>
        </w:rPr>
        <w:t>1,0</w:t>
      </w:r>
      <w:r w:rsidRPr="00253C0D">
        <w:rPr>
          <w:sz w:val="24"/>
          <w:szCs w:val="24"/>
        </w:rPr>
        <w:t xml:space="preserve">%, или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br/>
        <w:t>92,9</w:t>
      </w:r>
      <w:r w:rsidRPr="00253C0D">
        <w:rPr>
          <w:sz w:val="24"/>
          <w:szCs w:val="24"/>
        </w:rPr>
        <w:t xml:space="preserve"> млн руб., до </w:t>
      </w:r>
      <w:r>
        <w:rPr>
          <w:sz w:val="24"/>
          <w:szCs w:val="24"/>
        </w:rPr>
        <w:t>348,4</w:t>
      </w:r>
      <w:r w:rsidRPr="00253C0D">
        <w:rPr>
          <w:sz w:val="24"/>
          <w:szCs w:val="24"/>
        </w:rPr>
        <w:t xml:space="preserve"> млн руб. </w:t>
      </w:r>
    </w:p>
    <w:p w:rsidR="00635258" w:rsidRPr="00A91B51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 w:rsidRPr="00A91B51">
        <w:rPr>
          <w:sz w:val="24"/>
          <w:szCs w:val="24"/>
        </w:rPr>
        <w:t xml:space="preserve">Платежи за пользование природными ресурсами возросли на 4,7%, или на </w:t>
      </w:r>
      <w:r w:rsidRPr="00A91B51">
        <w:rPr>
          <w:sz w:val="24"/>
          <w:szCs w:val="24"/>
        </w:rPr>
        <w:br/>
        <w:t>5,1 млн руб., до 112,5 млн руб.</w:t>
      </w:r>
      <w:r>
        <w:rPr>
          <w:sz w:val="24"/>
          <w:szCs w:val="24"/>
        </w:rPr>
        <w:t xml:space="preserve"> из них 78,8% </w:t>
      </w:r>
      <w:r w:rsidRPr="00A91B51">
        <w:rPr>
          <w:sz w:val="24"/>
          <w:szCs w:val="24"/>
        </w:rPr>
        <w:t xml:space="preserve">было представлено земельным налогом, который в целом увеличился в 1,3 раза, или на 21,6 млн руб., до 88,6 млн руб. </w:t>
      </w:r>
    </w:p>
    <w:p w:rsidR="00635258" w:rsidRPr="00733B0F" w:rsidRDefault="00635258" w:rsidP="00FA1021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733B0F">
        <w:rPr>
          <w:rFonts w:ascii="Times New Roman" w:hAnsi="Times New Roman" w:cs="Times New Roman"/>
          <w:sz w:val="24"/>
          <w:szCs w:val="24"/>
        </w:rPr>
        <w:t xml:space="preserve">Неналоговые доходы принесли в казну государства 59,3 млн руб., что на 8,7% ниже </w:t>
      </w:r>
      <w:r>
        <w:rPr>
          <w:rFonts w:ascii="Times New Roman" w:hAnsi="Times New Roman" w:cs="Times New Roman"/>
          <w:sz w:val="24"/>
          <w:szCs w:val="24"/>
        </w:rPr>
        <w:t>зачислений средств</w:t>
      </w:r>
      <w:r w:rsidRPr="00733B0F">
        <w:rPr>
          <w:rFonts w:ascii="Times New Roman" w:hAnsi="Times New Roman" w:cs="Times New Roman"/>
          <w:sz w:val="24"/>
          <w:szCs w:val="24"/>
        </w:rPr>
        <w:t xml:space="preserve"> по данной статье в 2014 году. При этом на фоне </w:t>
      </w:r>
      <w:r>
        <w:rPr>
          <w:rFonts w:ascii="Times New Roman" w:hAnsi="Times New Roman" w:cs="Times New Roman"/>
          <w:sz w:val="24"/>
          <w:szCs w:val="24"/>
        </w:rPr>
        <w:t>продажи государственного и муниципального имущества в сумме</w:t>
      </w:r>
      <w:r w:rsidRPr="00733B0F">
        <w:rPr>
          <w:rFonts w:ascii="Times New Roman" w:hAnsi="Times New Roman" w:cs="Times New Roman"/>
          <w:sz w:val="24"/>
          <w:szCs w:val="24"/>
        </w:rPr>
        <w:t xml:space="preserve"> 4,6 млн руб.,</w:t>
      </w:r>
      <w:r>
        <w:rPr>
          <w:rFonts w:ascii="Times New Roman" w:hAnsi="Times New Roman" w:cs="Times New Roman"/>
          <w:sz w:val="24"/>
          <w:szCs w:val="24"/>
        </w:rPr>
        <w:t xml:space="preserve"> или 77,4% от базисного уровня,</w:t>
      </w:r>
      <w:r w:rsidRPr="00733B0F">
        <w:rPr>
          <w:rFonts w:ascii="Times New Roman" w:hAnsi="Times New Roman" w:cs="Times New Roman"/>
          <w:sz w:val="24"/>
          <w:szCs w:val="24"/>
        </w:rPr>
        <w:t xml:space="preserve"> доходы от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3B0F">
        <w:rPr>
          <w:rFonts w:ascii="Times New Roman" w:hAnsi="Times New Roman" w:cs="Times New Roman"/>
          <w:sz w:val="24"/>
          <w:szCs w:val="24"/>
        </w:rPr>
        <w:t xml:space="preserve"> зачислены в размере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3B0F">
        <w:rPr>
          <w:rFonts w:ascii="Times New Roman" w:hAnsi="Times New Roman" w:cs="Times New Roman"/>
          <w:sz w:val="24"/>
          <w:szCs w:val="24"/>
        </w:rPr>
        <w:t xml:space="preserve"> близком к </w:t>
      </w:r>
      <w:r>
        <w:rPr>
          <w:rFonts w:ascii="Times New Roman" w:hAnsi="Times New Roman" w:cs="Times New Roman"/>
          <w:sz w:val="24"/>
          <w:szCs w:val="24"/>
        </w:rPr>
        <w:t>значению предыдущего года</w:t>
      </w:r>
      <w:r w:rsidRPr="00733B0F">
        <w:rPr>
          <w:rFonts w:ascii="Times New Roman" w:hAnsi="Times New Roman" w:cs="Times New Roman"/>
          <w:sz w:val="24"/>
          <w:szCs w:val="24"/>
        </w:rPr>
        <w:t xml:space="preserve"> – 25,2 млн руб. против 26,2 млн руб.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33B0F">
        <w:rPr>
          <w:rFonts w:ascii="Times New Roman" w:hAnsi="Times New Roman" w:cs="Times New Roman"/>
          <w:sz w:val="24"/>
          <w:szCs w:val="24"/>
        </w:rPr>
        <w:t>оступлени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3B0F">
        <w:rPr>
          <w:rFonts w:ascii="Times New Roman" w:hAnsi="Times New Roman" w:cs="Times New Roman"/>
          <w:sz w:val="24"/>
          <w:szCs w:val="24"/>
        </w:rPr>
        <w:t xml:space="preserve"> штрафных санкций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3B0F">
        <w:rPr>
          <w:rFonts w:ascii="Times New Roman" w:hAnsi="Times New Roman" w:cs="Times New Roman"/>
          <w:sz w:val="24"/>
          <w:szCs w:val="24"/>
        </w:rPr>
        <w:t>21,9 млн руб.)</w:t>
      </w:r>
      <w:r>
        <w:rPr>
          <w:rFonts w:ascii="Times New Roman" w:hAnsi="Times New Roman" w:cs="Times New Roman"/>
          <w:sz w:val="24"/>
          <w:szCs w:val="24"/>
        </w:rPr>
        <w:t xml:space="preserve">, а также административные сборы и платежи (7,6 млн руб.) сократились на </w:t>
      </w:r>
      <w:r w:rsidRPr="00733B0F">
        <w:rPr>
          <w:rFonts w:ascii="Times New Roman" w:hAnsi="Times New Roman" w:cs="Times New Roman"/>
          <w:sz w:val="24"/>
          <w:szCs w:val="24"/>
        </w:rPr>
        <w:t>8,4%</w:t>
      </w:r>
      <w:r>
        <w:rPr>
          <w:rFonts w:ascii="Times New Roman" w:hAnsi="Times New Roman" w:cs="Times New Roman"/>
          <w:sz w:val="24"/>
          <w:szCs w:val="24"/>
        </w:rPr>
        <w:t xml:space="preserve"> и 13,4% соответственно.</w:t>
      </w:r>
    </w:p>
    <w:p w:rsidR="00635258" w:rsidRPr="00DC34F7" w:rsidRDefault="00635258" w:rsidP="00FA1021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DC34F7">
        <w:rPr>
          <w:rFonts w:ascii="Times New Roman" w:hAnsi="Times New Roman" w:cs="Times New Roman"/>
          <w:sz w:val="24"/>
          <w:szCs w:val="24"/>
        </w:rPr>
        <w:t>По итогам отчётного периода доходы целевых бюджетных фондов снизились на 27,1% до 237,5 млн руб., а в сопоставимой оценке (без учёта социального стабилизационного фонда) – на 8,2%, сложившись в объёме 234,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34F7">
        <w:rPr>
          <w:rFonts w:ascii="Times New Roman" w:hAnsi="Times New Roman" w:cs="Times New Roman"/>
          <w:sz w:val="24"/>
          <w:szCs w:val="24"/>
        </w:rPr>
        <w:t xml:space="preserve"> млн руб. </w:t>
      </w:r>
      <w:r>
        <w:rPr>
          <w:rFonts w:ascii="Times New Roman" w:hAnsi="Times New Roman" w:cs="Times New Roman"/>
          <w:sz w:val="24"/>
          <w:szCs w:val="24"/>
        </w:rPr>
        <w:t>Наиболее существенно упали</w:t>
      </w:r>
      <w:r w:rsidRPr="00DC34F7">
        <w:rPr>
          <w:rFonts w:ascii="Times New Roman" w:hAnsi="Times New Roman" w:cs="Times New Roman"/>
          <w:sz w:val="24"/>
          <w:szCs w:val="24"/>
        </w:rPr>
        <w:t xml:space="preserve"> зачислени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C34F7">
        <w:rPr>
          <w:rFonts w:ascii="Times New Roman" w:hAnsi="Times New Roman" w:cs="Times New Roman"/>
          <w:sz w:val="24"/>
          <w:szCs w:val="24"/>
        </w:rPr>
        <w:t xml:space="preserve"> в Государственный целевой фонд таможенных органов ПМР на 43,8%, или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C34F7">
        <w:rPr>
          <w:rFonts w:ascii="Times New Roman" w:hAnsi="Times New Roman" w:cs="Times New Roman"/>
          <w:sz w:val="24"/>
          <w:szCs w:val="24"/>
        </w:rPr>
        <w:t xml:space="preserve">29,3 млн руб., до 37,6 млн руб. </w:t>
      </w:r>
      <w:r>
        <w:rPr>
          <w:rFonts w:ascii="Times New Roman" w:hAnsi="Times New Roman" w:cs="Times New Roman"/>
          <w:sz w:val="24"/>
          <w:szCs w:val="24"/>
        </w:rPr>
        <w:t>В 2015 году</w:t>
      </w:r>
      <w:r w:rsidRPr="00DC34F7">
        <w:rPr>
          <w:rFonts w:ascii="Times New Roman" w:hAnsi="Times New Roman" w:cs="Times New Roman"/>
          <w:sz w:val="24"/>
          <w:szCs w:val="24"/>
        </w:rPr>
        <w:t xml:space="preserve"> государственными и муниципальными учреждениями было оказано платных услуг на сумму 218,5 млн руб., что на 2,9%, или </w:t>
      </w:r>
      <w:r>
        <w:rPr>
          <w:rFonts w:ascii="Times New Roman" w:hAnsi="Times New Roman" w:cs="Times New Roman"/>
          <w:sz w:val="24"/>
          <w:szCs w:val="24"/>
        </w:rPr>
        <w:br/>
      </w:r>
      <w:r w:rsidRPr="00DC34F7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34F7">
        <w:rPr>
          <w:rFonts w:ascii="Times New Roman" w:hAnsi="Times New Roman" w:cs="Times New Roman"/>
          <w:sz w:val="24"/>
          <w:szCs w:val="24"/>
        </w:rPr>
        <w:t xml:space="preserve"> млн руб., больше, чем в 2014 году. </w:t>
      </w:r>
    </w:p>
    <w:p w:rsidR="00635258" w:rsidRDefault="00635258" w:rsidP="00FA1021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DC34F7">
        <w:rPr>
          <w:rFonts w:ascii="Times New Roman" w:hAnsi="Times New Roman" w:cs="Times New Roman"/>
          <w:sz w:val="24"/>
          <w:szCs w:val="24"/>
        </w:rPr>
        <w:t xml:space="preserve">Безвозмездные перечисления поступили в сумме </w:t>
      </w:r>
      <w:r>
        <w:rPr>
          <w:rFonts w:ascii="Times New Roman" w:hAnsi="Times New Roman" w:cs="Times New Roman"/>
          <w:sz w:val="24"/>
          <w:szCs w:val="24"/>
        </w:rPr>
        <w:t>12,7</w:t>
      </w:r>
      <w:r w:rsidRPr="00DC34F7">
        <w:rPr>
          <w:rFonts w:ascii="Times New Roman" w:hAnsi="Times New Roman" w:cs="Times New Roman"/>
          <w:sz w:val="24"/>
          <w:szCs w:val="24"/>
        </w:rPr>
        <w:t xml:space="preserve"> млн руб. </w:t>
      </w:r>
    </w:p>
    <w:p w:rsidR="00635258" w:rsidRDefault="00635258" w:rsidP="00FA1021">
      <w:pPr>
        <w:spacing w:before="120" w:after="120"/>
        <w:ind w:left="42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Расходная часть</w:t>
      </w:r>
    </w:p>
    <w:p w:rsidR="00635258" w:rsidRDefault="00635258" w:rsidP="00FA1021">
      <w:pPr>
        <w:ind w:firstLine="425"/>
        <w:jc w:val="both"/>
        <w:rPr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 xml:space="preserve">Сокращение доходов бюджета, а также отсутствие реального источника финансирования бюджетного дефицита определили необходимость экономии средств, выделяемых на исполнение государственных обязательств. Своевременность выплат заработных плат работникам бюджетной сферы достигалась за счёт снижения фактически выплачиваемых сумм и перевода непогашенной части в задолженность государства. Совокупные расходы консолидированного бюджета составили </w:t>
      </w:r>
      <w:r w:rsidRPr="002C5747">
        <w:rPr>
          <w:rStyle w:val="Emphasis"/>
          <w:i w:val="0"/>
          <w:iCs w:val="0"/>
          <w:sz w:val="24"/>
          <w:szCs w:val="24"/>
        </w:rPr>
        <w:t>3</w:t>
      </w:r>
      <w:r>
        <w:rPr>
          <w:rStyle w:val="Emphasis"/>
          <w:i w:val="0"/>
          <w:iCs w:val="0"/>
          <w:sz w:val="24"/>
          <w:szCs w:val="24"/>
        </w:rPr>
        <w:t> 1</w:t>
      </w:r>
      <w:r w:rsidRPr="002C5747">
        <w:rPr>
          <w:rStyle w:val="Emphasis"/>
          <w:i w:val="0"/>
          <w:iCs w:val="0"/>
          <w:sz w:val="24"/>
          <w:szCs w:val="24"/>
        </w:rPr>
        <w:t>04</w:t>
      </w:r>
      <w:r>
        <w:rPr>
          <w:rStyle w:val="Emphasis"/>
          <w:i w:val="0"/>
          <w:iCs w:val="0"/>
          <w:sz w:val="24"/>
          <w:szCs w:val="24"/>
        </w:rPr>
        <w:t>,</w:t>
      </w:r>
      <w:r w:rsidRPr="00D70D7F">
        <w:rPr>
          <w:rStyle w:val="Emphasis"/>
          <w:i w:val="0"/>
          <w:iCs w:val="0"/>
          <w:sz w:val="24"/>
          <w:szCs w:val="24"/>
        </w:rPr>
        <w:t>2</w:t>
      </w:r>
      <w:r>
        <w:rPr>
          <w:rStyle w:val="Emphasis"/>
          <w:i w:val="0"/>
          <w:iCs w:val="0"/>
          <w:sz w:val="24"/>
          <w:szCs w:val="24"/>
        </w:rPr>
        <w:t xml:space="preserve"> млн руб., что на </w:t>
      </w:r>
      <w:r w:rsidRPr="00D70D7F">
        <w:rPr>
          <w:rStyle w:val="Emphasis"/>
          <w:i w:val="0"/>
          <w:iCs w:val="0"/>
          <w:sz w:val="24"/>
          <w:szCs w:val="24"/>
        </w:rPr>
        <w:t>19</w:t>
      </w:r>
      <w:r>
        <w:rPr>
          <w:rStyle w:val="Emphasis"/>
          <w:i w:val="0"/>
          <w:iCs w:val="0"/>
          <w:sz w:val="24"/>
          <w:szCs w:val="24"/>
        </w:rPr>
        <w:t>,</w:t>
      </w:r>
      <w:r w:rsidRPr="00D70D7F">
        <w:rPr>
          <w:rStyle w:val="Emphasis"/>
          <w:i w:val="0"/>
          <w:iCs w:val="0"/>
          <w:sz w:val="24"/>
          <w:szCs w:val="24"/>
        </w:rPr>
        <w:t>2</w:t>
      </w:r>
      <w:r>
        <w:rPr>
          <w:rStyle w:val="Emphasis"/>
          <w:i w:val="0"/>
          <w:iCs w:val="0"/>
          <w:sz w:val="24"/>
          <w:szCs w:val="24"/>
        </w:rPr>
        <w:t xml:space="preserve">% и 14,7% ниже сопоставимых показателей 2014 и 2013 годов соответственно. </w:t>
      </w:r>
    </w:p>
    <w:p w:rsidR="00635258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 w:rsidRPr="00B777B2">
        <w:rPr>
          <w:sz w:val="24"/>
          <w:szCs w:val="24"/>
        </w:rPr>
        <w:t xml:space="preserve">Традиционно первоочерёдному финансированию подлежали социально-защищённые статьи: на выполнение обязательств по выплате заработных плат, пенсий, пособий и иных выплат пришлось </w:t>
      </w:r>
      <w:r>
        <w:rPr>
          <w:sz w:val="24"/>
          <w:szCs w:val="24"/>
        </w:rPr>
        <w:t>2</w:t>
      </w:r>
      <w:r w:rsidRPr="00B777B2">
        <w:rPr>
          <w:sz w:val="24"/>
          <w:szCs w:val="24"/>
        </w:rPr>
        <w:t> </w:t>
      </w:r>
      <w:r>
        <w:rPr>
          <w:sz w:val="24"/>
          <w:szCs w:val="24"/>
        </w:rPr>
        <w:t>398</w:t>
      </w:r>
      <w:r w:rsidRPr="00B777B2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B777B2">
        <w:rPr>
          <w:sz w:val="24"/>
          <w:szCs w:val="24"/>
        </w:rPr>
        <w:t xml:space="preserve"> млн руб., что состав</w:t>
      </w:r>
      <w:r>
        <w:rPr>
          <w:sz w:val="24"/>
          <w:szCs w:val="24"/>
        </w:rPr>
        <w:t>ило</w:t>
      </w:r>
      <w:r w:rsidRPr="00B777B2">
        <w:rPr>
          <w:sz w:val="24"/>
          <w:szCs w:val="24"/>
        </w:rPr>
        <w:t xml:space="preserve"> 7</w:t>
      </w:r>
      <w:r>
        <w:rPr>
          <w:sz w:val="24"/>
          <w:szCs w:val="24"/>
        </w:rPr>
        <w:t>7</w:t>
      </w:r>
      <w:r w:rsidRPr="00B777B2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B777B2">
        <w:rPr>
          <w:sz w:val="24"/>
          <w:szCs w:val="24"/>
        </w:rPr>
        <w:t>% совокупных затрат.</w:t>
      </w:r>
    </w:p>
    <w:p w:rsidR="00635258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финансирования по всем основным направлениям отставали от прошлогодних параметров. На группу «воспроизводство человеческого капитала» пришлось 1 589,8 млн руб. (-19,4% к базисному значению), что составило более половины бюджетных трат (51,2%). Из этой суммы наибольший объём средств был выделен на статью «образование»: 779,0 млн руб., что на 18,4% (или на 175,1 млн руб.) меньше базисного показателя. На социальное обеспечение по итогам года было потрачено 385,5 млн руб. </w:t>
      </w:r>
      <w:r>
        <w:rPr>
          <w:sz w:val="24"/>
          <w:szCs w:val="24"/>
        </w:rPr>
        <w:br/>
        <w:t>(-18,4%), здравоохранение – 360,2 млн руб. (-23,2%). Финансирование организаций культуры и искусства в 2015 году снизилось на 15,0% до 65,0 млн руб.</w:t>
      </w:r>
    </w:p>
    <w:p w:rsidR="00635258" w:rsidRDefault="00635258" w:rsidP="00FA1021">
      <w:pPr>
        <w:widowControl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Порядка 12% совокупных расходов, или 369,4 млн руб. (-8,2%), было направлено на выполнение правоохранительной функции и обеспечение безопасности. На функционирование государства (государственное и местное управление, судебная власть, международная деятельность) в отчётном периоде было выделено 196,1 млн руб., что на 15,7% меньше, чем за предыдущий год. </w:t>
      </w:r>
    </w:p>
    <w:p w:rsidR="00635258" w:rsidRDefault="00635258" w:rsidP="00FA1021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Бюджетная поддержка предприятий отдельных отраслей экономики в сравнении с уровнем 2014 года сократилась на треть до 56,1 млн руб. Расходы на жилищно-коммунальное хозяйство уменьшились на 21,8% до 42,4 млн руб. </w:t>
      </w:r>
    </w:p>
    <w:p w:rsidR="00635258" w:rsidRDefault="00635258" w:rsidP="00FA1021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Сумма средств, перечисленных в виде финансовой помощи бюджетам нижестоящих уровней, сложилась на отметке 77,0 млн руб., что в два раза ниже базисного показателя. Трансферты преимущественно направлялись на выплату заработных плат.</w:t>
      </w:r>
    </w:p>
    <w:p w:rsidR="00635258" w:rsidRDefault="00635258" w:rsidP="00FA1021">
      <w:pPr>
        <w:tabs>
          <w:tab w:val="left" w:pos="6660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чем двукратное сокращение выделяемых ресурсов отмечалось по исполнению целевых программ. Объём ассигнований по данному направлению в 2015 году составил </w:t>
      </w:r>
      <w:r>
        <w:rPr>
          <w:sz w:val="24"/>
          <w:szCs w:val="24"/>
        </w:rPr>
        <w:br/>
        <w:t xml:space="preserve">7,2 млн руб. (против 17,8 млн руб. в 2014 году и 16,9 млн руб. в 2013 году). </w:t>
      </w:r>
    </w:p>
    <w:p w:rsidR="00635258" w:rsidRPr="00CA5D32" w:rsidRDefault="00635258" w:rsidP="00FA102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итоге</w:t>
      </w:r>
      <w:r w:rsidRPr="00CA5D32">
        <w:rPr>
          <w:sz w:val="24"/>
          <w:szCs w:val="24"/>
        </w:rPr>
        <w:t xml:space="preserve"> отрицательное сальдо консолидированного бюджета</w:t>
      </w:r>
      <w:r>
        <w:rPr>
          <w:sz w:val="24"/>
          <w:szCs w:val="24"/>
        </w:rPr>
        <w:t xml:space="preserve"> сложилось на</w:t>
      </w:r>
      <w:r w:rsidRPr="00CA5D32">
        <w:rPr>
          <w:sz w:val="24"/>
          <w:szCs w:val="24"/>
        </w:rPr>
        <w:t xml:space="preserve"> 13,2%</w:t>
      </w:r>
      <w:r>
        <w:rPr>
          <w:sz w:val="24"/>
          <w:szCs w:val="24"/>
        </w:rPr>
        <w:t xml:space="preserve"> ниже показателя 2014 года и составило </w:t>
      </w:r>
      <w:r w:rsidRPr="00CA5D32">
        <w:rPr>
          <w:sz w:val="24"/>
          <w:szCs w:val="24"/>
        </w:rPr>
        <w:t xml:space="preserve">779,1 млн руб. (с учётом средств гуманитарной помощи). При этом степень покрытия расходов консолидированного бюджета фактически поступившими доходами </w:t>
      </w:r>
      <w:r>
        <w:rPr>
          <w:sz w:val="24"/>
          <w:szCs w:val="24"/>
        </w:rPr>
        <w:t>снизилась до</w:t>
      </w:r>
      <w:r w:rsidRPr="00CA5D32">
        <w:rPr>
          <w:sz w:val="24"/>
          <w:szCs w:val="24"/>
        </w:rPr>
        <w:t xml:space="preserve"> 74,9% против 76,6% год назад.</w:t>
      </w:r>
    </w:p>
    <w:p w:rsidR="00635258" w:rsidRPr="00C95A57" w:rsidRDefault="00635258" w:rsidP="00FA1021">
      <w:pPr>
        <w:rPr>
          <w:rFonts w:ascii="Sylfaen" w:hAnsi="Sylfaen" w:cs="Sylfaen"/>
          <w:sz w:val="22"/>
          <w:szCs w:val="22"/>
        </w:rPr>
      </w:pPr>
    </w:p>
    <w:p w:rsidR="00635258" w:rsidRDefault="00635258" w:rsidP="00AA518A">
      <w:pPr>
        <w:numPr>
          <w:ilvl w:val="1"/>
          <w:numId w:val="2"/>
        </w:numPr>
        <w:jc w:val="both"/>
        <w:rPr>
          <w:b/>
          <w:bCs/>
          <w:noProof/>
          <w:sz w:val="24"/>
          <w:szCs w:val="24"/>
        </w:rPr>
      </w:pPr>
      <w:r w:rsidRPr="00FD21E2">
        <w:rPr>
          <w:b/>
          <w:bCs/>
          <w:noProof/>
          <w:sz w:val="24"/>
          <w:szCs w:val="24"/>
        </w:rPr>
        <w:t>ФИНАНСОВЫЙ СЕКТОР</w:t>
      </w:r>
    </w:p>
    <w:p w:rsidR="00635258" w:rsidRPr="00D5262D" w:rsidRDefault="00635258" w:rsidP="00AA518A">
      <w:pPr>
        <w:pStyle w:val="Heading2"/>
        <w:spacing w:before="120"/>
        <w:ind w:left="408" w:firstLine="57"/>
        <w:jc w:val="left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D5262D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Банковская система</w:t>
      </w:r>
    </w:p>
    <w:p w:rsidR="00635258" w:rsidRPr="00526C08" w:rsidRDefault="00635258" w:rsidP="00AA518A">
      <w:pPr>
        <w:pStyle w:val="BodyTextIndent3"/>
        <w:spacing w:after="0"/>
        <w:ind w:left="0" w:firstLine="425"/>
        <w:jc w:val="both"/>
        <w:rPr>
          <w:color w:val="000000"/>
          <w:sz w:val="24"/>
          <w:szCs w:val="24"/>
        </w:rPr>
      </w:pPr>
      <w:r w:rsidRPr="00526C08">
        <w:rPr>
          <w:color w:val="000000"/>
          <w:sz w:val="24"/>
          <w:szCs w:val="24"/>
        </w:rPr>
        <w:t>Стагнация приднестровской экономики и негативные тенденции в социальной сфере определили динамику основных показателей банковского сектора в 2015 году. Совокупная валюта баланса действующих коммерческих банков за отчётный год сократилась ещё на 276,4 млн руб. (-4,5%), сложившись на 1 января 2016 года на уровне 5 860,9 млн руб.</w:t>
      </w:r>
      <w:r>
        <w:rPr>
          <w:color w:val="000000"/>
          <w:sz w:val="24"/>
          <w:szCs w:val="24"/>
        </w:rPr>
        <w:t xml:space="preserve"> (за </w:t>
      </w:r>
      <w:r>
        <w:rPr>
          <w:color w:val="000000"/>
          <w:sz w:val="24"/>
          <w:szCs w:val="24"/>
        </w:rPr>
        <w:br/>
        <w:t>2014 год – -287,9 млн руб., или -4,5%).</w:t>
      </w:r>
    </w:p>
    <w:p w:rsidR="00635258" w:rsidRDefault="00635258" w:rsidP="00AA518A">
      <w:pPr>
        <w:pStyle w:val="BodyTextIndent3"/>
        <w:spacing w:after="0"/>
        <w:ind w:left="0" w:firstLine="425"/>
        <w:jc w:val="both"/>
        <w:rPr>
          <w:color w:val="000000"/>
          <w:sz w:val="24"/>
          <w:szCs w:val="24"/>
        </w:rPr>
      </w:pPr>
      <w:r w:rsidRPr="00926976">
        <w:rPr>
          <w:color w:val="000000"/>
          <w:sz w:val="24"/>
          <w:szCs w:val="24"/>
        </w:rPr>
        <w:t xml:space="preserve">Собственный капитал действующих банков, </w:t>
      </w:r>
      <w:r>
        <w:rPr>
          <w:color w:val="000000"/>
          <w:sz w:val="24"/>
          <w:szCs w:val="24"/>
        </w:rPr>
        <w:t>уменьшившись</w:t>
      </w:r>
      <w:r w:rsidRPr="00926976">
        <w:rPr>
          <w:color w:val="000000"/>
          <w:sz w:val="24"/>
          <w:szCs w:val="24"/>
        </w:rPr>
        <w:t xml:space="preserve"> на 1,4%, или на </w:t>
      </w:r>
      <w:r>
        <w:rPr>
          <w:color w:val="000000"/>
          <w:sz w:val="24"/>
          <w:szCs w:val="24"/>
        </w:rPr>
        <w:br/>
      </w:r>
      <w:r w:rsidRPr="00926976">
        <w:rPr>
          <w:color w:val="000000"/>
          <w:sz w:val="24"/>
          <w:szCs w:val="24"/>
        </w:rPr>
        <w:t>17,9 млн руб., на 1 января 2016 года составил 1 244,9 млн руб., тем самым покрыв 21,2% активов-нетто и 27,0% обязательств. Итоговая динамика была связана большей частью с распределением прибыли и выплатой дивидендов. При этом значение достаточности капитала</w:t>
      </w:r>
      <w:r w:rsidRPr="00926976">
        <w:rPr>
          <w:color w:val="000000"/>
          <w:sz w:val="24"/>
          <w:szCs w:val="24"/>
          <w:vertAlign w:val="superscript"/>
        </w:rPr>
        <w:footnoteReference w:id="6"/>
      </w:r>
      <w:r w:rsidRPr="00926976">
        <w:rPr>
          <w:color w:val="000000"/>
          <w:sz w:val="24"/>
          <w:szCs w:val="24"/>
        </w:rPr>
        <w:t xml:space="preserve"> сохранилось на отметке 68,2%</w:t>
      </w:r>
      <w:r>
        <w:rPr>
          <w:color w:val="000000"/>
          <w:sz w:val="24"/>
          <w:szCs w:val="24"/>
        </w:rPr>
        <w:t>, что</w:t>
      </w:r>
      <w:r w:rsidRPr="00926976">
        <w:rPr>
          <w:color w:val="000000"/>
          <w:sz w:val="24"/>
          <w:szCs w:val="24"/>
        </w:rPr>
        <w:t xml:space="preserve"> в 8,5 раз</w:t>
      </w:r>
      <w:r>
        <w:rPr>
          <w:color w:val="000000"/>
          <w:sz w:val="24"/>
          <w:szCs w:val="24"/>
        </w:rPr>
        <w:t xml:space="preserve"> выше минимально требуемого</w:t>
      </w:r>
      <w:r w:rsidRPr="00926976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С</w:t>
      </w:r>
      <w:r w:rsidRPr="00926976">
        <w:rPr>
          <w:color w:val="000000"/>
          <w:sz w:val="24"/>
          <w:szCs w:val="24"/>
        </w:rPr>
        <w:t xml:space="preserve">овокупный объём акционерного капитала банков </w:t>
      </w:r>
      <w:r>
        <w:rPr>
          <w:color w:val="000000"/>
          <w:sz w:val="24"/>
          <w:szCs w:val="24"/>
        </w:rPr>
        <w:t>на</w:t>
      </w:r>
      <w:r w:rsidRPr="00926976">
        <w:rPr>
          <w:color w:val="000000"/>
          <w:sz w:val="24"/>
          <w:szCs w:val="24"/>
        </w:rPr>
        <w:t xml:space="preserve"> протяжении двух лет </w:t>
      </w:r>
      <w:r>
        <w:rPr>
          <w:color w:val="000000"/>
          <w:sz w:val="24"/>
          <w:szCs w:val="24"/>
        </w:rPr>
        <w:t>остаётся</w:t>
      </w:r>
      <w:r w:rsidRPr="00926976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уровне</w:t>
      </w:r>
      <w:r w:rsidRPr="00926976">
        <w:rPr>
          <w:color w:val="000000"/>
          <w:sz w:val="24"/>
          <w:szCs w:val="24"/>
        </w:rPr>
        <w:t xml:space="preserve"> 1 043,2 млн руб.</w:t>
      </w:r>
    </w:p>
    <w:p w:rsidR="00635258" w:rsidRPr="00926976" w:rsidRDefault="00635258" w:rsidP="00AA518A">
      <w:pPr>
        <w:widowControl w:val="0"/>
        <w:ind w:firstLine="425"/>
        <w:jc w:val="both"/>
        <w:rPr>
          <w:color w:val="000000"/>
          <w:sz w:val="24"/>
          <w:szCs w:val="24"/>
        </w:rPr>
      </w:pPr>
      <w:r w:rsidRPr="00926976">
        <w:rPr>
          <w:color w:val="000000"/>
          <w:sz w:val="24"/>
          <w:szCs w:val="24"/>
        </w:rPr>
        <w:t>Сохранение сложной общеэкономической ситуации в республике отразилось на динамике формирования ресурсной базы</w:t>
      </w:r>
      <w:r>
        <w:rPr>
          <w:color w:val="000000"/>
          <w:sz w:val="24"/>
          <w:szCs w:val="24"/>
        </w:rPr>
        <w:t xml:space="preserve"> банковской системы</w:t>
      </w:r>
      <w:r w:rsidRPr="00926976">
        <w:rPr>
          <w:color w:val="000000"/>
          <w:sz w:val="24"/>
          <w:szCs w:val="24"/>
        </w:rPr>
        <w:t xml:space="preserve">. В 2015 году </w:t>
      </w:r>
      <w:r>
        <w:rPr>
          <w:color w:val="000000"/>
          <w:sz w:val="24"/>
          <w:szCs w:val="24"/>
        </w:rPr>
        <w:t>размер совокупных обязательств</w:t>
      </w:r>
      <w:r w:rsidRPr="00926976">
        <w:rPr>
          <w:color w:val="000000"/>
          <w:sz w:val="24"/>
          <w:szCs w:val="24"/>
        </w:rPr>
        <w:t xml:space="preserve"> продолжил сокращаться</w:t>
      </w:r>
      <w:r>
        <w:rPr>
          <w:color w:val="000000"/>
          <w:sz w:val="24"/>
          <w:szCs w:val="24"/>
        </w:rPr>
        <w:t>: -</w:t>
      </w:r>
      <w:r w:rsidRPr="00926976">
        <w:rPr>
          <w:color w:val="000000"/>
          <w:sz w:val="24"/>
          <w:szCs w:val="24"/>
        </w:rPr>
        <w:t xml:space="preserve">5,3% (-258,5 млн руб.) против -4,2% </w:t>
      </w:r>
      <w:r>
        <w:rPr>
          <w:color w:val="000000"/>
          <w:sz w:val="24"/>
          <w:szCs w:val="24"/>
        </w:rPr>
        <w:br/>
      </w:r>
      <w:r w:rsidRPr="00926976">
        <w:rPr>
          <w:color w:val="000000"/>
          <w:sz w:val="24"/>
          <w:szCs w:val="24"/>
        </w:rPr>
        <w:t>(-216,2 млн руб.) в 2014 году. В целом по состоянию на 1 января 2016 года банками было привлечено средств на сумму 4 616,0 млн руб. (табл. 1.</w:t>
      </w:r>
      <w:r>
        <w:rPr>
          <w:color w:val="000000"/>
          <w:sz w:val="24"/>
          <w:szCs w:val="24"/>
        </w:rPr>
        <w:t>4</w:t>
      </w:r>
      <w:r w:rsidRPr="00926976">
        <w:rPr>
          <w:color w:val="000000"/>
          <w:sz w:val="24"/>
          <w:szCs w:val="24"/>
        </w:rPr>
        <w:t xml:space="preserve">), что соответствует 78,8% валюты баланса-нетто. На фоне незначительного притока средств в приднестровских рублях </w:t>
      </w:r>
      <w:r>
        <w:rPr>
          <w:color w:val="000000"/>
          <w:sz w:val="24"/>
          <w:szCs w:val="24"/>
        </w:rPr>
        <w:br/>
      </w:r>
      <w:r w:rsidRPr="00926976">
        <w:rPr>
          <w:color w:val="000000"/>
          <w:sz w:val="24"/>
          <w:szCs w:val="24"/>
        </w:rPr>
        <w:t xml:space="preserve">(+6,5 млн руб.) активное сокращение обязательств, номинированных в иностранной валюте, (-265,0 млн руб.), обусловило снижение степени валютизации привлечённых ресурсов </w:t>
      </w:r>
      <w:r>
        <w:rPr>
          <w:color w:val="000000"/>
          <w:sz w:val="24"/>
          <w:szCs w:val="24"/>
        </w:rPr>
        <w:br/>
        <w:t xml:space="preserve">на </w:t>
      </w:r>
      <w:r w:rsidRPr="00926976">
        <w:rPr>
          <w:color w:val="000000"/>
          <w:sz w:val="24"/>
          <w:szCs w:val="24"/>
        </w:rPr>
        <w:t>2,2 п.п.</w:t>
      </w:r>
      <w:r>
        <w:rPr>
          <w:color w:val="000000"/>
          <w:sz w:val="24"/>
          <w:szCs w:val="24"/>
        </w:rPr>
        <w:t xml:space="preserve"> до</w:t>
      </w:r>
      <w:r w:rsidRPr="00926976">
        <w:rPr>
          <w:color w:val="000000"/>
          <w:sz w:val="24"/>
          <w:szCs w:val="24"/>
        </w:rPr>
        <w:t xml:space="preserve"> 62,3%.</w:t>
      </w:r>
    </w:p>
    <w:p w:rsidR="00635258" w:rsidRPr="00B62274" w:rsidRDefault="00635258" w:rsidP="00AA518A">
      <w:pPr>
        <w:pStyle w:val="Heading4"/>
        <w:widowControl w:val="0"/>
        <w:spacing w:before="120" w:after="120"/>
        <w:ind w:firstLine="42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22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635258" w:rsidRPr="00B62274" w:rsidRDefault="00635258" w:rsidP="00AA518A">
      <w:pPr>
        <w:pStyle w:val="Heading3"/>
        <w:widowControl w:val="0"/>
        <w:spacing w:after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22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и динамика пассивов коммерческих банков</w:t>
      </w:r>
    </w:p>
    <w:tbl>
      <w:tblPr>
        <w:tblW w:w="9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8"/>
        <w:gridCol w:w="937"/>
        <w:gridCol w:w="938"/>
        <w:gridCol w:w="938"/>
        <w:gridCol w:w="938"/>
        <w:gridCol w:w="1221"/>
        <w:gridCol w:w="991"/>
      </w:tblGrid>
      <w:tr w:rsidR="00635258" w:rsidRPr="00D5262D">
        <w:trPr>
          <w:trHeight w:val="145"/>
        </w:trPr>
        <w:tc>
          <w:tcPr>
            <w:tcW w:w="3668" w:type="dxa"/>
            <w:vMerge w:val="restart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E75364" w:rsidRDefault="00635258" w:rsidP="00BA72FD">
            <w:pPr>
              <w:widowControl w:val="0"/>
              <w:ind w:left="3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shd w:val="clear" w:color="auto" w:fill="CCCCCC"/>
            <w:vAlign w:val="center"/>
          </w:tcPr>
          <w:p w:rsidR="00635258" w:rsidRPr="00E75364" w:rsidRDefault="00635258" w:rsidP="00BA72FD">
            <w:pPr>
              <w:widowControl w:val="0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на 01.01.201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E75364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76" w:type="dxa"/>
            <w:gridSpan w:val="2"/>
            <w:shd w:val="clear" w:color="auto" w:fill="CCCCCC"/>
            <w:vAlign w:val="center"/>
          </w:tcPr>
          <w:p w:rsidR="00635258" w:rsidRPr="00E75364" w:rsidRDefault="00635258" w:rsidP="00BA72FD">
            <w:pPr>
              <w:widowControl w:val="0"/>
              <w:ind w:left="-94" w:right="-101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5364">
              <w:rPr>
                <w:color w:val="000000"/>
                <w:sz w:val="22"/>
                <w:szCs w:val="22"/>
              </w:rPr>
              <w:t>на 01.</w:t>
            </w:r>
            <w:r w:rsidRPr="00E75364">
              <w:rPr>
                <w:color w:val="000000"/>
                <w:sz w:val="22"/>
                <w:szCs w:val="22"/>
                <w:lang w:val="en-US"/>
              </w:rPr>
              <w:t>0</w:t>
            </w:r>
            <w:r w:rsidRPr="00E75364">
              <w:rPr>
                <w:color w:val="000000"/>
                <w:sz w:val="22"/>
                <w:szCs w:val="22"/>
              </w:rPr>
              <w:t>1.201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E75364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21" w:type="dxa"/>
            <w:vMerge w:val="restart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E75364" w:rsidRDefault="00635258" w:rsidP="00BA72FD">
            <w:pPr>
              <w:widowControl w:val="0"/>
              <w:ind w:left="-113" w:right="-96"/>
              <w:jc w:val="center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абсолютная разница,</w:t>
            </w:r>
          </w:p>
          <w:p w:rsidR="00635258" w:rsidRPr="00E75364" w:rsidRDefault="00635258" w:rsidP="00BA72FD">
            <w:pPr>
              <w:widowControl w:val="0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млн руб.</w:t>
            </w:r>
          </w:p>
        </w:tc>
        <w:tc>
          <w:tcPr>
            <w:tcW w:w="991" w:type="dxa"/>
            <w:vMerge w:val="restart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E75364" w:rsidRDefault="00635258" w:rsidP="00BA72FD">
            <w:pPr>
              <w:widowControl w:val="0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темп роста, %</w:t>
            </w:r>
          </w:p>
        </w:tc>
      </w:tr>
      <w:tr w:rsidR="00635258" w:rsidRPr="00D5262D">
        <w:trPr>
          <w:trHeight w:val="388"/>
        </w:trPr>
        <w:tc>
          <w:tcPr>
            <w:tcW w:w="3668" w:type="dxa"/>
            <w:vMerge/>
            <w:tcBorders>
              <w:bottom w:val="double" w:sz="4" w:space="0" w:color="auto"/>
            </w:tcBorders>
            <w:vAlign w:val="center"/>
          </w:tcPr>
          <w:p w:rsidR="00635258" w:rsidRPr="00E75364" w:rsidRDefault="00635258" w:rsidP="00BA72F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E75364" w:rsidRDefault="00635258" w:rsidP="00BA72FD">
            <w:pPr>
              <w:widowControl w:val="0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млн руб.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E75364" w:rsidRDefault="00635258" w:rsidP="00BA72FD">
            <w:pPr>
              <w:widowControl w:val="0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 xml:space="preserve">уд. вес, </w:t>
            </w:r>
          </w:p>
          <w:p w:rsidR="00635258" w:rsidRPr="00E75364" w:rsidRDefault="00635258" w:rsidP="00BA72FD">
            <w:pPr>
              <w:widowControl w:val="0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E75364" w:rsidRDefault="00635258" w:rsidP="00BA72FD">
            <w:pPr>
              <w:widowControl w:val="0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млн руб.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E75364" w:rsidRDefault="00635258" w:rsidP="00BA72FD">
            <w:pPr>
              <w:widowControl w:val="0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 xml:space="preserve">уд. вес, </w:t>
            </w:r>
          </w:p>
          <w:p w:rsidR="00635258" w:rsidRPr="00E75364" w:rsidRDefault="00635258" w:rsidP="00BA72FD">
            <w:pPr>
              <w:widowControl w:val="0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vAlign w:val="center"/>
          </w:tcPr>
          <w:p w:rsidR="00635258" w:rsidRPr="00E75364" w:rsidRDefault="00635258" w:rsidP="00BA72F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</w:tcBorders>
            <w:vAlign w:val="center"/>
          </w:tcPr>
          <w:p w:rsidR="00635258" w:rsidRPr="00E75364" w:rsidRDefault="00635258" w:rsidP="00BA72F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635258" w:rsidRPr="00D5262D">
        <w:trPr>
          <w:trHeight w:val="204"/>
        </w:trPr>
        <w:tc>
          <w:tcPr>
            <w:tcW w:w="366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35258" w:rsidRPr="00E75364" w:rsidRDefault="00635258" w:rsidP="00BA72FD">
            <w:pPr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Валюта баланса - нетто</w:t>
            </w:r>
          </w:p>
        </w:tc>
        <w:tc>
          <w:tcPr>
            <w:tcW w:w="937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6 137,2</w:t>
            </w:r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5 860,9</w:t>
            </w:r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-276,3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635258" w:rsidRPr="00D5262D">
        <w:trPr>
          <w:trHeight w:val="61"/>
        </w:trPr>
        <w:tc>
          <w:tcPr>
            <w:tcW w:w="3668" w:type="dxa"/>
            <w:vAlign w:val="center"/>
          </w:tcPr>
          <w:p w:rsidR="00635258" w:rsidRPr="00E75364" w:rsidRDefault="00635258" w:rsidP="00BA72FD">
            <w:pPr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1. Обязательства</w:t>
            </w:r>
          </w:p>
        </w:tc>
        <w:tc>
          <w:tcPr>
            <w:tcW w:w="937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4 874,5</w:t>
            </w:r>
          </w:p>
        </w:tc>
        <w:tc>
          <w:tcPr>
            <w:tcW w:w="938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79,4</w:t>
            </w:r>
          </w:p>
        </w:tc>
        <w:tc>
          <w:tcPr>
            <w:tcW w:w="938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4 616,0</w:t>
            </w:r>
          </w:p>
        </w:tc>
        <w:tc>
          <w:tcPr>
            <w:tcW w:w="938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221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-258,5</w:t>
            </w:r>
          </w:p>
        </w:tc>
        <w:tc>
          <w:tcPr>
            <w:tcW w:w="991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635258" w:rsidRPr="00D5262D">
        <w:trPr>
          <w:trHeight w:val="61"/>
        </w:trPr>
        <w:tc>
          <w:tcPr>
            <w:tcW w:w="3668" w:type="dxa"/>
            <w:tcBorders>
              <w:bottom w:val="nil"/>
            </w:tcBorders>
            <w:vAlign w:val="center"/>
          </w:tcPr>
          <w:p w:rsidR="00635258" w:rsidRPr="00E75364" w:rsidRDefault="00635258" w:rsidP="00BA72FD">
            <w:pPr>
              <w:ind w:left="2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</w:t>
            </w:r>
            <w:r w:rsidRPr="00E7536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937" w:type="dxa"/>
            <w:tcBorders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5258" w:rsidRPr="00D5262D">
        <w:trPr>
          <w:trHeight w:val="61"/>
        </w:trPr>
        <w:tc>
          <w:tcPr>
            <w:tcW w:w="3668" w:type="dxa"/>
            <w:tcBorders>
              <w:top w:val="nil"/>
              <w:bottom w:val="nil"/>
            </w:tcBorders>
            <w:vAlign w:val="center"/>
          </w:tcPr>
          <w:p w:rsidR="00635258" w:rsidRPr="00E75364" w:rsidRDefault="00635258" w:rsidP="00BA72FD">
            <w:pPr>
              <w:ind w:left="242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депозиты и прочие средства от ПРБ</w:t>
            </w:r>
          </w:p>
        </w:tc>
        <w:tc>
          <w:tcPr>
            <w:tcW w:w="937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583,8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680,7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</w:tr>
      <w:tr w:rsidR="00635258" w:rsidRPr="00D5262D">
        <w:trPr>
          <w:trHeight w:val="61"/>
        </w:trPr>
        <w:tc>
          <w:tcPr>
            <w:tcW w:w="3668" w:type="dxa"/>
            <w:tcBorders>
              <w:top w:val="nil"/>
              <w:bottom w:val="nil"/>
            </w:tcBorders>
            <w:vAlign w:val="center"/>
          </w:tcPr>
          <w:p w:rsidR="00635258" w:rsidRPr="00E75364" w:rsidRDefault="00635258" w:rsidP="00BA72FD">
            <w:pPr>
              <w:ind w:left="242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средства кредитных организаций</w:t>
            </w:r>
          </w:p>
        </w:tc>
        <w:tc>
          <w:tcPr>
            <w:tcW w:w="937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-36,8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61,6</w:t>
            </w:r>
          </w:p>
        </w:tc>
      </w:tr>
      <w:tr w:rsidR="00635258" w:rsidRPr="00D5262D">
        <w:trPr>
          <w:trHeight w:val="61"/>
        </w:trPr>
        <w:tc>
          <w:tcPr>
            <w:tcW w:w="3668" w:type="dxa"/>
            <w:tcBorders>
              <w:top w:val="nil"/>
              <w:bottom w:val="nil"/>
            </w:tcBorders>
            <w:vAlign w:val="center"/>
          </w:tcPr>
          <w:p w:rsidR="00635258" w:rsidRPr="00E75364" w:rsidRDefault="00635258" w:rsidP="00BA72FD">
            <w:pPr>
              <w:ind w:left="242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средства юридических лиц</w:t>
            </w:r>
          </w:p>
        </w:tc>
        <w:tc>
          <w:tcPr>
            <w:tcW w:w="937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2 341,3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38,1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1 973,0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-368,3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84,3</w:t>
            </w:r>
          </w:p>
        </w:tc>
      </w:tr>
      <w:tr w:rsidR="00635258" w:rsidRPr="00D5262D">
        <w:trPr>
          <w:trHeight w:val="61"/>
        </w:trPr>
        <w:tc>
          <w:tcPr>
            <w:tcW w:w="3668" w:type="dxa"/>
            <w:tcBorders>
              <w:top w:val="nil"/>
              <w:bottom w:val="nil"/>
            </w:tcBorders>
            <w:vAlign w:val="center"/>
          </w:tcPr>
          <w:p w:rsidR="00635258" w:rsidRPr="00E75364" w:rsidRDefault="00635258" w:rsidP="00BA72FD">
            <w:pPr>
              <w:ind w:left="242"/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средства физических лиц</w:t>
            </w:r>
          </w:p>
        </w:tc>
        <w:tc>
          <w:tcPr>
            <w:tcW w:w="937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1 644,3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1 426,8</w:t>
            </w:r>
          </w:p>
        </w:tc>
        <w:tc>
          <w:tcPr>
            <w:tcW w:w="938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-217,5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86,8</w:t>
            </w:r>
          </w:p>
        </w:tc>
      </w:tr>
      <w:tr w:rsidR="00635258" w:rsidRPr="00D5262D">
        <w:tc>
          <w:tcPr>
            <w:tcW w:w="3668" w:type="dxa"/>
            <w:vAlign w:val="center"/>
          </w:tcPr>
          <w:p w:rsidR="00635258" w:rsidRPr="00E75364" w:rsidRDefault="00635258" w:rsidP="00BA72FD">
            <w:pPr>
              <w:rPr>
                <w:color w:val="000000"/>
                <w:sz w:val="22"/>
                <w:szCs w:val="22"/>
              </w:rPr>
            </w:pPr>
            <w:r w:rsidRPr="00E75364">
              <w:rPr>
                <w:color w:val="000000"/>
                <w:sz w:val="22"/>
                <w:szCs w:val="22"/>
              </w:rPr>
              <w:t>2. Собственные средства</w:t>
            </w:r>
          </w:p>
        </w:tc>
        <w:tc>
          <w:tcPr>
            <w:tcW w:w="937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1 262,8</w:t>
            </w:r>
          </w:p>
        </w:tc>
        <w:tc>
          <w:tcPr>
            <w:tcW w:w="938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</w:t>
            </w:r>
          </w:p>
        </w:tc>
        <w:tc>
          <w:tcPr>
            <w:tcW w:w="938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1 244,9</w:t>
            </w:r>
          </w:p>
        </w:tc>
        <w:tc>
          <w:tcPr>
            <w:tcW w:w="938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221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-17,9</w:t>
            </w:r>
          </w:p>
        </w:tc>
        <w:tc>
          <w:tcPr>
            <w:tcW w:w="991" w:type="dxa"/>
            <w:vAlign w:val="bottom"/>
          </w:tcPr>
          <w:p w:rsidR="00635258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</w:tr>
    </w:tbl>
    <w:p w:rsidR="00635258" w:rsidRPr="00E75364" w:rsidRDefault="00635258" w:rsidP="00AA518A">
      <w:pPr>
        <w:widowControl w:val="0"/>
        <w:spacing w:before="120"/>
        <w:ind w:firstLine="425"/>
        <w:jc w:val="both"/>
        <w:rPr>
          <w:color w:val="000000"/>
          <w:sz w:val="24"/>
          <w:szCs w:val="24"/>
        </w:rPr>
      </w:pPr>
      <w:r w:rsidRPr="00E75364">
        <w:rPr>
          <w:color w:val="000000"/>
          <w:sz w:val="24"/>
          <w:szCs w:val="24"/>
        </w:rPr>
        <w:t xml:space="preserve">Отток ресурсов был обусловлен преимущественно изъятием средств корпоративных и частных клиентов. Так, остатки средств на текущих счетах и срочных депозитах корпоративных клиентов сократились на 368,3 млн руб. (-15,7%) до </w:t>
      </w:r>
      <w:r>
        <w:rPr>
          <w:color w:val="000000"/>
          <w:sz w:val="24"/>
          <w:szCs w:val="24"/>
        </w:rPr>
        <w:br/>
      </w:r>
      <w:r w:rsidRPr="00E75364">
        <w:rPr>
          <w:color w:val="000000"/>
          <w:sz w:val="24"/>
          <w:szCs w:val="24"/>
        </w:rPr>
        <w:t>1 973,0 млн руб., что соответствует 42,7% банковских обязательств (-5,3 п.п.). Вместе с тем остатки на счетах физических лиц снизились на 217,5 млн руб. (-13,2%) до 1 426,8 млн руб., сформировав 30,9% банковских обязательств (-2,8 п.п.). Сокращение размера привлечённых средств нефинансового сектора в целом (на 14,7% до 3 399,8 млн руб.) стало причиной уменьшения коэффициента качества клиентской баз</w:t>
      </w:r>
      <w:r w:rsidRPr="00E75364">
        <w:rPr>
          <w:color w:val="000000"/>
          <w:spacing w:val="20"/>
          <w:sz w:val="24"/>
          <w:szCs w:val="24"/>
        </w:rPr>
        <w:t>ы</w:t>
      </w:r>
      <w:r w:rsidRPr="00E75364">
        <w:rPr>
          <w:rStyle w:val="FootnoteReference"/>
          <w:color w:val="000000"/>
          <w:spacing w:val="20"/>
          <w:sz w:val="24"/>
          <w:szCs w:val="24"/>
        </w:rPr>
        <w:footnoteReference w:id="7"/>
      </w:r>
      <w:r w:rsidRPr="00E75364">
        <w:rPr>
          <w:color w:val="000000"/>
          <w:sz w:val="24"/>
          <w:szCs w:val="24"/>
        </w:rPr>
        <w:t xml:space="preserve"> с 81,8% на 01.01.2015 г. до 73,7% на 01.01.2016 г. </w:t>
      </w:r>
    </w:p>
    <w:p w:rsidR="00635258" w:rsidRPr="00961D65" w:rsidRDefault="00635258" w:rsidP="00AA518A">
      <w:pPr>
        <w:ind w:firstLine="425"/>
        <w:jc w:val="both"/>
        <w:rPr>
          <w:color w:val="000000"/>
          <w:sz w:val="24"/>
          <w:szCs w:val="24"/>
        </w:rPr>
      </w:pPr>
      <w:r w:rsidRPr="00961D65">
        <w:rPr>
          <w:color w:val="000000"/>
          <w:sz w:val="24"/>
          <w:szCs w:val="24"/>
        </w:rPr>
        <w:t xml:space="preserve">На этом фоне для сохранения своей устойчивости банки привлекали средства </w:t>
      </w:r>
      <w:r>
        <w:rPr>
          <w:color w:val="000000"/>
          <w:sz w:val="24"/>
          <w:szCs w:val="24"/>
        </w:rPr>
        <w:t>на межбанковском рынке, в том числе от Приднестровского республиканского банка</w:t>
      </w:r>
      <w:r w:rsidRPr="00961D65">
        <w:rPr>
          <w:color w:val="000000"/>
          <w:sz w:val="24"/>
          <w:szCs w:val="24"/>
        </w:rPr>
        <w:t xml:space="preserve">. </w:t>
      </w:r>
      <w:r w:rsidRPr="00961D65">
        <w:rPr>
          <w:sz w:val="24"/>
          <w:szCs w:val="24"/>
        </w:rPr>
        <w:t>За счёт межбанковских привлечений и заимствований на 1 января 2016 года было образовано 16,0% ресурсов, что в абсолютном выражении соответствует 739,8 млн руб. (+60,1 млн руб., или 8,8</w:t>
      </w:r>
      <w:r w:rsidRPr="007C10A8">
        <w:rPr>
          <w:sz w:val="24"/>
          <w:szCs w:val="24"/>
        </w:rPr>
        <w:t>%). Из этой суммы бóльшая часть представлена средствами центрального банка, за счёт которых проводились операции дальнейшего кредитования реального сектора экономики.</w:t>
      </w:r>
    </w:p>
    <w:p w:rsidR="00635258" w:rsidRPr="005F34B4" w:rsidRDefault="00635258" w:rsidP="00AA518A">
      <w:pPr>
        <w:pStyle w:val="NormalWeb"/>
        <w:spacing w:before="0" w:beforeAutospacing="0" w:after="0" w:afterAutospacing="0"/>
        <w:ind w:firstLine="425"/>
        <w:jc w:val="both"/>
      </w:pPr>
      <w:r>
        <w:t xml:space="preserve">На кредитование экономики по состоянию на 01.01.2016 г. было направлено 68,8% ресурсов, или 4 031,6 млн руб. </w:t>
      </w:r>
      <w:r w:rsidRPr="005F34B4">
        <w:t xml:space="preserve">Основу кредитного портфеля сформировали ссуды нефинансовому сектору (63,6% суммарных активов-нетто банковской системы), объём которых составил на 1 января </w:t>
      </w:r>
      <w:r>
        <w:t>2</w:t>
      </w:r>
      <w:r w:rsidRPr="005F34B4">
        <w:t xml:space="preserve">016 года 3 729,0 млн руб. </w:t>
      </w:r>
    </w:p>
    <w:p w:rsidR="00635258" w:rsidRPr="00CA7760" w:rsidRDefault="00635258" w:rsidP="00AA518A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CA7760">
        <w:rPr>
          <w:sz w:val="24"/>
          <w:szCs w:val="24"/>
        </w:rPr>
        <w:t xml:space="preserve">Динамика </w:t>
      </w:r>
      <w:r>
        <w:rPr>
          <w:sz w:val="24"/>
          <w:szCs w:val="24"/>
        </w:rPr>
        <w:t>совокупного показателя</w:t>
      </w:r>
      <w:r w:rsidRPr="00CA7760">
        <w:rPr>
          <w:sz w:val="24"/>
          <w:szCs w:val="24"/>
        </w:rPr>
        <w:t xml:space="preserve"> определялась кредитной активностью физических лиц, которая падала в течение всего анализируемого года</w:t>
      </w:r>
      <w:r>
        <w:rPr>
          <w:sz w:val="24"/>
          <w:szCs w:val="24"/>
        </w:rPr>
        <w:t>.</w:t>
      </w:r>
      <w:r w:rsidRPr="00CA7760">
        <w:rPr>
          <w:sz w:val="24"/>
          <w:szCs w:val="24"/>
        </w:rPr>
        <w:t xml:space="preserve"> </w:t>
      </w:r>
      <w:r>
        <w:rPr>
          <w:sz w:val="24"/>
          <w:szCs w:val="24"/>
        </w:rPr>
        <w:t>В результате</w:t>
      </w:r>
      <w:r w:rsidRPr="00CA7760">
        <w:rPr>
          <w:sz w:val="24"/>
          <w:szCs w:val="24"/>
        </w:rPr>
        <w:t xml:space="preserve"> размер розничного кредитного портфеля сократился на 18,3%, или на 212,4 млн руб., и на 1 января 2016 года сложился на уровне 947,0 млн руб., что соответствует 16,2% совокупных активов-нетто (18,9% на 01.01.2015 г.) и 25,4% – в структуре кредитов нефинансовому сектору (29,8% соответственно). Степень валютизации потребительских ссуд за отчётный год снизилась на 10,5 п.п. до 47,5%, что обусловлено полуторакратным уменьшением задолженности по валютным кредитам при незначительном росте рублёвых заимствований (+2,2%). </w:t>
      </w:r>
    </w:p>
    <w:p w:rsidR="00635258" w:rsidRPr="00CA7760" w:rsidRDefault="00635258" w:rsidP="00AA518A">
      <w:pPr>
        <w:widowControl w:val="0"/>
        <w:spacing w:before="120" w:after="120"/>
        <w:ind w:firstLine="425"/>
        <w:jc w:val="right"/>
        <w:rPr>
          <w:b/>
          <w:bCs/>
          <w:i/>
          <w:iCs/>
          <w:color w:val="000000"/>
          <w:sz w:val="24"/>
          <w:szCs w:val="24"/>
        </w:rPr>
      </w:pPr>
      <w:r w:rsidRPr="00CA7760">
        <w:rPr>
          <w:b/>
          <w:bCs/>
          <w:i/>
          <w:iCs/>
          <w:color w:val="000000"/>
          <w:sz w:val="24"/>
          <w:szCs w:val="24"/>
        </w:rPr>
        <w:t>Таблица 1.</w:t>
      </w:r>
      <w:r>
        <w:rPr>
          <w:b/>
          <w:bCs/>
          <w:i/>
          <w:iCs/>
          <w:color w:val="000000"/>
          <w:sz w:val="24"/>
          <w:szCs w:val="24"/>
        </w:rPr>
        <w:t>5</w:t>
      </w:r>
    </w:p>
    <w:p w:rsidR="00635258" w:rsidRPr="00CA7760" w:rsidRDefault="00635258" w:rsidP="00AA518A">
      <w:pPr>
        <w:pStyle w:val="Heading3"/>
        <w:widowControl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7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и динамика активов коммерческих банков</w:t>
      </w:r>
    </w:p>
    <w:tbl>
      <w:tblPr>
        <w:tblW w:w="9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4"/>
        <w:gridCol w:w="979"/>
        <w:gridCol w:w="980"/>
        <w:gridCol w:w="980"/>
        <w:gridCol w:w="980"/>
        <w:gridCol w:w="1163"/>
        <w:gridCol w:w="895"/>
      </w:tblGrid>
      <w:tr w:rsidR="00635258" w:rsidRPr="00CA7760">
        <w:trPr>
          <w:cantSplit/>
          <w:trHeight w:val="72"/>
        </w:trPr>
        <w:tc>
          <w:tcPr>
            <w:tcW w:w="3654" w:type="dxa"/>
            <w:vMerge w:val="restart"/>
            <w:tcBorders>
              <w:bottom w:val="nil"/>
            </w:tcBorders>
            <w:shd w:val="clear" w:color="auto" w:fill="CCCCCC"/>
            <w:vAlign w:val="center"/>
          </w:tcPr>
          <w:p w:rsidR="00635258" w:rsidRPr="00CA7760" w:rsidRDefault="00635258" w:rsidP="00BA72FD">
            <w:pPr>
              <w:pStyle w:val="Heading2"/>
              <w:widowControl w:val="0"/>
              <w:spacing w:after="0" w:line="238" w:lineRule="auto"/>
              <w:ind w:left="34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shd w:val="clear" w:color="auto" w:fill="CCCCCC"/>
            <w:vAlign w:val="center"/>
          </w:tcPr>
          <w:p w:rsidR="00635258" w:rsidRPr="00CA7760" w:rsidRDefault="00635258" w:rsidP="00BA72FD">
            <w:pPr>
              <w:widowControl w:val="0"/>
              <w:spacing w:line="238" w:lineRule="auto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на 01.01.201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CA7760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960" w:type="dxa"/>
            <w:gridSpan w:val="2"/>
            <w:shd w:val="clear" w:color="auto" w:fill="CCCCCC"/>
            <w:vAlign w:val="center"/>
          </w:tcPr>
          <w:p w:rsidR="00635258" w:rsidRPr="00CA7760" w:rsidRDefault="00635258" w:rsidP="00BA72FD">
            <w:pPr>
              <w:widowControl w:val="0"/>
              <w:spacing w:line="238" w:lineRule="auto"/>
              <w:ind w:left="-94" w:right="-101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на 01.01.201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CA7760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shd w:val="clear" w:color="auto" w:fill="CCCCCC"/>
            <w:vAlign w:val="center"/>
          </w:tcPr>
          <w:p w:rsidR="00635258" w:rsidRPr="00CA7760" w:rsidRDefault="00635258" w:rsidP="00BA72FD">
            <w:pPr>
              <w:spacing w:line="238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абсолютная разница,</w:t>
            </w:r>
          </w:p>
          <w:p w:rsidR="00635258" w:rsidRPr="00CA7760" w:rsidRDefault="00635258" w:rsidP="00BA72FD">
            <w:pPr>
              <w:spacing w:line="238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млн руб.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shd w:val="clear" w:color="auto" w:fill="CCCCCC"/>
            <w:vAlign w:val="center"/>
          </w:tcPr>
          <w:p w:rsidR="00635258" w:rsidRPr="00CA7760" w:rsidRDefault="00635258" w:rsidP="00BA72FD">
            <w:pPr>
              <w:spacing w:line="238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 xml:space="preserve">темп </w:t>
            </w:r>
          </w:p>
          <w:p w:rsidR="00635258" w:rsidRPr="00CA7760" w:rsidRDefault="00635258" w:rsidP="00BA72FD">
            <w:pPr>
              <w:spacing w:line="238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роста, %</w:t>
            </w:r>
          </w:p>
        </w:tc>
      </w:tr>
      <w:tr w:rsidR="00635258" w:rsidRPr="00CA7760">
        <w:trPr>
          <w:cantSplit/>
          <w:trHeight w:val="386"/>
        </w:trPr>
        <w:tc>
          <w:tcPr>
            <w:tcW w:w="3654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CA7760" w:rsidRDefault="00635258" w:rsidP="00BA72FD">
            <w:pPr>
              <w:pStyle w:val="Heading2"/>
              <w:spacing w:after="0" w:line="238" w:lineRule="auto"/>
              <w:ind w:left="34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CA7760" w:rsidRDefault="00635258" w:rsidP="00BA72FD">
            <w:pPr>
              <w:spacing w:line="238" w:lineRule="auto"/>
              <w:ind w:left="-129" w:right="-138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млн руб.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CA7760" w:rsidRDefault="00635258" w:rsidP="00BA72FD">
            <w:pPr>
              <w:spacing w:line="238" w:lineRule="auto"/>
              <w:ind w:left="-129" w:right="-138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 xml:space="preserve">уд. вес, </w:t>
            </w:r>
          </w:p>
          <w:p w:rsidR="00635258" w:rsidRPr="00CA7760" w:rsidRDefault="00635258" w:rsidP="00BA72FD">
            <w:pPr>
              <w:spacing w:line="238" w:lineRule="auto"/>
              <w:ind w:left="-129" w:right="-138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CA7760" w:rsidRDefault="00635258" w:rsidP="00BA72FD">
            <w:pPr>
              <w:spacing w:line="238" w:lineRule="auto"/>
              <w:ind w:left="-129" w:right="-138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млн руб.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CA7760" w:rsidRDefault="00635258" w:rsidP="00BA72FD">
            <w:pPr>
              <w:spacing w:line="238" w:lineRule="auto"/>
              <w:ind w:left="-129" w:right="-138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 xml:space="preserve">уд. вес, </w:t>
            </w:r>
          </w:p>
          <w:p w:rsidR="00635258" w:rsidRPr="00CA7760" w:rsidRDefault="00635258" w:rsidP="00BA72FD">
            <w:pPr>
              <w:spacing w:line="238" w:lineRule="auto"/>
              <w:ind w:left="-129" w:right="-138"/>
              <w:jc w:val="center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vAlign w:val="center"/>
          </w:tcPr>
          <w:p w:rsidR="00635258" w:rsidRPr="00CA7760" w:rsidRDefault="00635258" w:rsidP="00BA72FD">
            <w:pPr>
              <w:pStyle w:val="Heading2"/>
              <w:spacing w:after="0" w:line="238" w:lineRule="auto"/>
              <w:ind w:left="34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bottom w:val="double" w:sz="4" w:space="0" w:color="auto"/>
            </w:tcBorders>
            <w:vAlign w:val="center"/>
          </w:tcPr>
          <w:p w:rsidR="00635258" w:rsidRPr="00CA7760" w:rsidRDefault="00635258" w:rsidP="00BA72FD">
            <w:pPr>
              <w:pStyle w:val="Heading2"/>
              <w:spacing w:after="0" w:line="238" w:lineRule="auto"/>
              <w:ind w:left="34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35258" w:rsidRPr="00CA7760">
        <w:tc>
          <w:tcPr>
            <w:tcW w:w="3654" w:type="dxa"/>
            <w:tcBorders>
              <w:top w:val="double" w:sz="4" w:space="0" w:color="auto"/>
            </w:tcBorders>
            <w:shd w:val="clear" w:color="auto" w:fill="E0E0E0"/>
          </w:tcPr>
          <w:p w:rsidR="00635258" w:rsidRPr="00CA7760" w:rsidRDefault="00635258" w:rsidP="00BA72FD">
            <w:pPr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Валюта баланса-нетто</w:t>
            </w:r>
          </w:p>
        </w:tc>
        <w:tc>
          <w:tcPr>
            <w:tcW w:w="979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6 137,2</w:t>
            </w:r>
          </w:p>
        </w:tc>
        <w:tc>
          <w:tcPr>
            <w:tcW w:w="980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0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Pr="003977D2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5 860,9</w:t>
            </w:r>
          </w:p>
        </w:tc>
        <w:tc>
          <w:tcPr>
            <w:tcW w:w="980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Pr="003977D2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Pr="003977D2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-276,4</w:t>
            </w:r>
          </w:p>
        </w:tc>
        <w:tc>
          <w:tcPr>
            <w:tcW w:w="895" w:type="dxa"/>
            <w:tcBorders>
              <w:top w:val="double" w:sz="4" w:space="0" w:color="auto"/>
            </w:tcBorders>
            <w:shd w:val="clear" w:color="auto" w:fill="E0E0E0"/>
            <w:vAlign w:val="bottom"/>
          </w:tcPr>
          <w:p w:rsidR="00635258" w:rsidRPr="003977D2" w:rsidRDefault="00635258" w:rsidP="00BA72FD">
            <w:pPr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635258" w:rsidRPr="00CA7760">
        <w:tc>
          <w:tcPr>
            <w:tcW w:w="3654" w:type="dxa"/>
          </w:tcPr>
          <w:p w:rsidR="00635258" w:rsidRPr="00CA7760" w:rsidRDefault="00635258" w:rsidP="00BA72FD">
            <w:pPr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1. Денежные средства</w:t>
            </w:r>
          </w:p>
        </w:tc>
        <w:tc>
          <w:tcPr>
            <w:tcW w:w="979" w:type="dxa"/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411,0</w:t>
            </w:r>
          </w:p>
        </w:tc>
        <w:tc>
          <w:tcPr>
            <w:tcW w:w="980" w:type="dxa"/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980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695,1</w:t>
            </w:r>
          </w:p>
        </w:tc>
        <w:tc>
          <w:tcPr>
            <w:tcW w:w="980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63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284,1</w:t>
            </w:r>
          </w:p>
        </w:tc>
        <w:tc>
          <w:tcPr>
            <w:tcW w:w="895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169,1</w:t>
            </w:r>
          </w:p>
        </w:tc>
      </w:tr>
      <w:tr w:rsidR="00635258" w:rsidRPr="00CA7760">
        <w:tc>
          <w:tcPr>
            <w:tcW w:w="3654" w:type="dxa"/>
          </w:tcPr>
          <w:p w:rsidR="00635258" w:rsidRPr="00CA7760" w:rsidRDefault="00635258" w:rsidP="00BA72FD">
            <w:pPr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2. Корреспондентские счета</w:t>
            </w:r>
          </w:p>
        </w:tc>
        <w:tc>
          <w:tcPr>
            <w:tcW w:w="979" w:type="dxa"/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1 282,1</w:t>
            </w:r>
          </w:p>
        </w:tc>
        <w:tc>
          <w:tcPr>
            <w:tcW w:w="980" w:type="dxa"/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20,9</w:t>
            </w:r>
          </w:p>
        </w:tc>
        <w:tc>
          <w:tcPr>
            <w:tcW w:w="980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833,2</w:t>
            </w:r>
          </w:p>
        </w:tc>
        <w:tc>
          <w:tcPr>
            <w:tcW w:w="980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63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-448,8</w:t>
            </w:r>
          </w:p>
        </w:tc>
        <w:tc>
          <w:tcPr>
            <w:tcW w:w="895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635258" w:rsidRPr="00CA7760">
        <w:tc>
          <w:tcPr>
            <w:tcW w:w="3654" w:type="dxa"/>
          </w:tcPr>
          <w:p w:rsidR="00635258" w:rsidRPr="00CA7760" w:rsidRDefault="00635258" w:rsidP="00BA72FD">
            <w:pPr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3. Вложения в ценные бумаги</w:t>
            </w:r>
          </w:p>
        </w:tc>
        <w:tc>
          <w:tcPr>
            <w:tcW w:w="979" w:type="dxa"/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980" w:type="dxa"/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980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980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63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-82,5</w:t>
            </w:r>
          </w:p>
        </w:tc>
        <w:tc>
          <w:tcPr>
            <w:tcW w:w="895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635258" w:rsidRPr="00CA7760">
        <w:tc>
          <w:tcPr>
            <w:tcW w:w="3654" w:type="dxa"/>
          </w:tcPr>
          <w:p w:rsidR="00635258" w:rsidRPr="00CA7760" w:rsidRDefault="00635258" w:rsidP="00BA72FD">
            <w:pPr>
              <w:ind w:right="-133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4. Чистая задолженность</w:t>
            </w:r>
            <w:r>
              <w:rPr>
                <w:color w:val="000000"/>
                <w:sz w:val="22"/>
                <w:szCs w:val="22"/>
              </w:rPr>
              <w:t xml:space="preserve"> по кредитам и приравненным к ним средствам</w:t>
            </w:r>
          </w:p>
        </w:tc>
        <w:tc>
          <w:tcPr>
            <w:tcW w:w="979" w:type="dxa"/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3 909,4</w:t>
            </w:r>
          </w:p>
        </w:tc>
        <w:tc>
          <w:tcPr>
            <w:tcW w:w="980" w:type="dxa"/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63,7</w:t>
            </w:r>
          </w:p>
        </w:tc>
        <w:tc>
          <w:tcPr>
            <w:tcW w:w="980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3 695,4</w:t>
            </w:r>
          </w:p>
        </w:tc>
        <w:tc>
          <w:tcPr>
            <w:tcW w:w="980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63,1</w:t>
            </w:r>
          </w:p>
        </w:tc>
        <w:tc>
          <w:tcPr>
            <w:tcW w:w="1163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-214,0</w:t>
            </w:r>
          </w:p>
        </w:tc>
        <w:tc>
          <w:tcPr>
            <w:tcW w:w="895" w:type="dxa"/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94,5</w:t>
            </w:r>
          </w:p>
        </w:tc>
      </w:tr>
      <w:tr w:rsidR="00635258" w:rsidRPr="00CA7760">
        <w:tc>
          <w:tcPr>
            <w:tcW w:w="3654" w:type="dxa"/>
            <w:tcBorders>
              <w:bottom w:val="nil"/>
            </w:tcBorders>
          </w:tcPr>
          <w:p w:rsidR="00635258" w:rsidRPr="00CA7760" w:rsidRDefault="00635258" w:rsidP="00635258">
            <w:pPr>
              <w:ind w:firstLineChars="100" w:firstLine="3168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A7760">
              <w:rPr>
                <w:i/>
                <w:iCs/>
                <w:color w:val="000000"/>
                <w:sz w:val="22"/>
                <w:szCs w:val="22"/>
              </w:rPr>
              <w:t>Совокупная задолженность, всего</w:t>
            </w:r>
          </w:p>
        </w:tc>
        <w:tc>
          <w:tcPr>
            <w:tcW w:w="979" w:type="dxa"/>
            <w:tcBorders>
              <w:bottom w:val="nil"/>
            </w:tcBorders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4 183,9</w:t>
            </w:r>
          </w:p>
        </w:tc>
        <w:tc>
          <w:tcPr>
            <w:tcW w:w="980" w:type="dxa"/>
            <w:tcBorders>
              <w:bottom w:val="nil"/>
            </w:tcBorders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68,2</w:t>
            </w:r>
          </w:p>
        </w:tc>
        <w:tc>
          <w:tcPr>
            <w:tcW w:w="980" w:type="dxa"/>
            <w:tcBorders>
              <w:bottom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4 031,6</w:t>
            </w:r>
          </w:p>
        </w:tc>
        <w:tc>
          <w:tcPr>
            <w:tcW w:w="980" w:type="dxa"/>
            <w:tcBorders>
              <w:bottom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163" w:type="dxa"/>
            <w:tcBorders>
              <w:bottom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-152,3</w:t>
            </w:r>
          </w:p>
        </w:tc>
        <w:tc>
          <w:tcPr>
            <w:tcW w:w="895" w:type="dxa"/>
            <w:tcBorders>
              <w:bottom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635258" w:rsidRPr="00CA7760">
        <w:tc>
          <w:tcPr>
            <w:tcW w:w="3654" w:type="dxa"/>
            <w:tcBorders>
              <w:top w:val="nil"/>
            </w:tcBorders>
          </w:tcPr>
          <w:p w:rsidR="00635258" w:rsidRPr="00CA7760" w:rsidRDefault="00635258" w:rsidP="00635258">
            <w:pPr>
              <w:ind w:firstLineChars="100" w:firstLine="3168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A7760">
              <w:rPr>
                <w:i/>
                <w:iCs/>
                <w:color w:val="000000"/>
                <w:sz w:val="22"/>
                <w:szCs w:val="22"/>
              </w:rPr>
              <w:t>Резерв по рискам</w:t>
            </w:r>
          </w:p>
        </w:tc>
        <w:tc>
          <w:tcPr>
            <w:tcW w:w="979" w:type="dxa"/>
            <w:tcBorders>
              <w:top w:val="nil"/>
            </w:tcBorders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(274,6)</w:t>
            </w:r>
          </w:p>
        </w:tc>
        <w:tc>
          <w:tcPr>
            <w:tcW w:w="980" w:type="dxa"/>
            <w:tcBorders>
              <w:top w:val="nil"/>
            </w:tcBorders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(4,5)</w:t>
            </w:r>
          </w:p>
        </w:tc>
        <w:tc>
          <w:tcPr>
            <w:tcW w:w="980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(336,2)</w:t>
            </w:r>
          </w:p>
        </w:tc>
        <w:tc>
          <w:tcPr>
            <w:tcW w:w="980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(5,7)</w:t>
            </w:r>
          </w:p>
        </w:tc>
        <w:tc>
          <w:tcPr>
            <w:tcW w:w="1163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61,6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122,4</w:t>
            </w:r>
          </w:p>
        </w:tc>
      </w:tr>
      <w:tr w:rsidR="00635258" w:rsidRPr="00CA7760">
        <w:tc>
          <w:tcPr>
            <w:tcW w:w="3654" w:type="dxa"/>
            <w:tcBorders>
              <w:top w:val="nil"/>
            </w:tcBorders>
          </w:tcPr>
          <w:p w:rsidR="00635258" w:rsidRPr="00CA7760" w:rsidRDefault="00635258" w:rsidP="00BA72FD">
            <w:pPr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5. Имущество банков</w:t>
            </w:r>
          </w:p>
        </w:tc>
        <w:tc>
          <w:tcPr>
            <w:tcW w:w="979" w:type="dxa"/>
            <w:tcBorders>
              <w:top w:val="nil"/>
            </w:tcBorders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284,7</w:t>
            </w:r>
          </w:p>
        </w:tc>
        <w:tc>
          <w:tcPr>
            <w:tcW w:w="980" w:type="dxa"/>
            <w:tcBorders>
              <w:top w:val="nil"/>
            </w:tcBorders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980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310,7</w:t>
            </w:r>
          </w:p>
        </w:tc>
        <w:tc>
          <w:tcPr>
            <w:tcW w:w="980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63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109,1</w:t>
            </w:r>
          </w:p>
        </w:tc>
      </w:tr>
      <w:tr w:rsidR="00635258" w:rsidRPr="00CA7760">
        <w:tc>
          <w:tcPr>
            <w:tcW w:w="3654" w:type="dxa"/>
            <w:tcBorders>
              <w:top w:val="nil"/>
            </w:tcBorders>
          </w:tcPr>
          <w:p w:rsidR="00635258" w:rsidRPr="00CA7760" w:rsidRDefault="00635258" w:rsidP="00BA72FD">
            <w:pPr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6. Прочие активы</w:t>
            </w:r>
          </w:p>
        </w:tc>
        <w:tc>
          <w:tcPr>
            <w:tcW w:w="979" w:type="dxa"/>
            <w:tcBorders>
              <w:top w:val="nil"/>
            </w:tcBorders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148,3</w:t>
            </w:r>
          </w:p>
        </w:tc>
        <w:tc>
          <w:tcPr>
            <w:tcW w:w="980" w:type="dxa"/>
            <w:tcBorders>
              <w:top w:val="nil"/>
            </w:tcBorders>
            <w:vAlign w:val="bottom"/>
          </w:tcPr>
          <w:p w:rsidR="00635258" w:rsidRPr="00CA7760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CA7760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80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980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163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158,9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635258" w:rsidRPr="003977D2" w:rsidRDefault="00635258" w:rsidP="00BA72FD">
            <w:pPr>
              <w:ind w:right="87"/>
              <w:jc w:val="right"/>
              <w:rPr>
                <w:color w:val="000000"/>
                <w:sz w:val="22"/>
                <w:szCs w:val="22"/>
              </w:rPr>
            </w:pPr>
            <w:r w:rsidRPr="003977D2">
              <w:rPr>
                <w:color w:val="000000"/>
                <w:sz w:val="22"/>
                <w:szCs w:val="22"/>
              </w:rPr>
              <w:t>207,2</w:t>
            </w:r>
          </w:p>
        </w:tc>
      </w:tr>
    </w:tbl>
    <w:p w:rsidR="00635258" w:rsidRPr="00CA7760" w:rsidRDefault="00635258" w:rsidP="00AA518A">
      <w:pPr>
        <w:pStyle w:val="NormalWeb"/>
        <w:widowControl w:val="0"/>
        <w:spacing w:before="120" w:beforeAutospacing="0" w:after="0" w:afterAutospacing="0"/>
        <w:ind w:firstLine="425"/>
        <w:jc w:val="both"/>
      </w:pPr>
      <w:r>
        <w:t>На этом фоне</w:t>
      </w:r>
      <w:r w:rsidRPr="00CA7760">
        <w:t xml:space="preserve"> задолженность корпоративных клиентов по кредитам увеличилась на 1,7% и на 01.01.2016 г. составила 2 782,0 млн руб., или 47,5% суммарных активов-нетто банковской системы (+2,9 п.п.).  </w:t>
      </w:r>
    </w:p>
    <w:p w:rsidR="00635258" w:rsidRPr="00CA7760" w:rsidRDefault="00635258" w:rsidP="00AA518A">
      <w:pPr>
        <w:pStyle w:val="BodyTextIndent3"/>
        <w:widowControl w:val="0"/>
        <w:spacing w:after="0"/>
        <w:ind w:left="0" w:firstLine="425"/>
        <w:jc w:val="both"/>
        <w:rPr>
          <w:sz w:val="24"/>
          <w:szCs w:val="24"/>
        </w:rPr>
      </w:pPr>
      <w:r w:rsidRPr="00CA7760">
        <w:rPr>
          <w:sz w:val="24"/>
          <w:szCs w:val="24"/>
        </w:rPr>
        <w:t xml:space="preserve">В части распределения корпоративного кредитного портфеля банковской системы по видам экономической деятельности, основной объём кредитных продуктов был направлен в такие отрасли, как промышленность, транспорт, связь и ТЭК. На их долю пришлось 40,0% совокупного показателя, или 1 113,8 млн руб. (-24,2 млн руб. от уровня на начало 2015 года). Долги фирм агропромышленного комплекса на конец отчётного года составили </w:t>
      </w:r>
      <w:r>
        <w:rPr>
          <w:sz w:val="24"/>
          <w:szCs w:val="24"/>
        </w:rPr>
        <w:br/>
      </w:r>
      <w:r w:rsidRPr="00CA7760">
        <w:rPr>
          <w:sz w:val="24"/>
          <w:szCs w:val="24"/>
        </w:rPr>
        <w:t xml:space="preserve">612,2 млн руб. (-3,0 млн руб.), что соответствует 22,0% совокупного показателя. Задолженность по кредитам торговых компаний на конец отчётного года сложилась на отметке 426,2 млн руб., или 15,3%. В 2015 году Правительству и бюджетным организациям новые кредиты не предоставлялись, тогда как осуществлялось погашение ранее полученных. В результате объём задолженности по данной статье снизился на 1,4%, или на 0,2 млн руб. до 16,1 млн руб. Долги строительных предприятий перед коммерческими банками уменьшились на 0,7% (-0,1 млн руб.) до 21,2 млн руб. </w:t>
      </w:r>
    </w:p>
    <w:p w:rsidR="00635258" w:rsidRDefault="00635258" w:rsidP="00AA518A">
      <w:pPr>
        <w:ind w:firstLine="425"/>
        <w:jc w:val="both"/>
        <w:rPr>
          <w:sz w:val="24"/>
          <w:szCs w:val="24"/>
        </w:rPr>
      </w:pPr>
      <w:r w:rsidRPr="001E3B93">
        <w:rPr>
          <w:sz w:val="24"/>
          <w:szCs w:val="24"/>
        </w:rPr>
        <w:t>Ухудшение платёжеспособности клиентов банков обусловило нарушения в обслуживании полученных займов</w:t>
      </w:r>
      <w:r>
        <w:rPr>
          <w:sz w:val="24"/>
          <w:szCs w:val="24"/>
        </w:rPr>
        <w:t>.</w:t>
      </w:r>
      <w:r w:rsidRPr="001E3B93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E3B93">
        <w:rPr>
          <w:sz w:val="24"/>
          <w:szCs w:val="24"/>
        </w:rPr>
        <w:t>а 1 января 2016 года 6,1% совокупной задолженности нефинансового сектора, или 228,9 млн руб., являл</w:t>
      </w:r>
      <w:r>
        <w:rPr>
          <w:sz w:val="24"/>
          <w:szCs w:val="24"/>
        </w:rPr>
        <w:t>о</w:t>
      </w:r>
      <w:r w:rsidRPr="001E3B93">
        <w:rPr>
          <w:sz w:val="24"/>
          <w:szCs w:val="24"/>
        </w:rPr>
        <w:t xml:space="preserve">сь просроченной, что вдвое больше, чем на начало анализируемого года. Это отразилось и на качестве кредитного портфеля банков. </w:t>
      </w:r>
      <w:r w:rsidRPr="001E3B93">
        <w:rPr>
          <w:color w:val="000000"/>
          <w:sz w:val="24"/>
          <w:szCs w:val="24"/>
        </w:rPr>
        <w:t xml:space="preserve">Так, </w:t>
      </w:r>
      <w:r w:rsidRPr="00C23520">
        <w:rPr>
          <w:sz w:val="24"/>
          <w:szCs w:val="24"/>
        </w:rPr>
        <w:t>отмечалось увеличение объёма безнадёжных кредитов на 48,3 млн руб. до 9,4% в общей структуре, а также сомнительных займов – на 212,9 млн руб. до 17,7</w:t>
      </w:r>
      <w:r w:rsidRPr="00AA518A">
        <w:rPr>
          <w:sz w:val="24"/>
          <w:szCs w:val="24"/>
        </w:rPr>
        <w:t>%. В то же время вследствие снижения размера проблемных кредитов на 51,0 млн руб., их удельный вес уменьшился на 1,0 п.п. до 7,7%. Долевое представление стандартных займ</w:t>
      </w:r>
      <w:r w:rsidRPr="00C23520">
        <w:rPr>
          <w:sz w:val="24"/>
          <w:szCs w:val="24"/>
        </w:rPr>
        <w:t>ов сократилось с 49,5 до 46,1% вследствие снижения их суммы на 204,8 млн руб. В целом же интегрированный показатель качественных характеристик операций кредитования сохранился на достаточно высокой отметке – 93,9%</w:t>
      </w:r>
      <w:r>
        <w:rPr>
          <w:rStyle w:val="FootnoteReference"/>
          <w:sz w:val="24"/>
          <w:szCs w:val="24"/>
        </w:rPr>
        <w:footnoteReference w:id="8"/>
      </w:r>
      <w:r w:rsidRPr="00C23520">
        <w:rPr>
          <w:sz w:val="24"/>
          <w:szCs w:val="24"/>
        </w:rPr>
        <w:t xml:space="preserve"> (-3,0 п.п.). </w:t>
      </w:r>
      <w:r w:rsidRPr="007C10A8">
        <w:rPr>
          <w:sz w:val="24"/>
          <w:szCs w:val="24"/>
        </w:rPr>
        <w:t xml:space="preserve">Размер сформированного банками резерва по рискам возможных потерь по кредитам и приравненной к ним задолженности на 1 января 2016 года составил 336,2 млн руб., или 8,3% совокупных требований (+1,7 п.п.), увеличившись по отношению к значению на начало 2015 года на 22,4%. </w:t>
      </w:r>
    </w:p>
    <w:p w:rsidR="00635258" w:rsidRPr="001E3B93" w:rsidRDefault="00635258" w:rsidP="00AA518A">
      <w:pPr>
        <w:widowControl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Итогом указанных изменений стало сокращение совокупной доходности банковского бизнеса</w:t>
      </w:r>
      <w:r w:rsidRPr="001E3B93">
        <w:rPr>
          <w:sz w:val="24"/>
          <w:szCs w:val="24"/>
        </w:rPr>
        <w:t xml:space="preserve">. </w:t>
      </w:r>
      <w:r>
        <w:rPr>
          <w:sz w:val="24"/>
          <w:szCs w:val="24"/>
        </w:rPr>
        <w:t>Вследствие</w:t>
      </w:r>
      <w:r w:rsidRPr="001E3B93">
        <w:rPr>
          <w:sz w:val="24"/>
          <w:szCs w:val="24"/>
        </w:rPr>
        <w:t xml:space="preserve"> более интенсивны</w:t>
      </w:r>
      <w:r>
        <w:rPr>
          <w:sz w:val="24"/>
          <w:szCs w:val="24"/>
        </w:rPr>
        <w:t>х</w:t>
      </w:r>
      <w:r w:rsidRPr="001E3B93">
        <w:rPr>
          <w:sz w:val="24"/>
          <w:szCs w:val="24"/>
        </w:rPr>
        <w:t xml:space="preserve"> темп</w:t>
      </w:r>
      <w:r>
        <w:rPr>
          <w:sz w:val="24"/>
          <w:szCs w:val="24"/>
        </w:rPr>
        <w:t>ов</w:t>
      </w:r>
      <w:r w:rsidRPr="001E3B93">
        <w:rPr>
          <w:sz w:val="24"/>
          <w:szCs w:val="24"/>
        </w:rPr>
        <w:t xml:space="preserve"> снижения доходов коммерческих банков </w:t>
      </w:r>
      <w:r>
        <w:rPr>
          <w:sz w:val="24"/>
          <w:szCs w:val="24"/>
        </w:rPr>
        <w:br/>
      </w:r>
      <w:r w:rsidRPr="001E3B93">
        <w:rPr>
          <w:sz w:val="24"/>
          <w:szCs w:val="24"/>
        </w:rPr>
        <w:t xml:space="preserve">(-8,5% до 797,8 млн руб.) по сравнению с уменьшением уровня расходов (-7,4% до </w:t>
      </w:r>
      <w:r>
        <w:rPr>
          <w:sz w:val="24"/>
          <w:szCs w:val="24"/>
        </w:rPr>
        <w:br/>
      </w:r>
      <w:r w:rsidRPr="001E3B93">
        <w:rPr>
          <w:sz w:val="24"/>
          <w:szCs w:val="24"/>
        </w:rPr>
        <w:t>701,8 млн руб.)</w:t>
      </w:r>
      <w:r>
        <w:rPr>
          <w:sz w:val="24"/>
          <w:szCs w:val="24"/>
        </w:rPr>
        <w:t xml:space="preserve"> показатель</w:t>
      </w:r>
      <w:r w:rsidRPr="001E3B93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1E3B93">
        <w:rPr>
          <w:sz w:val="24"/>
          <w:szCs w:val="24"/>
        </w:rPr>
        <w:t>ист</w:t>
      </w:r>
      <w:r>
        <w:rPr>
          <w:sz w:val="24"/>
          <w:szCs w:val="24"/>
        </w:rPr>
        <w:t>ой</w:t>
      </w:r>
      <w:r w:rsidRPr="001E3B93">
        <w:rPr>
          <w:sz w:val="24"/>
          <w:szCs w:val="24"/>
        </w:rPr>
        <w:t xml:space="preserve"> прибыл</w:t>
      </w:r>
      <w:r>
        <w:rPr>
          <w:sz w:val="24"/>
          <w:szCs w:val="24"/>
        </w:rPr>
        <w:t>и</w:t>
      </w:r>
      <w:r w:rsidRPr="001E3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сократился на 6,9% до </w:t>
      </w:r>
      <w:r w:rsidRPr="001E3B93">
        <w:rPr>
          <w:sz w:val="24"/>
          <w:szCs w:val="24"/>
        </w:rPr>
        <w:t>90,9 млн руб.</w:t>
      </w:r>
    </w:p>
    <w:p w:rsidR="00635258" w:rsidRDefault="00635258" w:rsidP="00AA518A">
      <w:pPr>
        <w:widowControl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На этом фоне о</w:t>
      </w:r>
      <w:r w:rsidRPr="001E3B93">
        <w:rPr>
          <w:sz w:val="24"/>
          <w:szCs w:val="24"/>
        </w:rPr>
        <w:t xml:space="preserve">бщий уровень рентабельности, отражающий долю прибыли в полученных банками доходах, в 2015 году </w:t>
      </w:r>
      <w:r>
        <w:rPr>
          <w:sz w:val="24"/>
          <w:szCs w:val="24"/>
        </w:rPr>
        <w:t>составил</w:t>
      </w:r>
      <w:r w:rsidRPr="001E3B93">
        <w:rPr>
          <w:sz w:val="24"/>
          <w:szCs w:val="24"/>
        </w:rPr>
        <w:t xml:space="preserve"> 11,4%</w:t>
      </w:r>
      <w:r>
        <w:rPr>
          <w:sz w:val="24"/>
          <w:szCs w:val="24"/>
        </w:rPr>
        <w:t xml:space="preserve"> (+0,2 п.п.)</w:t>
      </w:r>
      <w:r w:rsidRPr="001E3B93">
        <w:rPr>
          <w:sz w:val="24"/>
          <w:szCs w:val="24"/>
        </w:rPr>
        <w:t xml:space="preserve">. Рентабельность капитала (ROE) </w:t>
      </w:r>
      <w:r w:rsidRPr="00BF6E41">
        <w:rPr>
          <w:sz w:val="24"/>
          <w:szCs w:val="24"/>
        </w:rPr>
        <w:t>действующих кредитных организаций сократилась с 7,1% до 6,6%. Р</w:t>
      </w:r>
      <w:r w:rsidRPr="00BF6E41">
        <w:rPr>
          <w:color w:val="000000"/>
          <w:sz w:val="24"/>
          <w:szCs w:val="24"/>
        </w:rPr>
        <w:t>ентабельность активов (ROA) осталась без изменения – 1,5%</w:t>
      </w:r>
      <w:r w:rsidRPr="00BF6E41">
        <w:rPr>
          <w:sz w:val="24"/>
          <w:szCs w:val="24"/>
        </w:rPr>
        <w:t>.</w:t>
      </w:r>
      <w:r w:rsidRPr="001E3B93">
        <w:rPr>
          <w:sz w:val="24"/>
          <w:szCs w:val="24"/>
        </w:rPr>
        <w:t xml:space="preserve"> </w:t>
      </w:r>
    </w:p>
    <w:p w:rsidR="00635258" w:rsidRPr="001E3B93" w:rsidRDefault="00635258" w:rsidP="00AA518A">
      <w:pPr>
        <w:widowControl w:val="0"/>
        <w:ind w:firstLine="425"/>
        <w:jc w:val="both"/>
        <w:rPr>
          <w:sz w:val="24"/>
          <w:szCs w:val="24"/>
        </w:rPr>
      </w:pPr>
      <w:r w:rsidRPr="001E3B93">
        <w:rPr>
          <w:sz w:val="24"/>
          <w:szCs w:val="24"/>
        </w:rPr>
        <w:t xml:space="preserve">В процессе формирования валовых доходов банковского сектора наблюдалось повышение участия процентных доходов на 1,8 п.п. до 55,2%. </w:t>
      </w:r>
      <w:r>
        <w:rPr>
          <w:sz w:val="24"/>
          <w:szCs w:val="24"/>
        </w:rPr>
        <w:t>В</w:t>
      </w:r>
      <w:r w:rsidRPr="001E3B93">
        <w:rPr>
          <w:sz w:val="24"/>
          <w:szCs w:val="24"/>
        </w:rPr>
        <w:t xml:space="preserve"> абсолютном выражении </w:t>
      </w:r>
      <w:r>
        <w:rPr>
          <w:sz w:val="24"/>
          <w:szCs w:val="24"/>
        </w:rPr>
        <w:t>и</w:t>
      </w:r>
      <w:r w:rsidRPr="001E3B93">
        <w:rPr>
          <w:sz w:val="24"/>
          <w:szCs w:val="24"/>
        </w:rPr>
        <w:t xml:space="preserve">х объём составил 440,1 млн руб., что на 5,5% меньше базисного показателя </w:t>
      </w:r>
      <w:r w:rsidRPr="001E3B93">
        <w:rPr>
          <w:sz w:val="24"/>
          <w:szCs w:val="24"/>
        </w:rPr>
        <w:br/>
        <w:t>(-25,4 млн руб.). Данная динамика была обеспечена преимущественно уменьшением поступлений от операций на межбанковском рынке (-12,9 млн руб.</w:t>
      </w:r>
      <w:r w:rsidRPr="001E3B93">
        <w:rPr>
          <w:color w:val="000000"/>
          <w:sz w:val="24"/>
          <w:szCs w:val="24"/>
        </w:rPr>
        <w:t xml:space="preserve">) и от </w:t>
      </w:r>
      <w:r w:rsidRPr="001E3B93">
        <w:rPr>
          <w:sz w:val="24"/>
          <w:szCs w:val="24"/>
        </w:rPr>
        <w:t xml:space="preserve">кредитования физических лиц (-6,4 млн руб.). </w:t>
      </w:r>
    </w:p>
    <w:p w:rsidR="00635258" w:rsidRPr="001E3B93" w:rsidRDefault="00635258" w:rsidP="00AA518A">
      <w:pPr>
        <w:widowControl w:val="0"/>
        <w:ind w:firstLine="425"/>
        <w:jc w:val="both"/>
        <w:rPr>
          <w:sz w:val="24"/>
          <w:szCs w:val="24"/>
        </w:rPr>
      </w:pPr>
      <w:r w:rsidRPr="001E3B93">
        <w:rPr>
          <w:sz w:val="24"/>
          <w:szCs w:val="24"/>
        </w:rPr>
        <w:t xml:space="preserve">Совокупные процентные расходы увеличились на 11,7% (+18,0 млн руб.) до </w:t>
      </w:r>
      <w:r w:rsidRPr="001E3B93">
        <w:rPr>
          <w:sz w:val="24"/>
          <w:szCs w:val="24"/>
        </w:rPr>
        <w:br/>
        <w:t xml:space="preserve">172,1 млн руб. в связи с необходимостью обслуживать выпущенные долговые обязательства. В то же время объём </w:t>
      </w:r>
      <w:r w:rsidRPr="001E3B93">
        <w:rPr>
          <w:color w:val="000000"/>
          <w:sz w:val="24"/>
          <w:szCs w:val="24"/>
        </w:rPr>
        <w:t>расходов по счетам и депозитам физических лиц, занимающих доминирующее положение в структуре данного показателя (47,0%, -12,3 п.п.), сократился на 10,5 млн руб. (-11,5%) до 80,8 млн руб. В результате банки получили чистый процентный доход от операций с населением в размере 107,8 млн руб., что на 3,9% больше базисного значения.</w:t>
      </w:r>
      <w:r w:rsidRPr="001E3B93">
        <w:rPr>
          <w:sz w:val="24"/>
          <w:szCs w:val="24"/>
        </w:rPr>
        <w:t xml:space="preserve"> </w:t>
      </w:r>
      <w:r w:rsidRPr="001E3B93">
        <w:rPr>
          <w:color w:val="000000"/>
          <w:sz w:val="24"/>
          <w:szCs w:val="24"/>
        </w:rPr>
        <w:t xml:space="preserve">Вследствие расширения объёма корпоративных вкладов в предыдущем году, в 2015 году выросли затраты на обслуживание счетов и депозитов юридических лиц (+25,3%, или +8,1 млн руб., до 40,2 млн руб.). Сальдо </w:t>
      </w:r>
      <w:r>
        <w:rPr>
          <w:color w:val="000000"/>
          <w:sz w:val="24"/>
          <w:szCs w:val="24"/>
        </w:rPr>
        <w:t xml:space="preserve">процентных доходов </w:t>
      </w:r>
      <w:r w:rsidRPr="001E3B93">
        <w:rPr>
          <w:color w:val="000000"/>
          <w:sz w:val="24"/>
          <w:szCs w:val="24"/>
        </w:rPr>
        <w:t xml:space="preserve">по операциям с юридическими лицами сократилось на 10,6 млн руб. (-5,4%) до 187,5 млн руб. Таким образом, </w:t>
      </w:r>
      <w:r>
        <w:rPr>
          <w:color w:val="000000"/>
          <w:sz w:val="24"/>
          <w:szCs w:val="24"/>
        </w:rPr>
        <w:t xml:space="preserve">совокупный </w:t>
      </w:r>
      <w:r w:rsidRPr="001E3B93">
        <w:rPr>
          <w:color w:val="000000"/>
          <w:sz w:val="24"/>
          <w:szCs w:val="24"/>
        </w:rPr>
        <w:t>чистый процентный доход</w:t>
      </w:r>
      <w:r>
        <w:rPr>
          <w:color w:val="000000"/>
          <w:sz w:val="24"/>
          <w:szCs w:val="24"/>
        </w:rPr>
        <w:t xml:space="preserve"> кредитных организаций</w:t>
      </w:r>
      <w:r w:rsidRPr="001E3B93">
        <w:rPr>
          <w:color w:val="000000"/>
          <w:sz w:val="24"/>
          <w:szCs w:val="24"/>
        </w:rPr>
        <w:t xml:space="preserve"> сложился в размере 268,0 млн руб. против 311,5 млн руб. годом ранее. </w:t>
      </w:r>
    </w:p>
    <w:p w:rsidR="00635258" w:rsidRPr="00324035" w:rsidRDefault="00635258" w:rsidP="00AA518A">
      <w:pPr>
        <w:pStyle w:val="Header"/>
        <w:widowControl w:val="0"/>
        <w:spacing w:line="240" w:lineRule="atLeast"/>
        <w:ind w:firstLine="425"/>
        <w:jc w:val="both"/>
        <w:rPr>
          <w:color w:val="000000"/>
          <w:sz w:val="24"/>
          <w:szCs w:val="24"/>
        </w:rPr>
      </w:pPr>
      <w:r w:rsidRPr="00324035">
        <w:rPr>
          <w:color w:val="000000"/>
          <w:sz w:val="24"/>
          <w:szCs w:val="24"/>
        </w:rPr>
        <w:t>Чистый непроцентный доход коммерческих банков вырос в отчётном году на 1,0% до 223,8 млн руб., из которых практически ¾ пришлось на доходы от совершения конверсионных операций (164,0 млн руб. против 198,1 млн руб. в 2014 году).</w:t>
      </w:r>
    </w:p>
    <w:p w:rsidR="00635258" w:rsidRPr="001E3B93" w:rsidRDefault="00635258" w:rsidP="00AA518A">
      <w:pPr>
        <w:ind w:firstLine="425"/>
        <w:jc w:val="both"/>
        <w:rPr>
          <w:color w:val="000000"/>
          <w:sz w:val="24"/>
          <w:szCs w:val="24"/>
        </w:rPr>
      </w:pPr>
      <w:r w:rsidRPr="00324035">
        <w:rPr>
          <w:color w:val="000000"/>
          <w:sz w:val="24"/>
          <w:szCs w:val="24"/>
        </w:rPr>
        <w:t>В общей сумме расходов банков на административные пришлось 43,9%, или</w:t>
      </w:r>
      <w:r w:rsidRPr="001E3B93">
        <w:rPr>
          <w:color w:val="000000"/>
          <w:sz w:val="24"/>
          <w:szCs w:val="24"/>
        </w:rPr>
        <w:t xml:space="preserve"> </w:t>
      </w:r>
      <w:r w:rsidRPr="001E3B93">
        <w:rPr>
          <w:color w:val="000000"/>
          <w:sz w:val="24"/>
          <w:szCs w:val="24"/>
        </w:rPr>
        <w:br/>
        <w:t>307,8 млн руб. (-1,9%).</w:t>
      </w:r>
    </w:p>
    <w:p w:rsidR="00635258" w:rsidRPr="001E3B93" w:rsidRDefault="00635258" w:rsidP="00AA518A">
      <w:pPr>
        <w:widowControl w:val="0"/>
        <w:ind w:firstLine="425"/>
        <w:jc w:val="both"/>
        <w:rPr>
          <w:sz w:val="24"/>
          <w:szCs w:val="24"/>
        </w:rPr>
      </w:pPr>
      <w:r w:rsidRPr="001E3B93">
        <w:rPr>
          <w:sz w:val="24"/>
          <w:szCs w:val="24"/>
        </w:rPr>
        <w:t>Индикаторы, характеризующие возможность действующих коммерческих банков</w:t>
      </w:r>
      <w:r w:rsidRPr="001E3B93">
        <w:rPr>
          <w:rStyle w:val="FootnoteReference"/>
          <w:sz w:val="24"/>
          <w:szCs w:val="24"/>
        </w:rPr>
        <w:footnoteReference w:id="9"/>
      </w:r>
      <w:r w:rsidRPr="001E3B93">
        <w:rPr>
          <w:sz w:val="24"/>
          <w:szCs w:val="24"/>
        </w:rPr>
        <w:t xml:space="preserve"> своевременно и в полном объёме обеспечивать выполнение своих долговых и финансовых обязательств перед всеми контрагентами, </w:t>
      </w:r>
      <w:r w:rsidRPr="001E3B93">
        <w:rPr>
          <w:color w:val="000000"/>
          <w:sz w:val="24"/>
          <w:szCs w:val="24"/>
        </w:rPr>
        <w:t xml:space="preserve">в отчётном году </w:t>
      </w:r>
      <w:r w:rsidRPr="001E3B93">
        <w:rPr>
          <w:sz w:val="24"/>
          <w:szCs w:val="24"/>
        </w:rPr>
        <w:t>находились в установленных пределах:</w:t>
      </w:r>
      <w:r w:rsidRPr="001E3B93">
        <w:rPr>
          <w:color w:val="000000"/>
          <w:sz w:val="24"/>
          <w:szCs w:val="24"/>
        </w:rPr>
        <w:t xml:space="preserve"> мгновенн</w:t>
      </w:r>
      <w:r>
        <w:rPr>
          <w:color w:val="000000"/>
          <w:sz w:val="24"/>
          <w:szCs w:val="24"/>
        </w:rPr>
        <w:t>ая</w:t>
      </w:r>
      <w:r w:rsidRPr="001E3B93">
        <w:rPr>
          <w:sz w:val="24"/>
          <w:szCs w:val="24"/>
        </w:rPr>
        <w:t xml:space="preserve"> ликвидност</w:t>
      </w:r>
      <w:r>
        <w:rPr>
          <w:sz w:val="24"/>
          <w:szCs w:val="24"/>
        </w:rPr>
        <w:t>ь</w:t>
      </w:r>
      <w:r w:rsidRPr="001E3B93">
        <w:rPr>
          <w:color w:val="000000"/>
          <w:sz w:val="24"/>
          <w:szCs w:val="24"/>
        </w:rPr>
        <w:t xml:space="preserve"> – 117,6%, текущ</w:t>
      </w:r>
      <w:r>
        <w:rPr>
          <w:color w:val="000000"/>
          <w:sz w:val="24"/>
          <w:szCs w:val="24"/>
        </w:rPr>
        <w:t>ая</w:t>
      </w:r>
      <w:r w:rsidRPr="001E3B93">
        <w:rPr>
          <w:color w:val="000000"/>
          <w:sz w:val="24"/>
          <w:szCs w:val="24"/>
        </w:rPr>
        <w:t xml:space="preserve"> – 95,6% и долгосрочн</w:t>
      </w:r>
      <w:r>
        <w:rPr>
          <w:color w:val="000000"/>
          <w:sz w:val="24"/>
          <w:szCs w:val="24"/>
        </w:rPr>
        <w:t>ая</w:t>
      </w:r>
      <w:r w:rsidRPr="001E3B93">
        <w:rPr>
          <w:color w:val="000000"/>
          <w:sz w:val="24"/>
          <w:szCs w:val="24"/>
        </w:rPr>
        <w:t xml:space="preserve"> – 55,9%.</w:t>
      </w:r>
      <w:r w:rsidRPr="001E3B93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E3B93">
        <w:rPr>
          <w:sz w:val="24"/>
          <w:szCs w:val="24"/>
        </w:rPr>
        <w:t>ров</w:t>
      </w:r>
      <w:r>
        <w:rPr>
          <w:sz w:val="24"/>
          <w:szCs w:val="24"/>
        </w:rPr>
        <w:t>е</w:t>
      </w:r>
      <w:r w:rsidRPr="001E3B93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1E3B93">
        <w:rPr>
          <w:sz w:val="24"/>
          <w:szCs w:val="24"/>
        </w:rPr>
        <w:t xml:space="preserve"> общей ликвидности банковских учреждений </w:t>
      </w:r>
      <w:r>
        <w:rPr>
          <w:sz w:val="24"/>
          <w:szCs w:val="24"/>
        </w:rPr>
        <w:t>п</w:t>
      </w:r>
      <w:r w:rsidRPr="001E3B93">
        <w:rPr>
          <w:sz w:val="24"/>
          <w:szCs w:val="24"/>
        </w:rPr>
        <w:t>о итогам года составил 26,6%, что на 3,5 п.п.</w:t>
      </w:r>
      <w:r>
        <w:rPr>
          <w:sz w:val="24"/>
          <w:szCs w:val="24"/>
        </w:rPr>
        <w:t xml:space="preserve"> превысило значение</w:t>
      </w:r>
      <w:r w:rsidRPr="001E3B93">
        <w:rPr>
          <w:sz w:val="24"/>
          <w:szCs w:val="24"/>
        </w:rPr>
        <w:t xml:space="preserve"> начала 2015 года</w:t>
      </w:r>
      <w:r>
        <w:rPr>
          <w:sz w:val="24"/>
          <w:szCs w:val="24"/>
        </w:rPr>
        <w:t>.</w:t>
      </w:r>
      <w:r w:rsidRPr="001E3B93">
        <w:rPr>
          <w:sz w:val="24"/>
          <w:szCs w:val="24"/>
        </w:rPr>
        <w:t xml:space="preserve"> </w:t>
      </w:r>
    </w:p>
    <w:p w:rsidR="00635258" w:rsidRDefault="00635258" w:rsidP="00AA518A"/>
    <w:p w:rsidR="00635258" w:rsidRDefault="00635258" w:rsidP="00131D2B">
      <w:pPr>
        <w:spacing w:before="120"/>
        <w:ind w:firstLine="420"/>
        <w:jc w:val="both"/>
        <w:rPr>
          <w:i/>
          <w:iCs/>
          <w:sz w:val="24"/>
          <w:szCs w:val="24"/>
        </w:rPr>
      </w:pPr>
      <w:r w:rsidRPr="00AF392A">
        <w:rPr>
          <w:i/>
          <w:iCs/>
          <w:sz w:val="24"/>
          <w:szCs w:val="24"/>
        </w:rPr>
        <w:t>Валютный рынок</w:t>
      </w:r>
    </w:p>
    <w:p w:rsidR="00635258" w:rsidRPr="00294A15" w:rsidRDefault="00635258" w:rsidP="00131D2B">
      <w:pPr>
        <w:widowControl w:val="0"/>
        <w:shd w:val="clear" w:color="auto" w:fill="FFFFFF"/>
        <w:spacing w:before="120"/>
        <w:ind w:firstLine="425"/>
        <w:jc w:val="both"/>
        <w:rPr>
          <w:sz w:val="24"/>
          <w:szCs w:val="24"/>
        </w:rPr>
      </w:pPr>
      <w:r w:rsidRPr="00294A15">
        <w:rPr>
          <w:sz w:val="24"/>
          <w:szCs w:val="24"/>
        </w:rPr>
        <w:t xml:space="preserve">В </w:t>
      </w:r>
      <w:r>
        <w:rPr>
          <w:sz w:val="24"/>
          <w:szCs w:val="24"/>
        </w:rPr>
        <w:t>отчётном периоде</w:t>
      </w:r>
      <w:r w:rsidRPr="00294A15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внутренний валютный</w:t>
      </w:r>
      <w:r w:rsidRPr="00294A15">
        <w:rPr>
          <w:sz w:val="24"/>
          <w:szCs w:val="24"/>
        </w:rPr>
        <w:t xml:space="preserve"> рын</w:t>
      </w:r>
      <w:r>
        <w:rPr>
          <w:sz w:val="24"/>
          <w:szCs w:val="24"/>
        </w:rPr>
        <w:t>о</w:t>
      </w:r>
      <w:r w:rsidRPr="00294A15">
        <w:rPr>
          <w:sz w:val="24"/>
          <w:szCs w:val="24"/>
        </w:rPr>
        <w:t>к</w:t>
      </w:r>
      <w:r>
        <w:rPr>
          <w:sz w:val="24"/>
          <w:szCs w:val="24"/>
        </w:rPr>
        <w:t xml:space="preserve"> характеризовался</w:t>
      </w:r>
      <w:r w:rsidRPr="00294A15">
        <w:rPr>
          <w:sz w:val="24"/>
          <w:szCs w:val="24"/>
        </w:rPr>
        <w:t xml:space="preserve"> нарастани</w:t>
      </w:r>
      <w:r>
        <w:rPr>
          <w:sz w:val="24"/>
          <w:szCs w:val="24"/>
        </w:rPr>
        <w:t>ем дисбаланса спроса</w:t>
      </w:r>
      <w:r w:rsidRPr="00294A15">
        <w:rPr>
          <w:sz w:val="24"/>
          <w:szCs w:val="24"/>
        </w:rPr>
        <w:t xml:space="preserve"> и предложени</w:t>
      </w:r>
      <w:r>
        <w:rPr>
          <w:sz w:val="24"/>
          <w:szCs w:val="24"/>
        </w:rPr>
        <w:t>я</w:t>
      </w:r>
      <w:r w:rsidRPr="00294A15">
        <w:rPr>
          <w:sz w:val="24"/>
          <w:szCs w:val="24"/>
        </w:rPr>
        <w:t xml:space="preserve">. </w:t>
      </w:r>
      <w:r>
        <w:rPr>
          <w:sz w:val="24"/>
          <w:szCs w:val="24"/>
        </w:rPr>
        <w:t>Его</w:t>
      </w:r>
      <w:r w:rsidRPr="00294A15">
        <w:rPr>
          <w:sz w:val="24"/>
          <w:szCs w:val="24"/>
        </w:rPr>
        <w:t xml:space="preserve"> динамика была обусловлена</w:t>
      </w:r>
      <w:r>
        <w:rPr>
          <w:sz w:val="24"/>
          <w:szCs w:val="24"/>
        </w:rPr>
        <w:t xml:space="preserve"> главным образом</w:t>
      </w:r>
      <w:r w:rsidRPr="00294A15">
        <w:rPr>
          <w:sz w:val="24"/>
          <w:szCs w:val="24"/>
        </w:rPr>
        <w:t xml:space="preserve"> сокращением спроса на ведущие экспортные товары на внешних рынках, резким уменьшением притока средств в экономику республики под влиянием ухудшения ситуации в странах-основных торговых партнёрах. </w:t>
      </w:r>
    </w:p>
    <w:p w:rsidR="00635258" w:rsidRPr="00294A15" w:rsidRDefault="00635258" w:rsidP="00131D2B">
      <w:pPr>
        <w:ind w:firstLine="425"/>
        <w:jc w:val="both"/>
        <w:rPr>
          <w:sz w:val="24"/>
          <w:szCs w:val="24"/>
        </w:rPr>
      </w:pPr>
      <w:r w:rsidRPr="00294A15">
        <w:rPr>
          <w:sz w:val="24"/>
          <w:szCs w:val="24"/>
        </w:rPr>
        <w:t xml:space="preserve">Совокупная ёмкость рынка наличных валютообменных операций составила </w:t>
      </w:r>
      <w:r>
        <w:rPr>
          <w:sz w:val="24"/>
          <w:szCs w:val="24"/>
        </w:rPr>
        <w:br/>
      </w:r>
      <w:r w:rsidRPr="00294A15">
        <w:rPr>
          <w:sz w:val="24"/>
          <w:szCs w:val="24"/>
        </w:rPr>
        <w:t xml:space="preserve">436,7 млн долл. При этом в отчётном году можно отметить углубление спада объёмов конверсий: с -14,1% до -39,5%. Долларовый эквивалент наличной иностранной валюты, проданной </w:t>
      </w:r>
      <w:r>
        <w:rPr>
          <w:sz w:val="24"/>
          <w:szCs w:val="24"/>
        </w:rPr>
        <w:t>физическими лицами</w:t>
      </w:r>
      <w:r w:rsidRPr="00294A15">
        <w:rPr>
          <w:sz w:val="24"/>
          <w:szCs w:val="24"/>
        </w:rPr>
        <w:t>, уменьшился относительно базисной величины в 1,8 раза до 204,1 млн. Структурное преобладание сохранилось за сделками с долларом США – на их долю пришлось порядка 60% совокупного значения, или 124,9 млн долл. Масштабы удовлетворённого спроса снизились до уровня 2011 года, составив 232,6 млн долл.</w:t>
      </w:r>
      <w:r>
        <w:rPr>
          <w:sz w:val="24"/>
          <w:szCs w:val="24"/>
        </w:rPr>
        <w:t xml:space="preserve"> (-35%, или -1</w:t>
      </w:r>
      <w:r w:rsidRPr="00294A15">
        <w:rPr>
          <w:sz w:val="24"/>
          <w:szCs w:val="24"/>
        </w:rPr>
        <w:t>24,7 млн долл.</w:t>
      </w:r>
      <w:r>
        <w:rPr>
          <w:sz w:val="24"/>
          <w:szCs w:val="24"/>
        </w:rPr>
        <w:t>).</w:t>
      </w:r>
      <w:r w:rsidRPr="00294A15">
        <w:rPr>
          <w:sz w:val="24"/>
          <w:szCs w:val="24"/>
        </w:rPr>
        <w:t xml:space="preserve"> </w:t>
      </w:r>
      <w:r>
        <w:rPr>
          <w:sz w:val="24"/>
          <w:szCs w:val="24"/>
        </w:rPr>
        <w:t>При этом</w:t>
      </w:r>
      <w:r w:rsidRPr="00294A15">
        <w:rPr>
          <w:sz w:val="24"/>
          <w:szCs w:val="24"/>
        </w:rPr>
        <w:t xml:space="preserve"> сумма купленной</w:t>
      </w:r>
      <w:r>
        <w:rPr>
          <w:sz w:val="24"/>
          <w:szCs w:val="24"/>
        </w:rPr>
        <w:t xml:space="preserve"> гражданами</w:t>
      </w:r>
      <w:r w:rsidRPr="00294A15">
        <w:rPr>
          <w:sz w:val="24"/>
          <w:szCs w:val="24"/>
        </w:rPr>
        <w:t xml:space="preserve"> американской валюты сократилась в 1,5 раза до 194,1 млн долл., или 83,4% совокупного показателя.</w:t>
      </w:r>
      <w:r>
        <w:rPr>
          <w:sz w:val="24"/>
          <w:szCs w:val="24"/>
        </w:rPr>
        <w:t xml:space="preserve"> Из совокупного объёма более 36% (71,5 млн долл.) было обеспечено наличными интервенциями центрального банка.</w:t>
      </w:r>
      <w:r w:rsidRPr="00294A15">
        <w:rPr>
          <w:sz w:val="24"/>
          <w:szCs w:val="24"/>
        </w:rPr>
        <w:t xml:space="preserve"> Результатом зафиксированной динамики </w:t>
      </w:r>
      <w:r>
        <w:rPr>
          <w:sz w:val="24"/>
          <w:szCs w:val="24"/>
        </w:rPr>
        <w:t xml:space="preserve">операций </w:t>
      </w:r>
      <w:r w:rsidRPr="00294A15">
        <w:rPr>
          <w:sz w:val="24"/>
          <w:szCs w:val="24"/>
        </w:rPr>
        <w:t>стало формирование отрицательного сальдо (превышение</w:t>
      </w:r>
      <w:r>
        <w:rPr>
          <w:sz w:val="24"/>
          <w:szCs w:val="24"/>
        </w:rPr>
        <w:t xml:space="preserve"> объёма</w:t>
      </w:r>
      <w:r w:rsidRPr="00294A15">
        <w:rPr>
          <w:sz w:val="24"/>
          <w:szCs w:val="24"/>
        </w:rPr>
        <w:t xml:space="preserve"> покупки</w:t>
      </w:r>
      <w:r>
        <w:rPr>
          <w:sz w:val="24"/>
          <w:szCs w:val="24"/>
        </w:rPr>
        <w:t xml:space="preserve"> населением над величиной </w:t>
      </w:r>
      <w:r w:rsidRPr="00294A15">
        <w:rPr>
          <w:sz w:val="24"/>
          <w:szCs w:val="24"/>
        </w:rPr>
        <w:t>продажи</w:t>
      </w:r>
      <w:r>
        <w:rPr>
          <w:sz w:val="24"/>
          <w:szCs w:val="24"/>
        </w:rPr>
        <w:t>)</w:t>
      </w:r>
      <w:r w:rsidRPr="00294A15">
        <w:rPr>
          <w:sz w:val="24"/>
          <w:szCs w:val="24"/>
        </w:rPr>
        <w:t xml:space="preserve"> в сумме 28,5 млн долл.</w:t>
      </w:r>
      <w:r>
        <w:rPr>
          <w:sz w:val="24"/>
          <w:szCs w:val="24"/>
        </w:rPr>
        <w:t xml:space="preserve"> (в 2014 году нетто-продажа населением составляла 7,8 млн долл. в эквиваленте).</w:t>
      </w:r>
    </w:p>
    <w:p w:rsidR="00635258" w:rsidRPr="00294A15" w:rsidRDefault="00635258" w:rsidP="00131D2B">
      <w:pPr>
        <w:widowControl w:val="0"/>
        <w:ind w:firstLine="425"/>
        <w:jc w:val="both"/>
        <w:rPr>
          <w:sz w:val="24"/>
          <w:szCs w:val="24"/>
        </w:rPr>
      </w:pPr>
      <w:r w:rsidRPr="00294A15">
        <w:rPr>
          <w:sz w:val="24"/>
          <w:szCs w:val="24"/>
        </w:rPr>
        <w:t xml:space="preserve">На безналичном сегменте валютного рынка республики также в основном наблюдалось сокращение объёмов конверсионных операций. Так, совокупная ёмкость внутреннего валютного аукциона банков снизилась на 29,9% (до 995,0 млн долл.) против расширения на 6,5% </w:t>
      </w:r>
      <w:r>
        <w:rPr>
          <w:sz w:val="24"/>
          <w:szCs w:val="24"/>
        </w:rPr>
        <w:t>в 2014 году</w:t>
      </w:r>
      <w:r w:rsidRPr="00294A15">
        <w:rPr>
          <w:sz w:val="24"/>
          <w:szCs w:val="24"/>
        </w:rPr>
        <w:t xml:space="preserve">. Вектор показателя преимущественно был обусловлен уменьшением суммы покупки хозяйствующими субъектами иностранной валюты (-39,9% до 456,7 млн в долларовом эквиваленте). В её структуре, как и ранее, преобладали операции с долларом США (73,5%), составившие в абсолютном выражении 335,8 млн долл. (-41,4%). </w:t>
      </w:r>
      <w:r>
        <w:rPr>
          <w:sz w:val="24"/>
          <w:szCs w:val="24"/>
        </w:rPr>
        <w:t>Т</w:t>
      </w:r>
      <w:r w:rsidRPr="00294A15">
        <w:rPr>
          <w:sz w:val="24"/>
          <w:szCs w:val="24"/>
        </w:rPr>
        <w:t xml:space="preserve">емпы сужения объёма проданной юридическими лицами иностранной валюты </w:t>
      </w:r>
      <w:r>
        <w:rPr>
          <w:sz w:val="24"/>
          <w:szCs w:val="24"/>
        </w:rPr>
        <w:t>составили</w:t>
      </w:r>
      <w:r w:rsidRPr="00294A1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294A15">
        <w:rPr>
          <w:sz w:val="24"/>
          <w:szCs w:val="24"/>
        </w:rPr>
        <w:t xml:space="preserve">18,4% до 538,3 млн долл. Динамикой роста характеризовались только сделки по предложению доллара США (+23,7% до 423,1 млн долл.), на долю которых пришлось 78,6%. Таким образом, итогом валютообменных сделок, осуществлённых на внутреннем валютном аукционе банков, стала нетто-продажа юридическими лицами иностранной валюты в </w:t>
      </w:r>
      <w:r>
        <w:rPr>
          <w:sz w:val="24"/>
          <w:szCs w:val="24"/>
        </w:rPr>
        <w:t xml:space="preserve">эквиваленте </w:t>
      </w:r>
      <w:r>
        <w:rPr>
          <w:sz w:val="24"/>
          <w:szCs w:val="24"/>
        </w:rPr>
        <w:br/>
      </w:r>
      <w:r w:rsidRPr="00294A15">
        <w:rPr>
          <w:sz w:val="24"/>
          <w:szCs w:val="24"/>
        </w:rPr>
        <w:t xml:space="preserve">81,6 млн долл. против чистой покупки в 2014 году 100,1 млн долл. </w:t>
      </w:r>
    </w:p>
    <w:p w:rsidR="00635258" w:rsidRPr="00294A15" w:rsidRDefault="00635258" w:rsidP="00131D2B">
      <w:pPr>
        <w:widowControl w:val="0"/>
        <w:shd w:val="clear" w:color="auto" w:fill="FFFFFF"/>
        <w:ind w:firstLine="425"/>
        <w:jc w:val="both"/>
        <w:rPr>
          <w:sz w:val="24"/>
          <w:szCs w:val="24"/>
        </w:rPr>
      </w:pPr>
      <w:r w:rsidRPr="00294A15">
        <w:rPr>
          <w:sz w:val="24"/>
          <w:szCs w:val="24"/>
        </w:rPr>
        <w:t xml:space="preserve">Ёмкость межбанковского рынка расширилась на 27,6% до 490,3 млн в долларовом эквиваленте. Преобладающей валютой сделок оставался доллар США, на долю которого пришлось 75,3% конверсий, или 369,3 млн долл. (рост в 1,9 раза). На фоне высокой активности операций с евро (рост в 2,9 раза до 24,8 млн долл.) наблюдалось их сокращение с российским рублём (в 1,6 раза до 90,5 млн долл.) и молдавским леем (в 5,2 раза до </w:t>
      </w:r>
      <w:r>
        <w:rPr>
          <w:sz w:val="24"/>
          <w:szCs w:val="24"/>
        </w:rPr>
        <w:br/>
      </w:r>
      <w:r w:rsidRPr="00294A15">
        <w:rPr>
          <w:sz w:val="24"/>
          <w:szCs w:val="24"/>
        </w:rPr>
        <w:t xml:space="preserve">5,7 млн долл.). </w:t>
      </w:r>
    </w:p>
    <w:p w:rsidR="00635258" w:rsidRPr="00294A15" w:rsidRDefault="00635258" w:rsidP="00131D2B">
      <w:pPr>
        <w:widowControl w:val="0"/>
        <w:spacing w:line="238" w:lineRule="auto"/>
        <w:ind w:firstLine="425"/>
        <w:jc w:val="both"/>
        <w:rPr>
          <w:sz w:val="24"/>
          <w:szCs w:val="24"/>
        </w:rPr>
      </w:pPr>
      <w:r w:rsidRPr="00294A15">
        <w:rPr>
          <w:sz w:val="24"/>
          <w:szCs w:val="24"/>
        </w:rPr>
        <w:t xml:space="preserve">В 2015 году Приднестровский республиканский банк для удовлетворения потребностей хозяйствующих субъектов </w:t>
      </w:r>
      <w:r>
        <w:rPr>
          <w:sz w:val="24"/>
          <w:szCs w:val="24"/>
        </w:rPr>
        <w:t xml:space="preserve">посредством продажи на валютном аукционе под импортные контракты </w:t>
      </w:r>
      <w:r w:rsidRPr="00294A15">
        <w:rPr>
          <w:sz w:val="24"/>
          <w:szCs w:val="24"/>
        </w:rPr>
        <w:t xml:space="preserve">реализовал </w:t>
      </w:r>
      <w:r>
        <w:rPr>
          <w:sz w:val="24"/>
          <w:szCs w:val="24"/>
        </w:rPr>
        <w:t>порядка 103,8 млн долл.</w:t>
      </w:r>
    </w:p>
    <w:p w:rsidR="00635258" w:rsidRPr="00294A15" w:rsidRDefault="00635258" w:rsidP="00131D2B">
      <w:pPr>
        <w:tabs>
          <w:tab w:val="left" w:pos="4816"/>
        </w:tabs>
        <w:ind w:firstLine="425"/>
        <w:jc w:val="both"/>
        <w:rPr>
          <w:sz w:val="24"/>
          <w:szCs w:val="24"/>
        </w:rPr>
      </w:pPr>
      <w:r w:rsidRPr="00294A15">
        <w:rPr>
          <w:sz w:val="24"/>
          <w:szCs w:val="24"/>
        </w:rPr>
        <w:t xml:space="preserve">Рассматривая динамику рыночного курса доллара США, можно отметить, что в течение </w:t>
      </w:r>
      <w:r>
        <w:rPr>
          <w:sz w:val="24"/>
          <w:szCs w:val="24"/>
        </w:rPr>
        <w:t>2015</w:t>
      </w:r>
      <w:r w:rsidRPr="00294A15">
        <w:rPr>
          <w:sz w:val="24"/>
          <w:szCs w:val="24"/>
        </w:rPr>
        <w:t xml:space="preserve"> года на фоне стабильности официального курса она изменялась незначительно. Средневзвешенный курс покупки клиентами наличного доллара составил 11,</w:t>
      </w:r>
      <w:r>
        <w:rPr>
          <w:sz w:val="24"/>
          <w:szCs w:val="24"/>
        </w:rPr>
        <w:t>1495 руб./долл., безналичного – 11,1468</w:t>
      </w:r>
      <w:r w:rsidRPr="00294A15">
        <w:rPr>
          <w:sz w:val="24"/>
          <w:szCs w:val="24"/>
        </w:rPr>
        <w:t xml:space="preserve"> руб./долл</w:t>
      </w:r>
      <w:r w:rsidRPr="00454D8F">
        <w:rPr>
          <w:sz w:val="24"/>
          <w:szCs w:val="24"/>
        </w:rPr>
        <w:t>. Соответственно, отклонение от базисн</w:t>
      </w:r>
      <w:r>
        <w:rPr>
          <w:sz w:val="24"/>
          <w:szCs w:val="24"/>
        </w:rPr>
        <w:t>ых</w:t>
      </w:r>
      <w:r w:rsidRPr="00454D8F"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 w:rsidRPr="00454D8F">
        <w:rPr>
          <w:sz w:val="24"/>
          <w:szCs w:val="24"/>
        </w:rPr>
        <w:t xml:space="preserve"> сложилось в размере +0,8 копейки и +0,2 копейки, что является минимальным значением за ряд последних лет.</w:t>
      </w:r>
    </w:p>
    <w:p w:rsidR="00635258" w:rsidRPr="00077177" w:rsidRDefault="00635258" w:rsidP="00131D2B">
      <w:pPr>
        <w:rPr>
          <w:rFonts w:ascii="Sylfaen" w:hAnsi="Sylfaen" w:cs="Sylfaen"/>
          <w:sz w:val="22"/>
          <w:szCs w:val="22"/>
        </w:rPr>
      </w:pPr>
    </w:p>
    <w:p w:rsidR="00635258" w:rsidRDefault="00635258" w:rsidP="00131D2B">
      <w:pPr>
        <w:numPr>
          <w:ilvl w:val="1"/>
          <w:numId w:val="2"/>
        </w:numPr>
        <w:jc w:val="both"/>
        <w:rPr>
          <w:b/>
          <w:bCs/>
          <w:noProof/>
          <w:sz w:val="24"/>
          <w:szCs w:val="24"/>
        </w:rPr>
      </w:pPr>
      <w:r w:rsidRPr="00FD21E2">
        <w:rPr>
          <w:b/>
          <w:bCs/>
          <w:noProof/>
          <w:sz w:val="24"/>
          <w:szCs w:val="24"/>
        </w:rPr>
        <w:t>ПЛАТЁЖНАЯ СИСТЕМА</w:t>
      </w:r>
    </w:p>
    <w:p w:rsidR="00635258" w:rsidRPr="00285745" w:rsidRDefault="00635258" w:rsidP="00131D2B">
      <w:pPr>
        <w:autoSpaceDE w:val="0"/>
        <w:autoSpaceDN w:val="0"/>
        <w:adjustRightInd w:val="0"/>
        <w:spacing w:before="120"/>
        <w:ind w:firstLine="425"/>
        <w:jc w:val="both"/>
        <w:rPr>
          <w:sz w:val="24"/>
          <w:szCs w:val="24"/>
        </w:rPr>
      </w:pPr>
      <w:r w:rsidRPr="00285745">
        <w:rPr>
          <w:sz w:val="24"/>
          <w:szCs w:val="24"/>
        </w:rPr>
        <w:t>Институциональную основу платёжной системы</w:t>
      </w:r>
      <w:r>
        <w:rPr>
          <w:sz w:val="24"/>
          <w:szCs w:val="24"/>
        </w:rPr>
        <w:t xml:space="preserve"> республики</w:t>
      </w:r>
      <w:r w:rsidRPr="00285745">
        <w:rPr>
          <w:sz w:val="24"/>
          <w:szCs w:val="24"/>
        </w:rPr>
        <w:t xml:space="preserve"> составляет банковский сектор. По итогам года платёжные услуги предоставляли 6 головных офисов, 21 филиал и </w:t>
      </w:r>
      <w:r>
        <w:rPr>
          <w:sz w:val="24"/>
          <w:szCs w:val="24"/>
        </w:rPr>
        <w:br/>
        <w:t>287</w:t>
      </w:r>
      <w:r w:rsidRPr="00285745">
        <w:rPr>
          <w:sz w:val="24"/>
          <w:szCs w:val="24"/>
        </w:rPr>
        <w:t xml:space="preserve"> отделений кредитных организаций. По данным на 1 января 201</w:t>
      </w:r>
      <w:r>
        <w:rPr>
          <w:sz w:val="24"/>
          <w:szCs w:val="24"/>
        </w:rPr>
        <w:t>6</w:t>
      </w:r>
      <w:r w:rsidRPr="00285745">
        <w:rPr>
          <w:sz w:val="24"/>
          <w:szCs w:val="24"/>
        </w:rPr>
        <w:t xml:space="preserve"> года они обслуживали </w:t>
      </w:r>
      <w:r>
        <w:rPr>
          <w:sz w:val="24"/>
          <w:szCs w:val="24"/>
        </w:rPr>
        <w:t>493 272</w:t>
      </w:r>
      <w:r w:rsidRPr="00285745">
        <w:rPr>
          <w:sz w:val="24"/>
          <w:szCs w:val="24"/>
        </w:rPr>
        <w:t xml:space="preserve"> счетов клиентов (+</w:t>
      </w:r>
      <w:r>
        <w:rPr>
          <w:sz w:val="24"/>
          <w:szCs w:val="24"/>
        </w:rPr>
        <w:t>20,5</w:t>
      </w:r>
      <w:r w:rsidRPr="00285745">
        <w:rPr>
          <w:sz w:val="24"/>
          <w:szCs w:val="24"/>
        </w:rPr>
        <w:t xml:space="preserve">%), из которых </w:t>
      </w:r>
      <w:r>
        <w:rPr>
          <w:sz w:val="24"/>
          <w:szCs w:val="24"/>
        </w:rPr>
        <w:t xml:space="preserve">на </w:t>
      </w:r>
      <w:r w:rsidRPr="00285745">
        <w:rPr>
          <w:sz w:val="24"/>
          <w:szCs w:val="24"/>
        </w:rPr>
        <w:t>дол</w:t>
      </w:r>
      <w:r>
        <w:rPr>
          <w:sz w:val="24"/>
          <w:szCs w:val="24"/>
        </w:rPr>
        <w:t>ю</w:t>
      </w:r>
      <w:r w:rsidRPr="00285745">
        <w:rPr>
          <w:sz w:val="24"/>
          <w:szCs w:val="24"/>
        </w:rPr>
        <w:t xml:space="preserve"> физических </w:t>
      </w:r>
      <w:r w:rsidRPr="001570CD">
        <w:rPr>
          <w:sz w:val="24"/>
          <w:szCs w:val="24"/>
        </w:rPr>
        <w:t xml:space="preserve">лиц </w:t>
      </w:r>
      <w:r>
        <w:rPr>
          <w:sz w:val="24"/>
          <w:szCs w:val="24"/>
        </w:rPr>
        <w:t>пришлось</w:t>
      </w:r>
      <w:r w:rsidRPr="001570CD">
        <w:rPr>
          <w:sz w:val="24"/>
          <w:szCs w:val="24"/>
        </w:rPr>
        <w:t xml:space="preserve"> 97,5%. В то же время показатель охвата населения банковскими услугами сохранился на уровне </w:t>
      </w:r>
      <w:r>
        <w:rPr>
          <w:sz w:val="24"/>
          <w:szCs w:val="24"/>
        </w:rPr>
        <w:br/>
      </w:r>
      <w:r w:rsidRPr="001570CD">
        <w:rPr>
          <w:sz w:val="24"/>
          <w:szCs w:val="24"/>
        </w:rPr>
        <w:t>1,6 тыс. человек</w:t>
      </w:r>
      <w:r w:rsidRPr="00285745">
        <w:rPr>
          <w:sz w:val="24"/>
          <w:szCs w:val="24"/>
        </w:rPr>
        <w:t xml:space="preserve"> на 1 единицу.</w:t>
      </w:r>
    </w:p>
    <w:p w:rsidR="00635258" w:rsidRDefault="00635258" w:rsidP="00131D2B">
      <w:pPr>
        <w:widowControl w:val="0"/>
        <w:ind w:firstLine="425"/>
        <w:jc w:val="both"/>
        <w:rPr>
          <w:sz w:val="24"/>
          <w:szCs w:val="24"/>
        </w:rPr>
      </w:pPr>
      <w:r w:rsidRPr="005F2948">
        <w:rPr>
          <w:sz w:val="24"/>
          <w:szCs w:val="24"/>
        </w:rPr>
        <w:t>Платёжная система Приднестровского республиканского банка является ключевым элементом республиканской платёжной системы. В 2014 году через неё было осуществлено 1 509,6 тыс. переводов денежных средств на общую сумму 66 775,0 млн руб</w:t>
      </w:r>
      <w:r>
        <w:rPr>
          <w:sz w:val="24"/>
          <w:szCs w:val="24"/>
        </w:rPr>
        <w:t>.</w:t>
      </w:r>
    </w:p>
    <w:p w:rsidR="00635258" w:rsidRPr="00763B65" w:rsidRDefault="00635258" w:rsidP="00131D2B">
      <w:pPr>
        <w:widowControl w:val="0"/>
        <w:ind w:firstLine="425"/>
        <w:jc w:val="both"/>
        <w:rPr>
          <w:sz w:val="24"/>
          <w:szCs w:val="24"/>
        </w:rPr>
      </w:pPr>
      <w:r w:rsidRPr="00763B65">
        <w:rPr>
          <w:sz w:val="24"/>
          <w:szCs w:val="24"/>
        </w:rPr>
        <w:t xml:space="preserve">Помимо кредитных организаций услуги по осуществлению переводов денежных средств, а также по приёму коммунальных платежей предоставляет ГУП «Почта Приднестровья». В отчётном </w:t>
      </w:r>
      <w:r>
        <w:rPr>
          <w:sz w:val="24"/>
          <w:szCs w:val="24"/>
        </w:rPr>
        <w:t xml:space="preserve">году </w:t>
      </w:r>
      <w:r w:rsidRPr="00763B65">
        <w:rPr>
          <w:sz w:val="24"/>
          <w:szCs w:val="24"/>
        </w:rPr>
        <w:t xml:space="preserve">через сеть отделений этой организации было переведено </w:t>
      </w:r>
      <w:r>
        <w:rPr>
          <w:sz w:val="24"/>
          <w:szCs w:val="24"/>
        </w:rPr>
        <w:t>9,3</w:t>
      </w:r>
      <w:r w:rsidRPr="00763B65">
        <w:rPr>
          <w:sz w:val="24"/>
          <w:szCs w:val="24"/>
        </w:rPr>
        <w:t xml:space="preserve"> млн руб., что на </w:t>
      </w:r>
      <w:r>
        <w:rPr>
          <w:sz w:val="24"/>
          <w:szCs w:val="24"/>
        </w:rPr>
        <w:t>четверть</w:t>
      </w:r>
      <w:r w:rsidRPr="00763B65">
        <w:rPr>
          <w:sz w:val="24"/>
          <w:szCs w:val="24"/>
        </w:rPr>
        <w:t xml:space="preserve"> меньше, чем в 201</w:t>
      </w:r>
      <w:r>
        <w:rPr>
          <w:sz w:val="24"/>
          <w:szCs w:val="24"/>
        </w:rPr>
        <w:t>4</w:t>
      </w:r>
      <w:r w:rsidRPr="00763B65">
        <w:rPr>
          <w:sz w:val="24"/>
          <w:szCs w:val="24"/>
        </w:rPr>
        <w:t xml:space="preserve"> году. При этом </w:t>
      </w:r>
      <w:r>
        <w:rPr>
          <w:sz w:val="24"/>
          <w:szCs w:val="24"/>
        </w:rPr>
        <w:t xml:space="preserve">в суммарном выражении величина </w:t>
      </w:r>
      <w:r w:rsidRPr="00763B65">
        <w:rPr>
          <w:sz w:val="24"/>
          <w:szCs w:val="24"/>
        </w:rPr>
        <w:t>отправленных денег снизил</w:t>
      </w:r>
      <w:r>
        <w:rPr>
          <w:sz w:val="24"/>
          <w:szCs w:val="24"/>
        </w:rPr>
        <w:t>а</w:t>
      </w:r>
      <w:r w:rsidRPr="00763B65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763B65">
        <w:rPr>
          <w:sz w:val="24"/>
          <w:szCs w:val="24"/>
        </w:rPr>
        <w:t xml:space="preserve"> на </w:t>
      </w:r>
      <w:r>
        <w:rPr>
          <w:sz w:val="24"/>
          <w:szCs w:val="24"/>
        </w:rPr>
        <w:t>22,6</w:t>
      </w:r>
      <w:r w:rsidRPr="00763B65">
        <w:rPr>
          <w:sz w:val="24"/>
          <w:szCs w:val="24"/>
        </w:rPr>
        <w:t xml:space="preserve">% до </w:t>
      </w:r>
      <w:r>
        <w:rPr>
          <w:sz w:val="24"/>
          <w:szCs w:val="24"/>
        </w:rPr>
        <w:t>4,8</w:t>
      </w:r>
      <w:r w:rsidRPr="00763B65">
        <w:rPr>
          <w:sz w:val="24"/>
          <w:szCs w:val="24"/>
        </w:rPr>
        <w:t xml:space="preserve"> млн руб., полученных – на </w:t>
      </w:r>
      <w:r>
        <w:rPr>
          <w:sz w:val="24"/>
          <w:szCs w:val="24"/>
        </w:rPr>
        <w:t>28,6</w:t>
      </w:r>
      <w:r w:rsidRPr="00763B65">
        <w:rPr>
          <w:sz w:val="24"/>
          <w:szCs w:val="24"/>
        </w:rPr>
        <w:t xml:space="preserve">% до </w:t>
      </w:r>
      <w:r>
        <w:rPr>
          <w:sz w:val="24"/>
          <w:szCs w:val="24"/>
        </w:rPr>
        <w:t>4,5</w:t>
      </w:r>
      <w:r w:rsidRPr="00763B65">
        <w:rPr>
          <w:sz w:val="24"/>
          <w:szCs w:val="24"/>
        </w:rPr>
        <w:t xml:space="preserve"> млн руб. Основной объём транзакций осуществлялся по территории республики – </w:t>
      </w:r>
      <w:r>
        <w:rPr>
          <w:sz w:val="24"/>
          <w:szCs w:val="24"/>
        </w:rPr>
        <w:br/>
        <w:t>6,8</w:t>
      </w:r>
      <w:r w:rsidRPr="00763B65">
        <w:rPr>
          <w:sz w:val="24"/>
          <w:szCs w:val="24"/>
        </w:rPr>
        <w:t xml:space="preserve"> млн руб., или </w:t>
      </w:r>
      <w:r>
        <w:rPr>
          <w:sz w:val="24"/>
          <w:szCs w:val="24"/>
        </w:rPr>
        <w:t>73,1</w:t>
      </w:r>
      <w:r w:rsidRPr="00763B65">
        <w:rPr>
          <w:sz w:val="24"/>
          <w:szCs w:val="24"/>
        </w:rPr>
        <w:t xml:space="preserve">% от </w:t>
      </w:r>
      <w:r>
        <w:rPr>
          <w:sz w:val="24"/>
          <w:szCs w:val="24"/>
        </w:rPr>
        <w:t>итогового показателя</w:t>
      </w:r>
      <w:r w:rsidRPr="00763B65">
        <w:rPr>
          <w:sz w:val="24"/>
          <w:szCs w:val="24"/>
        </w:rPr>
        <w:t xml:space="preserve">. В разрезе направлений на внутренние переводы пришлось </w:t>
      </w:r>
      <w:r>
        <w:rPr>
          <w:sz w:val="24"/>
          <w:szCs w:val="24"/>
        </w:rPr>
        <w:t>82,8</w:t>
      </w:r>
      <w:r w:rsidRPr="00763B65">
        <w:rPr>
          <w:sz w:val="24"/>
          <w:szCs w:val="24"/>
        </w:rPr>
        <w:t xml:space="preserve">% отправленных и </w:t>
      </w:r>
      <w:r>
        <w:rPr>
          <w:sz w:val="24"/>
          <w:szCs w:val="24"/>
        </w:rPr>
        <w:t>64,2</w:t>
      </w:r>
      <w:r w:rsidRPr="00763B65">
        <w:rPr>
          <w:sz w:val="24"/>
          <w:szCs w:val="24"/>
        </w:rPr>
        <w:t xml:space="preserve">% полученных. </w:t>
      </w:r>
    </w:p>
    <w:p w:rsidR="00635258" w:rsidRPr="00F61C90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F61C90">
        <w:rPr>
          <w:sz w:val="24"/>
          <w:szCs w:val="24"/>
        </w:rPr>
        <w:t xml:space="preserve">На территории республики действует </w:t>
      </w:r>
      <w:r>
        <w:rPr>
          <w:sz w:val="24"/>
          <w:szCs w:val="24"/>
        </w:rPr>
        <w:t>8</w:t>
      </w:r>
      <w:r w:rsidRPr="00F61C90">
        <w:rPr>
          <w:sz w:val="24"/>
          <w:szCs w:val="24"/>
        </w:rPr>
        <w:t xml:space="preserve"> платёжных карточных систем, из которых </w:t>
      </w:r>
      <w:r>
        <w:rPr>
          <w:sz w:val="24"/>
          <w:szCs w:val="24"/>
        </w:rPr>
        <w:br/>
        <w:t>4</w:t>
      </w:r>
      <w:r w:rsidRPr="00F61C90">
        <w:rPr>
          <w:sz w:val="24"/>
          <w:szCs w:val="24"/>
        </w:rPr>
        <w:t xml:space="preserve"> являются отечественными. </w:t>
      </w:r>
      <w:r w:rsidRPr="00EB7628">
        <w:rPr>
          <w:sz w:val="24"/>
          <w:szCs w:val="24"/>
        </w:rPr>
        <w:t>По состоянию на 01.01.2016 г. число</w:t>
      </w:r>
      <w:r w:rsidRPr="00F61C90">
        <w:rPr>
          <w:sz w:val="24"/>
          <w:szCs w:val="24"/>
        </w:rPr>
        <w:t xml:space="preserve"> держателей карт</w:t>
      </w:r>
      <w:r>
        <w:rPr>
          <w:sz w:val="24"/>
          <w:szCs w:val="24"/>
        </w:rPr>
        <w:t xml:space="preserve"> достигло</w:t>
      </w:r>
      <w:r w:rsidRPr="00F61C90">
        <w:rPr>
          <w:sz w:val="24"/>
          <w:szCs w:val="24"/>
        </w:rPr>
        <w:t xml:space="preserve"> </w:t>
      </w:r>
      <w:r>
        <w:rPr>
          <w:sz w:val="24"/>
          <w:szCs w:val="24"/>
        </w:rPr>
        <w:t>139 548</w:t>
      </w:r>
      <w:r w:rsidRPr="00F61C90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, увеличившись</w:t>
      </w:r>
      <w:r w:rsidRPr="00F61C90">
        <w:rPr>
          <w:sz w:val="24"/>
          <w:szCs w:val="24"/>
        </w:rPr>
        <w:t xml:space="preserve"> за год на </w:t>
      </w:r>
      <w:r>
        <w:rPr>
          <w:sz w:val="24"/>
          <w:szCs w:val="24"/>
        </w:rPr>
        <w:t>34,2%</w:t>
      </w:r>
      <w:r w:rsidRPr="00F61C90">
        <w:rPr>
          <w:sz w:val="24"/>
          <w:szCs w:val="24"/>
        </w:rPr>
        <w:t xml:space="preserve">, из </w:t>
      </w:r>
      <w:r>
        <w:rPr>
          <w:sz w:val="24"/>
          <w:szCs w:val="24"/>
        </w:rPr>
        <w:t>них</w:t>
      </w:r>
      <w:r w:rsidRPr="00F61C90">
        <w:rPr>
          <w:sz w:val="24"/>
          <w:szCs w:val="24"/>
        </w:rPr>
        <w:t xml:space="preserve"> 96,</w:t>
      </w:r>
      <w:r>
        <w:rPr>
          <w:sz w:val="24"/>
          <w:szCs w:val="24"/>
        </w:rPr>
        <w:t>9</w:t>
      </w:r>
      <w:r w:rsidRPr="00F61C90">
        <w:rPr>
          <w:sz w:val="24"/>
          <w:szCs w:val="24"/>
        </w:rPr>
        <w:t xml:space="preserve">% являются обладателями приднестровских платёжных инструментов. </w:t>
      </w:r>
      <w:r w:rsidRPr="00EB7628">
        <w:rPr>
          <w:sz w:val="24"/>
          <w:szCs w:val="24"/>
        </w:rPr>
        <w:t>Среднемесячные остатки на картах (счетах) сократились на 23,8% и по итогам декабря составили 51,8 млн руб., или 371,0 руб. (-43,3%) в расчёте на 1 держателя.</w:t>
      </w:r>
      <w:r w:rsidRPr="00F61C90">
        <w:rPr>
          <w:sz w:val="24"/>
          <w:szCs w:val="24"/>
        </w:rPr>
        <w:t xml:space="preserve"> </w:t>
      </w:r>
    </w:p>
    <w:p w:rsidR="00635258" w:rsidRPr="00A34FEC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A34FEC">
        <w:rPr>
          <w:sz w:val="24"/>
          <w:szCs w:val="24"/>
        </w:rPr>
        <w:t xml:space="preserve">С использованием карт в 2015 году было осуществлено </w:t>
      </w:r>
      <w:r>
        <w:rPr>
          <w:sz w:val="24"/>
          <w:szCs w:val="24"/>
        </w:rPr>
        <w:t>6 317 376</w:t>
      </w:r>
      <w:r w:rsidRPr="00A34FEC">
        <w:rPr>
          <w:sz w:val="24"/>
          <w:szCs w:val="24"/>
        </w:rPr>
        <w:t xml:space="preserve"> транзакций, что на </w:t>
      </w:r>
      <w:r>
        <w:rPr>
          <w:sz w:val="24"/>
          <w:szCs w:val="24"/>
        </w:rPr>
        <w:t>8,5</w:t>
      </w:r>
      <w:r w:rsidRPr="00A34FEC">
        <w:rPr>
          <w:sz w:val="24"/>
          <w:szCs w:val="24"/>
        </w:rPr>
        <w:t>% превысило базисную отметку. В суммарном выражении объём операций</w:t>
      </w:r>
      <w:r>
        <w:rPr>
          <w:sz w:val="24"/>
          <w:szCs w:val="24"/>
        </w:rPr>
        <w:t>, напротив,</w:t>
      </w:r>
      <w:r w:rsidRPr="00A34FEC">
        <w:rPr>
          <w:sz w:val="24"/>
          <w:szCs w:val="24"/>
        </w:rPr>
        <w:t xml:space="preserve"> </w:t>
      </w:r>
      <w:r>
        <w:rPr>
          <w:sz w:val="24"/>
          <w:szCs w:val="24"/>
        </w:rPr>
        <w:t>сократился</w:t>
      </w:r>
      <w:r w:rsidRPr="00A34FEC">
        <w:rPr>
          <w:sz w:val="24"/>
          <w:szCs w:val="24"/>
        </w:rPr>
        <w:t xml:space="preserve"> на </w:t>
      </w:r>
      <w:r>
        <w:rPr>
          <w:sz w:val="24"/>
          <w:szCs w:val="24"/>
        </w:rPr>
        <w:t>11,2</w:t>
      </w:r>
      <w:r w:rsidRPr="00A34FEC">
        <w:rPr>
          <w:sz w:val="24"/>
          <w:szCs w:val="24"/>
        </w:rPr>
        <w:t xml:space="preserve">% до </w:t>
      </w:r>
      <w:r>
        <w:rPr>
          <w:sz w:val="24"/>
          <w:szCs w:val="24"/>
        </w:rPr>
        <w:t>3 585,3</w:t>
      </w:r>
      <w:r w:rsidRPr="00A34FEC">
        <w:rPr>
          <w:sz w:val="24"/>
          <w:szCs w:val="24"/>
        </w:rPr>
        <w:t xml:space="preserve"> млн руб. В разрезе направлений использования средств процентное соотношение между количеством операций по оплате товаров и выдаче наличных средств сложилось на уровне </w:t>
      </w:r>
      <w:r>
        <w:rPr>
          <w:sz w:val="24"/>
          <w:szCs w:val="24"/>
        </w:rPr>
        <w:t>49,0</w:t>
      </w:r>
      <w:r w:rsidRPr="00A34FEC">
        <w:rPr>
          <w:sz w:val="24"/>
          <w:szCs w:val="24"/>
        </w:rPr>
        <w:t>% (-</w:t>
      </w:r>
      <w:r>
        <w:rPr>
          <w:sz w:val="24"/>
          <w:szCs w:val="24"/>
        </w:rPr>
        <w:t>0,7</w:t>
      </w:r>
      <w:r w:rsidRPr="00A34FEC">
        <w:rPr>
          <w:sz w:val="24"/>
          <w:szCs w:val="24"/>
        </w:rPr>
        <w:t xml:space="preserve"> п.п.) против </w:t>
      </w:r>
      <w:r>
        <w:rPr>
          <w:sz w:val="24"/>
          <w:szCs w:val="24"/>
        </w:rPr>
        <w:t>51,0</w:t>
      </w:r>
      <w:r w:rsidRPr="00A34FEC">
        <w:rPr>
          <w:sz w:val="24"/>
          <w:szCs w:val="24"/>
        </w:rPr>
        <w:t xml:space="preserve">%. </w:t>
      </w:r>
      <w:r>
        <w:rPr>
          <w:sz w:val="24"/>
          <w:szCs w:val="24"/>
        </w:rPr>
        <w:t>В</w:t>
      </w:r>
      <w:r w:rsidRPr="00A34FEC">
        <w:rPr>
          <w:sz w:val="24"/>
          <w:szCs w:val="24"/>
        </w:rPr>
        <w:t xml:space="preserve"> суммарном выражении </w:t>
      </w:r>
      <w:r>
        <w:rPr>
          <w:sz w:val="24"/>
          <w:szCs w:val="24"/>
        </w:rPr>
        <w:t xml:space="preserve">объём </w:t>
      </w:r>
      <w:r w:rsidRPr="00A34FEC">
        <w:rPr>
          <w:sz w:val="24"/>
          <w:szCs w:val="24"/>
        </w:rPr>
        <w:t>операци</w:t>
      </w:r>
      <w:r>
        <w:rPr>
          <w:sz w:val="24"/>
          <w:szCs w:val="24"/>
        </w:rPr>
        <w:t>й обналичивания составил 3 184,4 млн руб. (-9,4%), или 88,8% от общего объёма.</w:t>
      </w:r>
      <w:r w:rsidRPr="00A34FEC">
        <w:rPr>
          <w:sz w:val="24"/>
          <w:szCs w:val="24"/>
        </w:rPr>
        <w:t xml:space="preserve"> Таким образом, если в 201</w:t>
      </w:r>
      <w:r>
        <w:rPr>
          <w:sz w:val="24"/>
          <w:szCs w:val="24"/>
        </w:rPr>
        <w:t>4</w:t>
      </w:r>
      <w:r w:rsidRPr="00A34FEC">
        <w:rPr>
          <w:sz w:val="24"/>
          <w:szCs w:val="24"/>
        </w:rPr>
        <w:t xml:space="preserve"> году в среднем за одну транзакцию обналичивалось </w:t>
      </w:r>
      <w:r w:rsidRPr="005F6AE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5F6AEC">
        <w:rPr>
          <w:sz w:val="24"/>
          <w:szCs w:val="24"/>
        </w:rPr>
        <w:t>199,7 руб.</w:t>
      </w:r>
      <w:r w:rsidRPr="00A34FEC">
        <w:rPr>
          <w:sz w:val="24"/>
          <w:szCs w:val="24"/>
        </w:rPr>
        <w:t>, то в 201</w:t>
      </w:r>
      <w:r>
        <w:rPr>
          <w:sz w:val="24"/>
          <w:szCs w:val="24"/>
        </w:rPr>
        <w:t>5</w:t>
      </w:r>
      <w:r w:rsidRPr="00A34FEC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–</w:t>
      </w:r>
      <w:r w:rsidRPr="00A34FEC">
        <w:rPr>
          <w:sz w:val="24"/>
          <w:szCs w:val="24"/>
        </w:rPr>
        <w:t xml:space="preserve"> </w:t>
      </w:r>
      <w:r>
        <w:rPr>
          <w:sz w:val="24"/>
          <w:szCs w:val="24"/>
        </w:rPr>
        <w:t>988,1</w:t>
      </w:r>
      <w:r w:rsidRPr="00A34FEC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A34FEC">
        <w:rPr>
          <w:sz w:val="24"/>
          <w:szCs w:val="24"/>
        </w:rPr>
        <w:t xml:space="preserve"> Из данной суммы </w:t>
      </w:r>
      <w:r>
        <w:rPr>
          <w:sz w:val="24"/>
          <w:szCs w:val="24"/>
        </w:rPr>
        <w:t>571,1</w:t>
      </w:r>
      <w:r w:rsidRPr="00A34FEC">
        <w:rPr>
          <w:sz w:val="24"/>
          <w:szCs w:val="24"/>
        </w:rPr>
        <w:t xml:space="preserve"> руб. (-</w:t>
      </w:r>
      <w:r>
        <w:rPr>
          <w:sz w:val="24"/>
          <w:szCs w:val="24"/>
        </w:rPr>
        <w:t>15,8</w:t>
      </w:r>
      <w:r w:rsidRPr="00A34FEC">
        <w:rPr>
          <w:sz w:val="24"/>
          <w:szCs w:val="24"/>
        </w:rPr>
        <w:t xml:space="preserve">%) было снято с помощью банкоматов и других программно-технических комплексов, работающих с платёжными картами. Всего же с их использованием было совершено </w:t>
      </w:r>
      <w:r>
        <w:rPr>
          <w:sz w:val="24"/>
          <w:szCs w:val="24"/>
        </w:rPr>
        <w:br/>
        <w:t>1 680 050</w:t>
      </w:r>
      <w:r w:rsidRPr="00A34FEC">
        <w:rPr>
          <w:sz w:val="24"/>
          <w:szCs w:val="24"/>
        </w:rPr>
        <w:t xml:space="preserve"> (+</w:t>
      </w:r>
      <w:r>
        <w:rPr>
          <w:sz w:val="24"/>
          <w:szCs w:val="24"/>
        </w:rPr>
        <w:t>25,6</w:t>
      </w:r>
      <w:r w:rsidRPr="00A34FEC">
        <w:rPr>
          <w:sz w:val="24"/>
          <w:szCs w:val="24"/>
        </w:rPr>
        <w:t xml:space="preserve">%) операций на сумму </w:t>
      </w:r>
      <w:r>
        <w:rPr>
          <w:sz w:val="24"/>
          <w:szCs w:val="24"/>
        </w:rPr>
        <w:t>959,5</w:t>
      </w:r>
      <w:r w:rsidRPr="00A34FEC">
        <w:rPr>
          <w:sz w:val="24"/>
          <w:szCs w:val="24"/>
        </w:rPr>
        <w:t xml:space="preserve"> млн руб. (+</w:t>
      </w:r>
      <w:r>
        <w:rPr>
          <w:sz w:val="24"/>
          <w:szCs w:val="24"/>
        </w:rPr>
        <w:t>6,6</w:t>
      </w:r>
      <w:r w:rsidRPr="00A34FEC">
        <w:rPr>
          <w:sz w:val="24"/>
          <w:szCs w:val="24"/>
        </w:rPr>
        <w:t xml:space="preserve">%). </w:t>
      </w:r>
    </w:p>
    <w:p w:rsidR="00635258" w:rsidRPr="00FE497D" w:rsidRDefault="00635258" w:rsidP="00131D2B">
      <w:pPr>
        <w:ind w:firstLine="425"/>
        <w:jc w:val="both"/>
        <w:rPr>
          <w:sz w:val="24"/>
          <w:szCs w:val="24"/>
        </w:rPr>
      </w:pPr>
      <w:r w:rsidRPr="00FE497D">
        <w:rPr>
          <w:sz w:val="24"/>
          <w:szCs w:val="24"/>
        </w:rPr>
        <w:t xml:space="preserve">Приднестровье является активным участником международных финансовых отношений, которые осуществляются по нескольким направлениям. </w:t>
      </w:r>
      <w:r>
        <w:rPr>
          <w:sz w:val="24"/>
          <w:szCs w:val="24"/>
        </w:rPr>
        <w:t>Прежде всего,</w:t>
      </w:r>
      <w:r w:rsidRPr="00FE497D">
        <w:rPr>
          <w:sz w:val="24"/>
          <w:szCs w:val="24"/>
        </w:rPr>
        <w:t xml:space="preserve"> это взаимодействие с зарубежными финансовыми организациями при проведении платежей и расчётов. По состоянию на 01.01.201</w:t>
      </w:r>
      <w:r>
        <w:rPr>
          <w:sz w:val="24"/>
          <w:szCs w:val="24"/>
        </w:rPr>
        <w:t>6</w:t>
      </w:r>
      <w:r w:rsidRPr="00FE497D">
        <w:rPr>
          <w:sz w:val="24"/>
          <w:szCs w:val="24"/>
        </w:rPr>
        <w:t xml:space="preserve"> г. сеть корреспондентских отношений коммерческих банков республики охватывала 14 банков, расположенных на территории Российской Федерации, в которых было открыто порядка </w:t>
      </w:r>
      <w:r>
        <w:rPr>
          <w:sz w:val="24"/>
          <w:szCs w:val="24"/>
        </w:rPr>
        <w:t>292</w:t>
      </w:r>
      <w:r w:rsidRPr="00FE497D">
        <w:rPr>
          <w:sz w:val="24"/>
          <w:szCs w:val="24"/>
        </w:rPr>
        <w:t xml:space="preserve"> корреспондентских счетов для проведения расчётных операций хозяйствующих субъектов и собственно банковского сектора. 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 w:rsidRPr="00103D1B">
        <w:rPr>
          <w:sz w:val="24"/>
          <w:szCs w:val="24"/>
        </w:rPr>
        <w:t>Значительный объём межстрановых финансовых потоков аккумулирован в системах международных денежных переводов (СМДП). В республике в отчётном периоде функционировало порядка 13 подобных систем, в числе которых «Western Union», «MoneyGram», «Юнистрим», «Золотая корона» и др. За 201</w:t>
      </w:r>
      <w:r>
        <w:rPr>
          <w:sz w:val="24"/>
          <w:szCs w:val="24"/>
        </w:rPr>
        <w:t>5</w:t>
      </w:r>
      <w:r w:rsidRPr="00103D1B">
        <w:rPr>
          <w:sz w:val="24"/>
          <w:szCs w:val="24"/>
        </w:rPr>
        <w:t xml:space="preserve"> год по системам международных денежных переводов на территорию Приднестровья было направлено </w:t>
      </w:r>
      <w:r>
        <w:rPr>
          <w:sz w:val="24"/>
          <w:szCs w:val="24"/>
        </w:rPr>
        <w:br/>
        <w:t>80,3</w:t>
      </w:r>
      <w:r w:rsidRPr="00103D1B">
        <w:rPr>
          <w:sz w:val="24"/>
          <w:szCs w:val="24"/>
        </w:rPr>
        <w:t xml:space="preserve"> млн в</w:t>
      </w:r>
      <w:r>
        <w:rPr>
          <w:sz w:val="24"/>
          <w:szCs w:val="24"/>
        </w:rPr>
        <w:t xml:space="preserve"> долларовом эквиваленте, что в 2,4 раза</w:t>
      </w:r>
      <w:r w:rsidRPr="00103D1B">
        <w:rPr>
          <w:sz w:val="24"/>
          <w:szCs w:val="24"/>
        </w:rPr>
        <w:t xml:space="preserve"> ниже показателя 201</w:t>
      </w:r>
      <w:r>
        <w:rPr>
          <w:sz w:val="24"/>
          <w:szCs w:val="24"/>
        </w:rPr>
        <w:t>4</w:t>
      </w:r>
      <w:r w:rsidRPr="00103D1B">
        <w:rPr>
          <w:sz w:val="24"/>
          <w:szCs w:val="24"/>
        </w:rPr>
        <w:t xml:space="preserve"> года. Основной валютой перевода являлся доллар США, на который пришлось </w:t>
      </w:r>
      <w:r>
        <w:rPr>
          <w:sz w:val="24"/>
          <w:szCs w:val="24"/>
        </w:rPr>
        <w:t xml:space="preserve">57,5% (+1,4 </w:t>
      </w:r>
      <w:r w:rsidRPr="00103D1B">
        <w:rPr>
          <w:sz w:val="24"/>
          <w:szCs w:val="24"/>
        </w:rPr>
        <w:t xml:space="preserve">п.п.). </w:t>
      </w:r>
      <w:r>
        <w:rPr>
          <w:sz w:val="24"/>
          <w:szCs w:val="24"/>
        </w:rPr>
        <w:t>Зафиксированный спад стал следствием ухудшения экономической ситуации в Российской Федерации, которая является основной страной-донором для Приднестровья. Под воздействием масштабной девальвации российского рубля (более чем в два раза за 2014-</w:t>
      </w:r>
      <w:r>
        <w:rPr>
          <w:sz w:val="24"/>
          <w:szCs w:val="24"/>
        </w:rPr>
        <w:br/>
        <w:t>2015 гг.) возможности приднестровских трудовых мигрантов по конвертации получаемых доходов в иностранную валюту и пересылке её на родину существенно снизились.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 w:rsidRPr="00103D1B">
        <w:rPr>
          <w:sz w:val="24"/>
          <w:szCs w:val="24"/>
        </w:rPr>
        <w:t xml:space="preserve">В противоположном направлении (из республики в другие страны мира) за отчётный год посредством СМДП было переведено в эквиваленте </w:t>
      </w:r>
      <w:r>
        <w:rPr>
          <w:sz w:val="24"/>
          <w:szCs w:val="24"/>
        </w:rPr>
        <w:t>43,1 млн</w:t>
      </w:r>
      <w:r w:rsidRPr="00103D1B">
        <w:rPr>
          <w:sz w:val="24"/>
          <w:szCs w:val="24"/>
        </w:rPr>
        <w:t xml:space="preserve"> долл. против </w:t>
      </w:r>
      <w:r>
        <w:rPr>
          <w:sz w:val="24"/>
          <w:szCs w:val="24"/>
        </w:rPr>
        <w:t>54,3</w:t>
      </w:r>
      <w:r w:rsidRPr="00103D1B">
        <w:rPr>
          <w:sz w:val="24"/>
          <w:szCs w:val="24"/>
        </w:rPr>
        <w:t xml:space="preserve"> млн в </w:t>
      </w:r>
      <w:r>
        <w:rPr>
          <w:sz w:val="24"/>
          <w:szCs w:val="24"/>
        </w:rPr>
        <w:br/>
      </w:r>
      <w:r w:rsidRPr="00103D1B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103D1B">
        <w:rPr>
          <w:sz w:val="24"/>
          <w:szCs w:val="24"/>
        </w:rPr>
        <w:t xml:space="preserve"> году. Преимущественно за пределы Приднестровья пересылались доллары США – </w:t>
      </w:r>
      <w:r>
        <w:rPr>
          <w:sz w:val="24"/>
          <w:szCs w:val="24"/>
        </w:rPr>
        <w:t>73,3</w:t>
      </w:r>
      <w:r w:rsidRPr="00103D1B">
        <w:rPr>
          <w:sz w:val="24"/>
          <w:szCs w:val="24"/>
        </w:rPr>
        <w:t>% (</w:t>
      </w:r>
      <w:r>
        <w:rPr>
          <w:sz w:val="24"/>
          <w:szCs w:val="24"/>
        </w:rPr>
        <w:t xml:space="preserve">-4,6 </w:t>
      </w:r>
      <w:r w:rsidRPr="00103D1B">
        <w:rPr>
          <w:sz w:val="24"/>
          <w:szCs w:val="24"/>
        </w:rPr>
        <w:t>п.п.)</w:t>
      </w:r>
      <w:r>
        <w:rPr>
          <w:sz w:val="24"/>
          <w:szCs w:val="24"/>
        </w:rPr>
        <w:t>; основное направление – Российская Федерация (76,4%)</w:t>
      </w:r>
      <w:r w:rsidRPr="00103D1B">
        <w:rPr>
          <w:sz w:val="24"/>
          <w:szCs w:val="24"/>
        </w:rPr>
        <w:t>.</w:t>
      </w:r>
      <w:r w:rsidRPr="002C13D6">
        <w:rPr>
          <w:sz w:val="24"/>
          <w:szCs w:val="24"/>
        </w:rPr>
        <w:t xml:space="preserve"> </w:t>
      </w:r>
    </w:p>
    <w:p w:rsidR="00635258" w:rsidRPr="002C13D6" w:rsidRDefault="00635258" w:rsidP="00D41471">
      <w:pPr>
        <w:spacing w:before="120"/>
        <w:ind w:firstLine="425"/>
        <w:jc w:val="both"/>
        <w:rPr>
          <w:sz w:val="24"/>
          <w:szCs w:val="24"/>
        </w:rPr>
      </w:pPr>
    </w:p>
    <w:p w:rsidR="00635258" w:rsidRPr="003E0668" w:rsidRDefault="00635258" w:rsidP="00131D2B">
      <w:pPr>
        <w:numPr>
          <w:ilvl w:val="1"/>
          <w:numId w:val="2"/>
        </w:numPr>
        <w:jc w:val="both"/>
        <w:rPr>
          <w:b/>
          <w:bCs/>
          <w:noProof/>
          <w:sz w:val="24"/>
          <w:szCs w:val="24"/>
        </w:rPr>
      </w:pPr>
      <w:r w:rsidRPr="003E0668">
        <w:rPr>
          <w:b/>
          <w:bCs/>
          <w:noProof/>
          <w:sz w:val="24"/>
          <w:szCs w:val="24"/>
        </w:rPr>
        <w:t>ПЛАТЁЖНЫЙ БАЛАНС</w:t>
      </w:r>
    </w:p>
    <w:p w:rsidR="00635258" w:rsidRDefault="00635258" w:rsidP="00493748">
      <w:pPr>
        <w:widowControl w:val="0"/>
        <w:spacing w:before="120"/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 xml:space="preserve">Динамика сальдо счёта текущих операций платёжного </w:t>
      </w:r>
      <w:r w:rsidRPr="008C3A6A">
        <w:rPr>
          <w:sz w:val="24"/>
          <w:szCs w:val="24"/>
        </w:rPr>
        <w:t xml:space="preserve">баланса в </w:t>
      </w:r>
      <w:r>
        <w:rPr>
          <w:sz w:val="24"/>
          <w:szCs w:val="24"/>
        </w:rPr>
        <w:t>2015 года</w:t>
      </w:r>
      <w:r w:rsidRPr="005247A1">
        <w:rPr>
          <w:sz w:val="24"/>
          <w:szCs w:val="24"/>
        </w:rPr>
        <w:t xml:space="preserve"> была подвержена влиянию внешних негативных факторов и сложных внутренних условий функционирования.</w:t>
      </w:r>
      <w:r>
        <w:rPr>
          <w:sz w:val="24"/>
          <w:szCs w:val="24"/>
        </w:rPr>
        <w:t xml:space="preserve"> </w:t>
      </w:r>
    </w:p>
    <w:p w:rsidR="00635258" w:rsidRDefault="00635258" w:rsidP="00493748">
      <w:pPr>
        <w:widowControl w:val="0"/>
        <w:spacing w:before="120"/>
        <w:ind w:firstLine="425"/>
        <w:jc w:val="right"/>
        <w:rPr>
          <w:b/>
          <w:bCs/>
          <w:i/>
          <w:iCs/>
          <w:sz w:val="24"/>
          <w:szCs w:val="24"/>
        </w:rPr>
      </w:pPr>
    </w:p>
    <w:p w:rsidR="00635258" w:rsidRDefault="00635258" w:rsidP="00493748">
      <w:pPr>
        <w:widowControl w:val="0"/>
        <w:spacing w:before="120"/>
        <w:ind w:firstLine="425"/>
        <w:jc w:val="right"/>
        <w:rPr>
          <w:b/>
          <w:bCs/>
          <w:i/>
          <w:iCs/>
          <w:sz w:val="24"/>
          <w:szCs w:val="24"/>
        </w:rPr>
      </w:pPr>
    </w:p>
    <w:p w:rsidR="00635258" w:rsidRPr="00892253" w:rsidRDefault="00635258" w:rsidP="00493748">
      <w:pPr>
        <w:widowControl w:val="0"/>
        <w:spacing w:before="120"/>
        <w:ind w:firstLine="425"/>
        <w:jc w:val="right"/>
        <w:rPr>
          <w:b/>
          <w:bCs/>
          <w:i/>
          <w:iCs/>
          <w:sz w:val="24"/>
          <w:szCs w:val="24"/>
        </w:rPr>
      </w:pPr>
      <w:r w:rsidRPr="00892253">
        <w:rPr>
          <w:b/>
          <w:bCs/>
          <w:i/>
          <w:iCs/>
          <w:sz w:val="24"/>
          <w:szCs w:val="24"/>
        </w:rPr>
        <w:t>Таблица 1</w:t>
      </w:r>
      <w:r>
        <w:rPr>
          <w:b/>
          <w:bCs/>
          <w:i/>
          <w:iCs/>
          <w:sz w:val="24"/>
          <w:szCs w:val="24"/>
        </w:rPr>
        <w:t>.6</w:t>
      </w:r>
    </w:p>
    <w:p w:rsidR="00635258" w:rsidRPr="00892253" w:rsidRDefault="00635258" w:rsidP="00493748">
      <w:pPr>
        <w:pStyle w:val="Heading1"/>
        <w:keepNext w:val="0"/>
        <w:spacing w:before="120" w:line="10" w:lineRule="atLeast"/>
        <w:jc w:val="center"/>
        <w:rPr>
          <w:sz w:val="24"/>
          <w:szCs w:val="24"/>
        </w:rPr>
      </w:pPr>
      <w:r w:rsidRPr="00892253">
        <w:rPr>
          <w:b/>
          <w:bCs/>
          <w:i/>
          <w:iCs/>
          <w:sz w:val="24"/>
          <w:szCs w:val="24"/>
        </w:rPr>
        <w:t>Платёжный баланс ПМР (сальдо)</w:t>
      </w:r>
      <w:r w:rsidRPr="00892253">
        <w:rPr>
          <w:rStyle w:val="FootnoteReference"/>
          <w:b/>
          <w:bCs/>
          <w:i/>
          <w:iCs/>
          <w:sz w:val="24"/>
          <w:szCs w:val="24"/>
        </w:rPr>
        <w:footnoteReference w:id="10"/>
      </w:r>
      <w:r w:rsidRPr="00892253">
        <w:rPr>
          <w:b/>
          <w:bCs/>
          <w:i/>
          <w:iCs/>
          <w:sz w:val="24"/>
          <w:szCs w:val="24"/>
          <w:vertAlign w:val="superscript"/>
        </w:rPr>
        <w:t>,</w:t>
      </w:r>
      <w:r w:rsidRPr="00892253">
        <w:rPr>
          <w:rStyle w:val="FootnoteReference"/>
          <w:b/>
          <w:bCs/>
          <w:i/>
          <w:iCs/>
          <w:sz w:val="24"/>
          <w:szCs w:val="24"/>
        </w:rPr>
        <w:footnoteReference w:id="11"/>
      </w:r>
    </w:p>
    <w:p w:rsidR="00635258" w:rsidRPr="00473D0C" w:rsidRDefault="00635258" w:rsidP="00493748">
      <w:pPr>
        <w:pStyle w:val="Heading1"/>
        <w:keepNext w:val="0"/>
        <w:spacing w:line="10" w:lineRule="atLeast"/>
        <w:jc w:val="right"/>
        <w:rPr>
          <w:sz w:val="20"/>
          <w:szCs w:val="20"/>
        </w:rPr>
      </w:pPr>
      <w:r w:rsidRPr="00473D0C">
        <w:rPr>
          <w:sz w:val="20"/>
          <w:szCs w:val="20"/>
        </w:rPr>
        <w:t>млн долл.</w:t>
      </w:r>
    </w:p>
    <w:tbl>
      <w:tblPr>
        <w:tblW w:w="96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9"/>
        <w:gridCol w:w="1835"/>
        <w:gridCol w:w="1835"/>
        <w:gridCol w:w="1836"/>
      </w:tblGrid>
      <w:tr w:rsidR="00635258" w:rsidRPr="00892253">
        <w:trPr>
          <w:trHeight w:val="270"/>
        </w:trPr>
        <w:tc>
          <w:tcPr>
            <w:tcW w:w="4119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892253" w:rsidRDefault="00635258" w:rsidP="00CB50D6">
            <w:pPr>
              <w:pStyle w:val="Header"/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892253" w:rsidRDefault="00635258" w:rsidP="00CB50D6">
            <w:pPr>
              <w:pStyle w:val="Header"/>
              <w:ind w:left="-108" w:right="-78"/>
              <w:jc w:val="center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2013 год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892253" w:rsidRDefault="00635258" w:rsidP="00CB50D6">
            <w:pPr>
              <w:pStyle w:val="Header"/>
              <w:ind w:left="-108" w:right="-78"/>
              <w:jc w:val="center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014 год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892253" w:rsidRDefault="00635258" w:rsidP="00CB50D6">
            <w:pPr>
              <w:pStyle w:val="Header"/>
              <w:ind w:left="-108" w:right="-78"/>
              <w:jc w:val="center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015 год</w:t>
            </w:r>
          </w:p>
        </w:tc>
      </w:tr>
      <w:tr w:rsidR="00635258" w:rsidRPr="00892253">
        <w:trPr>
          <w:trHeight w:val="50"/>
        </w:trPr>
        <w:tc>
          <w:tcPr>
            <w:tcW w:w="411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35258" w:rsidRPr="00892253" w:rsidRDefault="00635258" w:rsidP="00CB50D6">
            <w:pPr>
              <w:pStyle w:val="Footer"/>
              <w:jc w:val="both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1. СЧЁТ ТЕКУЩИХ ОПЕРАЦИЙ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-878,5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-849,6</w:t>
            </w:r>
          </w:p>
        </w:tc>
        <w:tc>
          <w:tcPr>
            <w:tcW w:w="183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-516,5</w:t>
            </w:r>
          </w:p>
        </w:tc>
      </w:tr>
      <w:tr w:rsidR="00635258" w:rsidRPr="00892253">
        <w:trPr>
          <w:trHeight w:val="236"/>
        </w:trPr>
        <w:tc>
          <w:tcPr>
            <w:tcW w:w="4119" w:type="dxa"/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Товары и услуги</w:t>
            </w:r>
          </w:p>
        </w:tc>
        <w:tc>
          <w:tcPr>
            <w:tcW w:w="1835" w:type="dxa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-1 118,4</w:t>
            </w:r>
          </w:p>
        </w:tc>
        <w:tc>
          <w:tcPr>
            <w:tcW w:w="1835" w:type="dxa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-1 043,2</w:t>
            </w:r>
          </w:p>
        </w:tc>
        <w:tc>
          <w:tcPr>
            <w:tcW w:w="1836" w:type="dxa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-584,6</w:t>
            </w:r>
          </w:p>
        </w:tc>
      </w:tr>
      <w:tr w:rsidR="00635258" w:rsidRPr="00892253">
        <w:trPr>
          <w:trHeight w:val="127"/>
        </w:trPr>
        <w:tc>
          <w:tcPr>
            <w:tcW w:w="4119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A. Товары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-1 092,1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-963,9</w:t>
            </w:r>
          </w:p>
        </w:tc>
        <w:tc>
          <w:tcPr>
            <w:tcW w:w="1836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-564,8</w:t>
            </w: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left="318" w:firstLine="102"/>
              <w:rPr>
                <w:sz w:val="22"/>
                <w:szCs w:val="22"/>
                <w:vertAlign w:val="superscript"/>
              </w:rPr>
            </w:pPr>
            <w:r w:rsidRPr="00892253">
              <w:rPr>
                <w:sz w:val="22"/>
                <w:szCs w:val="22"/>
              </w:rPr>
              <w:t xml:space="preserve">-экспорт 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556,4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677,7</w:t>
            </w:r>
          </w:p>
        </w:tc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567,9</w:t>
            </w:r>
          </w:p>
        </w:tc>
      </w:tr>
      <w:tr w:rsidR="00635258" w:rsidRPr="00892253">
        <w:tc>
          <w:tcPr>
            <w:tcW w:w="4119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left="318"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-импорт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1 648,6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1 641,6</w:t>
            </w:r>
          </w:p>
        </w:tc>
        <w:tc>
          <w:tcPr>
            <w:tcW w:w="1836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1 132,7</w:t>
            </w:r>
          </w:p>
        </w:tc>
      </w:tr>
      <w:tr w:rsidR="00635258" w:rsidRPr="00892253">
        <w:trPr>
          <w:trHeight w:val="323"/>
        </w:trPr>
        <w:tc>
          <w:tcPr>
            <w:tcW w:w="4119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B. Услуги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-26,3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-79,4</w:t>
            </w:r>
          </w:p>
        </w:tc>
        <w:tc>
          <w:tcPr>
            <w:tcW w:w="1836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-19,7</w:t>
            </w: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left="318"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-экспорт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</w:tr>
      <w:tr w:rsidR="00635258" w:rsidRPr="00892253">
        <w:tc>
          <w:tcPr>
            <w:tcW w:w="4119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left="318"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-импорт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1836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</w:tr>
      <w:tr w:rsidR="00635258" w:rsidRPr="00892253">
        <w:trPr>
          <w:trHeight w:val="322"/>
        </w:trPr>
        <w:tc>
          <w:tcPr>
            <w:tcW w:w="4119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C. Первичные доходы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-24,6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836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-10,5</w:t>
            </w: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left="318"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-получено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635258" w:rsidRPr="00892253">
        <w:tc>
          <w:tcPr>
            <w:tcW w:w="4119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left="318"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-выплачено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1836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</w:tc>
      </w:tr>
      <w:tr w:rsidR="00635258" w:rsidRPr="00892253">
        <w:trPr>
          <w:trHeight w:val="350"/>
        </w:trPr>
        <w:tc>
          <w:tcPr>
            <w:tcW w:w="4119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D. Вторичные доходы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264,5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187,1</w:t>
            </w:r>
          </w:p>
        </w:tc>
        <w:tc>
          <w:tcPr>
            <w:tcW w:w="1836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left="318"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-получено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312,4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142,6</w:t>
            </w:r>
          </w:p>
        </w:tc>
      </w:tr>
      <w:tr w:rsidR="00635258" w:rsidRPr="00892253">
        <w:tc>
          <w:tcPr>
            <w:tcW w:w="4119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pStyle w:val="BodyTextIndent"/>
              <w:spacing w:after="0"/>
              <w:ind w:left="318" w:firstLine="10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-выплачено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1836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</w:tr>
      <w:tr w:rsidR="00635258" w:rsidRPr="00892253">
        <w:trPr>
          <w:trHeight w:val="410"/>
        </w:trPr>
        <w:tc>
          <w:tcPr>
            <w:tcW w:w="4119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 xml:space="preserve">2. СЧЁТ ОПЕРАЦИЙ С КАПИТАЛОМ 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6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5258" w:rsidRPr="00892253">
        <w:trPr>
          <w:trHeight w:val="240"/>
        </w:trPr>
        <w:tc>
          <w:tcPr>
            <w:tcW w:w="4119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3. ФИНАНСОВЫЙ СЧЁТ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-767,2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-960,8</w:t>
            </w:r>
          </w:p>
        </w:tc>
        <w:tc>
          <w:tcPr>
            <w:tcW w:w="1836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-480,4</w:t>
            </w:r>
          </w:p>
        </w:tc>
      </w:tr>
      <w:tr w:rsidR="00635258" w:rsidRPr="00892253">
        <w:tc>
          <w:tcPr>
            <w:tcW w:w="4119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pStyle w:val="NormalWeb"/>
              <w:spacing w:before="0" w:beforeAutospacing="0" w:after="0" w:afterAutospacing="0"/>
              <w:ind w:firstLine="130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Прямые инвестиции</w:t>
            </w:r>
          </w:p>
        </w:tc>
        <w:tc>
          <w:tcPr>
            <w:tcW w:w="1835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-61,2</w:t>
            </w:r>
          </w:p>
        </w:tc>
        <w:tc>
          <w:tcPr>
            <w:tcW w:w="1835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-97,3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left="318" w:hanging="20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-чистое приобретение финансовых активов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36" w:type="dxa"/>
            <w:tcBorders>
              <w:top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635258" w:rsidRPr="00892253">
        <w:tc>
          <w:tcPr>
            <w:tcW w:w="4119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left="318" w:hanging="20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-чистое принятие обязательств</w:t>
            </w:r>
          </w:p>
        </w:tc>
        <w:tc>
          <w:tcPr>
            <w:tcW w:w="1835" w:type="dxa"/>
            <w:tcBorders>
              <w:top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835" w:type="dxa"/>
            <w:tcBorders>
              <w:top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836" w:type="dxa"/>
            <w:tcBorders>
              <w:top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-23,2</w:t>
            </w:r>
          </w:p>
        </w:tc>
      </w:tr>
      <w:tr w:rsidR="00635258" w:rsidRPr="00892253">
        <w:trPr>
          <w:trHeight w:val="336"/>
        </w:trPr>
        <w:tc>
          <w:tcPr>
            <w:tcW w:w="4119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pStyle w:val="Header"/>
              <w:ind w:firstLine="130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 xml:space="preserve">Портфельные инвестиции </w:t>
            </w:r>
          </w:p>
        </w:tc>
        <w:tc>
          <w:tcPr>
            <w:tcW w:w="1835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35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-0,6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-31,8</w:t>
            </w:r>
          </w:p>
        </w:tc>
      </w:tr>
      <w:tr w:rsidR="00635258" w:rsidRPr="00892253">
        <w:tc>
          <w:tcPr>
            <w:tcW w:w="4119" w:type="dxa"/>
            <w:tcBorders>
              <w:bottom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left="396" w:hanging="84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-чистое приобретение финансовых активов</w:t>
            </w:r>
          </w:p>
        </w:tc>
        <w:tc>
          <w:tcPr>
            <w:tcW w:w="1835" w:type="dxa"/>
            <w:tcBorders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835" w:type="dxa"/>
            <w:tcBorders>
              <w:bottom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-0,6</w:t>
            </w:r>
          </w:p>
        </w:tc>
        <w:tc>
          <w:tcPr>
            <w:tcW w:w="1836" w:type="dxa"/>
            <w:tcBorders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-7,4</w:t>
            </w:r>
          </w:p>
        </w:tc>
      </w:tr>
      <w:tr w:rsidR="00635258" w:rsidRPr="00892253">
        <w:tc>
          <w:tcPr>
            <w:tcW w:w="4119" w:type="dxa"/>
            <w:tcBorders>
              <w:top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left="396" w:hanging="84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-чистое принятие обязательств</w:t>
            </w:r>
          </w:p>
        </w:tc>
        <w:tc>
          <w:tcPr>
            <w:tcW w:w="1835" w:type="dxa"/>
            <w:tcBorders>
              <w:top w:val="nil"/>
              <w:left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</w:t>
            </w:r>
          </w:p>
        </w:tc>
        <w:tc>
          <w:tcPr>
            <w:tcW w:w="1835" w:type="dxa"/>
            <w:tcBorders>
              <w:top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6" w:type="dxa"/>
            <w:tcBorders>
              <w:top w:val="nil"/>
              <w:left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</w:tr>
      <w:tr w:rsidR="00635258" w:rsidRPr="00892253">
        <w:trPr>
          <w:trHeight w:val="322"/>
        </w:trPr>
        <w:tc>
          <w:tcPr>
            <w:tcW w:w="4119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pStyle w:val="Header"/>
              <w:ind w:left="318" w:hanging="174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Другие инвестиции</w:t>
            </w:r>
          </w:p>
        </w:tc>
        <w:tc>
          <w:tcPr>
            <w:tcW w:w="1835" w:type="dxa"/>
            <w:tcBorders>
              <w:left w:val="nil"/>
            </w:tcBorders>
            <w:shd w:val="clear" w:color="auto" w:fill="D9D9D9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-673,2</w:t>
            </w:r>
          </w:p>
        </w:tc>
        <w:tc>
          <w:tcPr>
            <w:tcW w:w="1835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-851,7</w:t>
            </w:r>
          </w:p>
        </w:tc>
        <w:tc>
          <w:tcPr>
            <w:tcW w:w="1836" w:type="dxa"/>
            <w:tcBorders>
              <w:left w:val="nil"/>
            </w:tcBorders>
            <w:shd w:val="clear" w:color="auto" w:fill="D9D9D9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-467,3</w:t>
            </w:r>
          </w:p>
        </w:tc>
      </w:tr>
      <w:tr w:rsidR="00635258" w:rsidRPr="00892253">
        <w:tc>
          <w:tcPr>
            <w:tcW w:w="4119" w:type="dxa"/>
            <w:tcBorders>
              <w:bottom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left="318" w:hanging="6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-чистое приобретение финансовых активов</w:t>
            </w:r>
          </w:p>
        </w:tc>
        <w:tc>
          <w:tcPr>
            <w:tcW w:w="1835" w:type="dxa"/>
            <w:tcBorders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-0,4</w:t>
            </w:r>
          </w:p>
        </w:tc>
        <w:tc>
          <w:tcPr>
            <w:tcW w:w="1835" w:type="dxa"/>
            <w:tcBorders>
              <w:bottom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-73,3</w:t>
            </w:r>
          </w:p>
        </w:tc>
        <w:tc>
          <w:tcPr>
            <w:tcW w:w="1836" w:type="dxa"/>
            <w:tcBorders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-35,0</w:t>
            </w: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left="318" w:firstLine="9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из них: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firstLine="508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-торговые кредиты и авансы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-1,6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firstLine="508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-ссуды и займы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left="318" w:hanging="6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-чистое принятие обязательств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672,8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432,3</w:t>
            </w: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left="318" w:firstLine="9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из них: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firstLine="508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-торговые кредиты и авансы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-12,6</w:t>
            </w:r>
          </w:p>
        </w:tc>
      </w:tr>
      <w:tr w:rsidR="00635258" w:rsidRPr="00892253">
        <w:tc>
          <w:tcPr>
            <w:tcW w:w="4119" w:type="dxa"/>
            <w:tcBorders>
              <w:top w:val="nil"/>
              <w:bottom w:val="nil"/>
            </w:tcBorders>
            <w:vAlign w:val="center"/>
          </w:tcPr>
          <w:p w:rsidR="00635258" w:rsidRPr="00892253" w:rsidRDefault="00635258" w:rsidP="00CB50D6">
            <w:pPr>
              <w:pStyle w:val="Header"/>
              <w:ind w:firstLine="508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-ссуды и займы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bottom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-50,7</w:t>
            </w:r>
          </w:p>
        </w:tc>
      </w:tr>
      <w:tr w:rsidR="00635258" w:rsidRPr="00892253">
        <w:trPr>
          <w:trHeight w:val="331"/>
        </w:trPr>
        <w:tc>
          <w:tcPr>
            <w:tcW w:w="4119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pStyle w:val="Header"/>
              <w:ind w:firstLine="158"/>
              <w:jc w:val="both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Резервные активы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-33,8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-11,2</w:t>
            </w:r>
          </w:p>
        </w:tc>
        <w:tc>
          <w:tcPr>
            <w:tcW w:w="1836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-5,2</w:t>
            </w:r>
          </w:p>
        </w:tc>
      </w:tr>
      <w:tr w:rsidR="00635258" w:rsidRPr="00892253">
        <w:trPr>
          <w:trHeight w:val="337"/>
        </w:trPr>
        <w:tc>
          <w:tcPr>
            <w:tcW w:w="4119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pStyle w:val="Header"/>
              <w:ind w:firstLine="3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4. СТАТИСТИЧЕСКИЕ РАСХОЖДЕНИЯ</w:t>
            </w:r>
          </w:p>
        </w:tc>
        <w:tc>
          <w:tcPr>
            <w:tcW w:w="1835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4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1835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ind w:right="4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-111,3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635258" w:rsidRPr="00892253">
        <w:trPr>
          <w:trHeight w:val="336"/>
        </w:trPr>
        <w:tc>
          <w:tcPr>
            <w:tcW w:w="4119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pStyle w:val="Header"/>
              <w:ind w:firstLine="32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5. ОБЩИЙ БАЛАНС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widowControl w:val="0"/>
              <w:tabs>
                <w:tab w:val="left" w:pos="1992"/>
              </w:tabs>
              <w:ind w:right="448"/>
              <w:jc w:val="right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0,0</w:t>
            </w:r>
          </w:p>
        </w:tc>
        <w:tc>
          <w:tcPr>
            <w:tcW w:w="1835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tabs>
                <w:tab w:val="left" w:pos="1992"/>
              </w:tabs>
              <w:ind w:right="432"/>
              <w:jc w:val="right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0,0</w:t>
            </w:r>
          </w:p>
        </w:tc>
        <w:tc>
          <w:tcPr>
            <w:tcW w:w="1836" w:type="dxa"/>
            <w:shd w:val="clear" w:color="auto" w:fill="E0E0E0"/>
            <w:vAlign w:val="center"/>
          </w:tcPr>
          <w:p w:rsidR="00635258" w:rsidRPr="00892253" w:rsidRDefault="00635258" w:rsidP="00CB50D6">
            <w:pPr>
              <w:ind w:right="435"/>
              <w:jc w:val="right"/>
              <w:rPr>
                <w:sz w:val="22"/>
                <w:szCs w:val="22"/>
              </w:rPr>
            </w:pPr>
            <w:r w:rsidRPr="00892253">
              <w:rPr>
                <w:sz w:val="22"/>
                <w:szCs w:val="22"/>
              </w:rPr>
              <w:t>0,0</w:t>
            </w:r>
          </w:p>
        </w:tc>
      </w:tr>
    </w:tbl>
    <w:p w:rsidR="00635258" w:rsidRPr="006F777E" w:rsidRDefault="00635258" w:rsidP="00493748">
      <w:pPr>
        <w:widowControl w:val="0"/>
        <w:ind w:firstLine="425"/>
        <w:jc w:val="both"/>
        <w:rPr>
          <w:rFonts w:ascii="Sylfaen" w:hAnsi="Sylfaen" w:cs="Sylfaen"/>
          <w:noProof/>
          <w:sz w:val="2"/>
          <w:szCs w:val="2"/>
        </w:rPr>
      </w:pPr>
    </w:p>
    <w:p w:rsidR="00635258" w:rsidRDefault="00635258" w:rsidP="00493748">
      <w:pPr>
        <w:widowControl w:val="0"/>
        <w:spacing w:before="120"/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 xml:space="preserve">Традиционно основной вклад в формирование вектора данного показателя принадлежал торговому балансу (степень влияния – </w:t>
      </w:r>
      <w:r>
        <w:rPr>
          <w:sz w:val="24"/>
          <w:szCs w:val="24"/>
        </w:rPr>
        <w:t>91,1</w:t>
      </w:r>
      <w:r w:rsidRPr="005247A1">
        <w:rPr>
          <w:sz w:val="24"/>
          <w:szCs w:val="24"/>
        </w:rPr>
        <w:t xml:space="preserve">%). В то же время негативной тенденцией стал существенный спад первичных и вторичных доходов, перечисленных в республику, являющихся одним из важнейших каналов поступления иностранной валюты. Совокупное влияние отмеченных изменений на вектор сальдо счёта текущих операций выразилось в уменьшении дефицита в целом на </w:t>
      </w:r>
      <w:r>
        <w:rPr>
          <w:sz w:val="24"/>
          <w:szCs w:val="24"/>
        </w:rPr>
        <w:t>39,2</w:t>
      </w:r>
      <w:r w:rsidRPr="005247A1">
        <w:rPr>
          <w:sz w:val="24"/>
          <w:szCs w:val="24"/>
        </w:rPr>
        <w:t xml:space="preserve">% до </w:t>
      </w:r>
      <w:r>
        <w:rPr>
          <w:sz w:val="24"/>
          <w:szCs w:val="24"/>
        </w:rPr>
        <w:t>516,5</w:t>
      </w:r>
      <w:r w:rsidRPr="005247A1">
        <w:rPr>
          <w:sz w:val="24"/>
          <w:szCs w:val="24"/>
        </w:rPr>
        <w:t xml:space="preserve"> млн долл.</w:t>
      </w:r>
      <w:r>
        <w:rPr>
          <w:sz w:val="24"/>
          <w:szCs w:val="24"/>
        </w:rPr>
        <w:t xml:space="preserve"> (табл. 1.6), что стало минимальным значением за ряд последних лет.</w:t>
      </w:r>
    </w:p>
    <w:p w:rsidR="00635258" w:rsidRPr="005247A1" w:rsidRDefault="00635258" w:rsidP="00493748">
      <w:pPr>
        <w:widowControl w:val="0"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>Совокупный внешнеторговый оборот</w:t>
      </w:r>
      <w:r w:rsidRPr="005247A1">
        <w:rPr>
          <w:rStyle w:val="FootnoteReference"/>
          <w:sz w:val="24"/>
          <w:szCs w:val="24"/>
        </w:rPr>
        <w:footnoteReference w:id="12"/>
      </w:r>
      <w:r w:rsidRPr="005247A1">
        <w:rPr>
          <w:sz w:val="24"/>
          <w:szCs w:val="24"/>
        </w:rPr>
        <w:t xml:space="preserve"> республики сократился относительно базисной отметки на </w:t>
      </w:r>
      <w:r>
        <w:rPr>
          <w:sz w:val="24"/>
          <w:szCs w:val="24"/>
        </w:rPr>
        <w:t>26,7</w:t>
      </w:r>
      <w:r w:rsidRPr="005247A1">
        <w:rPr>
          <w:sz w:val="24"/>
          <w:szCs w:val="24"/>
        </w:rPr>
        <w:t xml:space="preserve">% до </w:t>
      </w:r>
      <w:r>
        <w:rPr>
          <w:color w:val="000000"/>
          <w:sz w:val="24"/>
          <w:szCs w:val="24"/>
        </w:rPr>
        <w:t>1 700,6</w:t>
      </w:r>
      <w:r w:rsidRPr="005247A1">
        <w:rPr>
          <w:color w:val="000000"/>
          <w:sz w:val="24"/>
          <w:szCs w:val="24"/>
        </w:rPr>
        <w:t xml:space="preserve"> </w:t>
      </w:r>
      <w:r w:rsidRPr="005247A1">
        <w:rPr>
          <w:sz w:val="24"/>
          <w:szCs w:val="24"/>
        </w:rPr>
        <w:t xml:space="preserve">млн долл. В структуре показателя доля экспорта расширилась на </w:t>
      </w:r>
      <w:r w:rsidRPr="005247A1">
        <w:rPr>
          <w:sz w:val="24"/>
          <w:szCs w:val="24"/>
        </w:rPr>
        <w:br/>
      </w:r>
      <w:r>
        <w:rPr>
          <w:sz w:val="24"/>
          <w:szCs w:val="24"/>
        </w:rPr>
        <w:t>4,2</w:t>
      </w:r>
      <w:r w:rsidRPr="005247A1">
        <w:rPr>
          <w:sz w:val="24"/>
          <w:szCs w:val="24"/>
        </w:rPr>
        <w:t xml:space="preserve"> п.п., составив </w:t>
      </w:r>
      <w:r>
        <w:rPr>
          <w:sz w:val="24"/>
          <w:szCs w:val="24"/>
        </w:rPr>
        <w:t>33,4</w:t>
      </w:r>
      <w:r w:rsidRPr="005247A1">
        <w:rPr>
          <w:sz w:val="24"/>
          <w:szCs w:val="24"/>
        </w:rPr>
        <w:t xml:space="preserve">%. Коэффициент покрытия импорта экспортом увеличился на </w:t>
      </w:r>
      <w:r>
        <w:rPr>
          <w:sz w:val="24"/>
          <w:szCs w:val="24"/>
        </w:rPr>
        <w:t>8,8</w:t>
      </w:r>
      <w:r w:rsidRPr="005247A1">
        <w:rPr>
          <w:sz w:val="24"/>
          <w:szCs w:val="24"/>
        </w:rPr>
        <w:t xml:space="preserve"> п.п. до </w:t>
      </w:r>
      <w:r>
        <w:rPr>
          <w:sz w:val="24"/>
          <w:szCs w:val="24"/>
        </w:rPr>
        <w:t>50,1</w:t>
      </w:r>
      <w:r w:rsidRPr="005247A1">
        <w:rPr>
          <w:sz w:val="24"/>
          <w:szCs w:val="24"/>
        </w:rPr>
        <w:t xml:space="preserve">%. </w:t>
      </w:r>
    </w:p>
    <w:p w:rsidR="00635258" w:rsidRPr="005247A1" w:rsidRDefault="00635258" w:rsidP="00493748">
      <w:pPr>
        <w:widowControl w:val="0"/>
        <w:ind w:left="14" w:firstLine="425"/>
        <w:jc w:val="both"/>
        <w:rPr>
          <w:sz w:val="24"/>
          <w:szCs w:val="24"/>
        </w:rPr>
      </w:pPr>
      <w:r w:rsidRPr="009E61C8">
        <w:rPr>
          <w:sz w:val="24"/>
          <w:szCs w:val="24"/>
        </w:rPr>
        <w:t>За 2015</w:t>
      </w:r>
      <w:r w:rsidRPr="005247A1">
        <w:rPr>
          <w:sz w:val="24"/>
          <w:szCs w:val="24"/>
        </w:rPr>
        <w:t xml:space="preserve"> год с</w:t>
      </w:r>
      <w:r w:rsidRPr="005247A1">
        <w:rPr>
          <w:noProof/>
          <w:sz w:val="24"/>
          <w:szCs w:val="24"/>
        </w:rPr>
        <w:t xml:space="preserve">татистическая стоимость экспорта товаров </w:t>
      </w:r>
      <w:r>
        <w:rPr>
          <w:noProof/>
          <w:sz w:val="24"/>
          <w:szCs w:val="24"/>
        </w:rPr>
        <w:t>уменьшилась</w:t>
      </w:r>
      <w:r w:rsidRPr="005247A1">
        <w:rPr>
          <w:noProof/>
          <w:sz w:val="24"/>
          <w:szCs w:val="24"/>
        </w:rPr>
        <w:t xml:space="preserve"> относительно базисной отметки на </w:t>
      </w:r>
      <w:r>
        <w:rPr>
          <w:noProof/>
          <w:sz w:val="24"/>
          <w:szCs w:val="24"/>
        </w:rPr>
        <w:t>16,2</w:t>
      </w:r>
      <w:r w:rsidRPr="005247A1">
        <w:rPr>
          <w:noProof/>
          <w:sz w:val="24"/>
          <w:szCs w:val="24"/>
        </w:rPr>
        <w:t>%</w:t>
      </w:r>
      <w:r>
        <w:rPr>
          <w:noProof/>
          <w:sz w:val="24"/>
          <w:szCs w:val="24"/>
        </w:rPr>
        <w:t xml:space="preserve"> (на 109,8 млн долл.)</w:t>
      </w:r>
      <w:r w:rsidRPr="005247A1">
        <w:rPr>
          <w:noProof/>
          <w:sz w:val="24"/>
          <w:szCs w:val="24"/>
        </w:rPr>
        <w:t xml:space="preserve"> до </w:t>
      </w:r>
      <w:r>
        <w:rPr>
          <w:noProof/>
          <w:sz w:val="24"/>
          <w:szCs w:val="24"/>
        </w:rPr>
        <w:t>567,9</w:t>
      </w:r>
      <w:r w:rsidRPr="005247A1">
        <w:rPr>
          <w:noProof/>
          <w:sz w:val="24"/>
          <w:szCs w:val="24"/>
        </w:rPr>
        <w:t xml:space="preserve"> млн долл. </w:t>
      </w:r>
      <w:r w:rsidRPr="005247A1">
        <w:rPr>
          <w:sz w:val="24"/>
          <w:szCs w:val="24"/>
        </w:rPr>
        <w:t xml:space="preserve">Основными партнёрами отечественных предприятий по-прежнему оставались хозяйствующие субъекты стран Содружества, долевое представление которых в совокупном показателе </w:t>
      </w:r>
      <w:r>
        <w:rPr>
          <w:sz w:val="24"/>
          <w:szCs w:val="24"/>
        </w:rPr>
        <w:t>возросло</w:t>
      </w:r>
      <w:r w:rsidRPr="005247A1">
        <w:rPr>
          <w:sz w:val="24"/>
          <w:szCs w:val="24"/>
        </w:rPr>
        <w:t xml:space="preserve"> на </w:t>
      </w:r>
      <w:r>
        <w:rPr>
          <w:sz w:val="24"/>
          <w:szCs w:val="24"/>
        </w:rPr>
        <w:br/>
        <w:t>6,1</w:t>
      </w:r>
      <w:r w:rsidRPr="005247A1">
        <w:rPr>
          <w:sz w:val="24"/>
          <w:szCs w:val="24"/>
        </w:rPr>
        <w:t xml:space="preserve"> п.п. до </w:t>
      </w:r>
      <w:r>
        <w:rPr>
          <w:sz w:val="24"/>
          <w:szCs w:val="24"/>
        </w:rPr>
        <w:t>72,6</w:t>
      </w:r>
      <w:r w:rsidRPr="005247A1">
        <w:rPr>
          <w:sz w:val="24"/>
          <w:szCs w:val="24"/>
        </w:rPr>
        <w:t xml:space="preserve">%. В стоимостном выражении объём товаров, реализованных в СНГ, сложился на уровне </w:t>
      </w:r>
      <w:r>
        <w:rPr>
          <w:sz w:val="24"/>
          <w:szCs w:val="24"/>
        </w:rPr>
        <w:t>412,5</w:t>
      </w:r>
      <w:r w:rsidRPr="005247A1">
        <w:rPr>
          <w:sz w:val="24"/>
          <w:szCs w:val="24"/>
        </w:rPr>
        <w:t xml:space="preserve"> млн долл., </w:t>
      </w:r>
      <w:r w:rsidRPr="00497F98">
        <w:rPr>
          <w:sz w:val="24"/>
          <w:szCs w:val="24"/>
        </w:rPr>
        <w:t>сократившись на 8,4%. Поставки в адрес хозяйствующих субъектов из Европейского союза снизились на 26,6% до 198,7 млн долл</w:t>
      </w:r>
      <w:r w:rsidRPr="005247A1">
        <w:rPr>
          <w:sz w:val="24"/>
          <w:szCs w:val="24"/>
        </w:rPr>
        <w:t>.</w:t>
      </w:r>
    </w:p>
    <w:p w:rsidR="00635258" w:rsidRPr="005247A1" w:rsidRDefault="00635258" w:rsidP="00493748">
      <w:pPr>
        <w:ind w:left="14" w:firstLine="425"/>
        <w:jc w:val="both"/>
        <w:rPr>
          <w:sz w:val="24"/>
          <w:szCs w:val="24"/>
        </w:rPr>
      </w:pPr>
      <w:r w:rsidRPr="005247A1">
        <w:rPr>
          <w:noProof/>
          <w:sz w:val="24"/>
          <w:szCs w:val="24"/>
        </w:rPr>
        <w:t xml:space="preserve">Согласно данным, рассчитанным по методике платёжного баланса, импорт товаров за </w:t>
      </w:r>
      <w:r>
        <w:rPr>
          <w:noProof/>
          <w:sz w:val="24"/>
          <w:szCs w:val="24"/>
        </w:rPr>
        <w:t>2015 год</w:t>
      </w:r>
      <w:r w:rsidRPr="005247A1">
        <w:rPr>
          <w:noProof/>
          <w:sz w:val="24"/>
          <w:szCs w:val="24"/>
        </w:rPr>
        <w:t xml:space="preserve"> в абсолютном выражении </w:t>
      </w:r>
      <w:r>
        <w:rPr>
          <w:noProof/>
          <w:sz w:val="24"/>
          <w:szCs w:val="24"/>
        </w:rPr>
        <w:t>уменьшился</w:t>
      </w:r>
      <w:r w:rsidRPr="005247A1">
        <w:rPr>
          <w:noProof/>
          <w:sz w:val="24"/>
          <w:szCs w:val="24"/>
        </w:rPr>
        <w:t xml:space="preserve"> на </w:t>
      </w:r>
      <w:r>
        <w:rPr>
          <w:noProof/>
          <w:sz w:val="24"/>
          <w:szCs w:val="24"/>
        </w:rPr>
        <w:t xml:space="preserve">508,9 </w:t>
      </w:r>
      <w:r w:rsidRPr="005247A1">
        <w:rPr>
          <w:noProof/>
          <w:sz w:val="24"/>
          <w:szCs w:val="24"/>
        </w:rPr>
        <w:t xml:space="preserve">млн долл. </w:t>
      </w:r>
      <w:r>
        <w:rPr>
          <w:noProof/>
          <w:sz w:val="24"/>
          <w:szCs w:val="24"/>
        </w:rPr>
        <w:t>(-31,0%) до</w:t>
      </w:r>
      <w:r w:rsidRPr="005247A1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br/>
        <w:t>1 132,7</w:t>
      </w:r>
      <w:r w:rsidRPr="005247A1">
        <w:rPr>
          <w:noProof/>
          <w:sz w:val="24"/>
          <w:szCs w:val="24"/>
        </w:rPr>
        <w:t xml:space="preserve"> млн долл. </w:t>
      </w:r>
      <w:r>
        <w:rPr>
          <w:noProof/>
          <w:sz w:val="24"/>
          <w:szCs w:val="24"/>
        </w:rPr>
        <w:t>в</w:t>
      </w:r>
      <w:r w:rsidRPr="005247A1">
        <w:rPr>
          <w:noProof/>
          <w:sz w:val="24"/>
          <w:szCs w:val="24"/>
        </w:rPr>
        <w:t xml:space="preserve"> долларовом эквиваленте</w:t>
      </w:r>
      <w:r>
        <w:rPr>
          <w:noProof/>
          <w:sz w:val="24"/>
          <w:szCs w:val="24"/>
        </w:rPr>
        <w:t>.</w:t>
      </w:r>
      <w:r w:rsidRPr="005247A1">
        <w:rPr>
          <w:noProof/>
          <w:sz w:val="24"/>
          <w:szCs w:val="24"/>
        </w:rPr>
        <w:t xml:space="preserve"> </w:t>
      </w:r>
      <w:r w:rsidRPr="005247A1">
        <w:rPr>
          <w:sz w:val="24"/>
          <w:szCs w:val="24"/>
        </w:rPr>
        <w:t>В географическом разрезе основной объём импорта по-</w:t>
      </w:r>
      <w:r w:rsidRPr="00497F98">
        <w:rPr>
          <w:sz w:val="24"/>
          <w:szCs w:val="24"/>
        </w:rPr>
        <w:t>прежнему поступал из стран СНГ – 82,2%, или 931,1 млн долл., что на 28,2% ниже показателя за 2014 год. Закупки товаров в странах Европейского Союза сложились на отметке 199,0 млн долл. (-32,3%), что составило около 18% совокупного значения.</w:t>
      </w:r>
      <w:r w:rsidRPr="005247A1">
        <w:rPr>
          <w:sz w:val="24"/>
          <w:szCs w:val="24"/>
        </w:rPr>
        <w:t xml:space="preserve"> </w:t>
      </w:r>
    </w:p>
    <w:p w:rsidR="00635258" w:rsidRPr="005247A1" w:rsidRDefault="00635258" w:rsidP="00493748">
      <w:pPr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 xml:space="preserve">Результатом динамики внешнеторговых операций стало сокращение отрицательного сальдо торгового баланса </w:t>
      </w:r>
      <w:r>
        <w:rPr>
          <w:sz w:val="24"/>
          <w:szCs w:val="24"/>
        </w:rPr>
        <w:t xml:space="preserve">на 41,4% </w:t>
      </w:r>
      <w:r w:rsidRPr="005247A1">
        <w:rPr>
          <w:sz w:val="24"/>
          <w:szCs w:val="24"/>
        </w:rPr>
        <w:t xml:space="preserve">до </w:t>
      </w:r>
      <w:r>
        <w:rPr>
          <w:sz w:val="24"/>
          <w:szCs w:val="24"/>
        </w:rPr>
        <w:t>564,8</w:t>
      </w:r>
      <w:r w:rsidRPr="005247A1">
        <w:rPr>
          <w:sz w:val="24"/>
          <w:szCs w:val="24"/>
        </w:rPr>
        <w:t xml:space="preserve"> млн долл., что практически соответствует </w:t>
      </w:r>
      <w:r>
        <w:rPr>
          <w:sz w:val="24"/>
          <w:szCs w:val="24"/>
        </w:rPr>
        <w:t xml:space="preserve">отметке, сложившейся по итогам </w:t>
      </w:r>
      <w:r w:rsidRPr="005247A1">
        <w:rPr>
          <w:sz w:val="24"/>
          <w:szCs w:val="24"/>
        </w:rPr>
        <w:t>2</w:t>
      </w:r>
      <w:r>
        <w:rPr>
          <w:sz w:val="24"/>
          <w:szCs w:val="24"/>
        </w:rPr>
        <w:t xml:space="preserve">009 </w:t>
      </w:r>
      <w:r w:rsidRPr="005247A1">
        <w:rPr>
          <w:sz w:val="24"/>
          <w:szCs w:val="24"/>
        </w:rPr>
        <w:t xml:space="preserve">года. Как и ранее, большая часть итоговой величины была сформирована операциями с резидентами стран Содружества – </w:t>
      </w:r>
      <w:r>
        <w:rPr>
          <w:sz w:val="24"/>
          <w:szCs w:val="24"/>
        </w:rPr>
        <w:t>91,8</w:t>
      </w:r>
      <w:r w:rsidRPr="005247A1">
        <w:rPr>
          <w:sz w:val="24"/>
          <w:szCs w:val="24"/>
        </w:rPr>
        <w:t>%, что в стоимостном выражении составило -</w:t>
      </w:r>
      <w:r>
        <w:rPr>
          <w:sz w:val="24"/>
          <w:szCs w:val="24"/>
        </w:rPr>
        <w:t>518,6</w:t>
      </w:r>
      <w:r w:rsidRPr="005247A1">
        <w:rPr>
          <w:sz w:val="24"/>
          <w:szCs w:val="24"/>
        </w:rPr>
        <w:t xml:space="preserve"> млн долл. (-</w:t>
      </w:r>
      <w:r>
        <w:rPr>
          <w:sz w:val="24"/>
          <w:szCs w:val="24"/>
        </w:rPr>
        <w:t>38,7</w:t>
      </w:r>
      <w:r w:rsidRPr="005247A1">
        <w:rPr>
          <w:sz w:val="24"/>
          <w:szCs w:val="24"/>
        </w:rPr>
        <w:t xml:space="preserve">%). Дефицит, </w:t>
      </w:r>
      <w:r>
        <w:rPr>
          <w:sz w:val="24"/>
          <w:szCs w:val="24"/>
        </w:rPr>
        <w:t xml:space="preserve">зафиксированный </w:t>
      </w:r>
      <w:r w:rsidRPr="005247A1">
        <w:rPr>
          <w:sz w:val="24"/>
          <w:szCs w:val="24"/>
        </w:rPr>
        <w:t>по сделкам с партнёрами из дальнего зарубежья, уменьшился в 2,</w:t>
      </w:r>
      <w:r>
        <w:rPr>
          <w:sz w:val="24"/>
          <w:szCs w:val="24"/>
        </w:rPr>
        <w:t>6</w:t>
      </w:r>
      <w:r w:rsidRPr="005247A1">
        <w:rPr>
          <w:sz w:val="24"/>
          <w:szCs w:val="24"/>
        </w:rPr>
        <w:t xml:space="preserve"> раза до </w:t>
      </w:r>
      <w:r>
        <w:rPr>
          <w:sz w:val="24"/>
          <w:szCs w:val="24"/>
        </w:rPr>
        <w:t>46,2</w:t>
      </w:r>
      <w:r w:rsidRPr="005247A1">
        <w:rPr>
          <w:sz w:val="24"/>
          <w:szCs w:val="24"/>
        </w:rPr>
        <w:t xml:space="preserve"> млн долл.</w:t>
      </w:r>
    </w:p>
    <w:p w:rsidR="00635258" w:rsidRPr="005247A1" w:rsidRDefault="00635258" w:rsidP="00493748">
      <w:pPr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>Отрицательное сальдо баланса услуг</w:t>
      </w:r>
      <w:r>
        <w:rPr>
          <w:sz w:val="24"/>
          <w:szCs w:val="24"/>
        </w:rPr>
        <w:t xml:space="preserve"> сократилось более чем в четыре раза и</w:t>
      </w:r>
      <w:r w:rsidRPr="005247A1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составило</w:t>
      </w:r>
      <w:r w:rsidRPr="005247A1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-19,7 млн долл.</w:t>
      </w:r>
      <w:r w:rsidRPr="005247A1">
        <w:rPr>
          <w:sz w:val="24"/>
          <w:szCs w:val="24"/>
        </w:rPr>
        <w:t xml:space="preserve"> Ключевым фактором </w:t>
      </w:r>
      <w:r>
        <w:rPr>
          <w:sz w:val="24"/>
          <w:szCs w:val="24"/>
        </w:rPr>
        <w:t>уменьшения</w:t>
      </w:r>
      <w:r w:rsidRPr="005247A1">
        <w:rPr>
          <w:sz w:val="24"/>
          <w:szCs w:val="24"/>
        </w:rPr>
        <w:t xml:space="preserve"> дефицита явилось существенное сужение импорта (в </w:t>
      </w:r>
      <w:r>
        <w:rPr>
          <w:sz w:val="24"/>
          <w:szCs w:val="24"/>
        </w:rPr>
        <w:t>1,9</w:t>
      </w:r>
      <w:r w:rsidRPr="005247A1">
        <w:rPr>
          <w:sz w:val="24"/>
          <w:szCs w:val="24"/>
        </w:rPr>
        <w:t xml:space="preserve"> раза до </w:t>
      </w:r>
      <w:r>
        <w:rPr>
          <w:sz w:val="24"/>
          <w:szCs w:val="24"/>
        </w:rPr>
        <w:t>76,8</w:t>
      </w:r>
      <w:r w:rsidRPr="005247A1">
        <w:rPr>
          <w:sz w:val="24"/>
          <w:szCs w:val="24"/>
        </w:rPr>
        <w:t xml:space="preserve"> млн долл.), параметры которого после пикового роста в базисном периоде (в 1,</w:t>
      </w:r>
      <w:r>
        <w:rPr>
          <w:sz w:val="24"/>
          <w:szCs w:val="24"/>
        </w:rPr>
        <w:t>5</w:t>
      </w:r>
      <w:r w:rsidRPr="005247A1">
        <w:rPr>
          <w:sz w:val="24"/>
          <w:szCs w:val="24"/>
        </w:rPr>
        <w:t xml:space="preserve"> раза) </w:t>
      </w:r>
      <w:r>
        <w:rPr>
          <w:sz w:val="24"/>
          <w:szCs w:val="24"/>
        </w:rPr>
        <w:t>сложились на минимальном уровне с 2006 года.</w:t>
      </w:r>
      <w:r w:rsidRPr="005247A1">
        <w:rPr>
          <w:sz w:val="24"/>
          <w:szCs w:val="24"/>
        </w:rPr>
        <w:t xml:space="preserve"> Суммарный объём экспорта услуг составил </w:t>
      </w:r>
      <w:r>
        <w:rPr>
          <w:sz w:val="24"/>
          <w:szCs w:val="24"/>
        </w:rPr>
        <w:t xml:space="preserve">57,1 </w:t>
      </w:r>
      <w:r w:rsidRPr="005247A1">
        <w:rPr>
          <w:sz w:val="24"/>
          <w:szCs w:val="24"/>
        </w:rPr>
        <w:t>млн долл. (-</w:t>
      </w:r>
      <w:r>
        <w:rPr>
          <w:sz w:val="24"/>
          <w:szCs w:val="24"/>
        </w:rPr>
        <w:t>13,0</w:t>
      </w:r>
      <w:r w:rsidRPr="005247A1">
        <w:rPr>
          <w:sz w:val="24"/>
          <w:szCs w:val="24"/>
        </w:rPr>
        <w:t>%).</w:t>
      </w:r>
    </w:p>
    <w:p w:rsidR="00635258" w:rsidRPr="005247A1" w:rsidRDefault="00635258" w:rsidP="00493748">
      <w:pPr>
        <w:widowControl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Негативное</w:t>
      </w:r>
      <w:r w:rsidRPr="005247A1">
        <w:rPr>
          <w:sz w:val="24"/>
          <w:szCs w:val="24"/>
        </w:rPr>
        <w:t xml:space="preserve"> </w:t>
      </w:r>
      <w:r>
        <w:rPr>
          <w:sz w:val="24"/>
          <w:szCs w:val="24"/>
        </w:rPr>
        <w:t>воздействие</w:t>
      </w:r>
      <w:r w:rsidRPr="005247A1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5247A1">
        <w:rPr>
          <w:sz w:val="24"/>
          <w:szCs w:val="24"/>
        </w:rPr>
        <w:t xml:space="preserve"> динамик</w:t>
      </w:r>
      <w:r>
        <w:rPr>
          <w:sz w:val="24"/>
          <w:szCs w:val="24"/>
        </w:rPr>
        <w:t>у</w:t>
      </w:r>
      <w:r w:rsidRPr="005247A1">
        <w:rPr>
          <w:sz w:val="24"/>
          <w:szCs w:val="24"/>
        </w:rPr>
        <w:t xml:space="preserve"> статей счёта текущих операций </w:t>
      </w:r>
      <w:r>
        <w:rPr>
          <w:sz w:val="24"/>
          <w:szCs w:val="24"/>
        </w:rPr>
        <w:t>оказала</w:t>
      </w:r>
      <w:r w:rsidRPr="005247A1">
        <w:rPr>
          <w:sz w:val="24"/>
          <w:szCs w:val="24"/>
        </w:rPr>
        <w:t xml:space="preserve"> смена вектора сальдо баланса первичных доходов, положительное значение которого сместилось в область отрицательных, составив по итогам отчётного </w:t>
      </w:r>
      <w:r>
        <w:rPr>
          <w:sz w:val="24"/>
          <w:szCs w:val="24"/>
        </w:rPr>
        <w:t>года</w:t>
      </w:r>
      <w:r w:rsidRPr="005247A1">
        <w:rPr>
          <w:sz w:val="24"/>
          <w:szCs w:val="24"/>
        </w:rPr>
        <w:t xml:space="preserve"> -</w:t>
      </w:r>
      <w:r>
        <w:rPr>
          <w:sz w:val="24"/>
          <w:szCs w:val="24"/>
        </w:rPr>
        <w:t>10,5</w:t>
      </w:r>
      <w:r w:rsidRPr="005247A1">
        <w:rPr>
          <w:sz w:val="24"/>
          <w:szCs w:val="24"/>
        </w:rPr>
        <w:t xml:space="preserve"> млн долл. Изменение показателя обусловлено </w:t>
      </w:r>
      <w:r>
        <w:rPr>
          <w:sz w:val="24"/>
          <w:szCs w:val="24"/>
        </w:rPr>
        <w:t>активным</w:t>
      </w:r>
      <w:r w:rsidRPr="005247A1">
        <w:rPr>
          <w:sz w:val="24"/>
          <w:szCs w:val="24"/>
        </w:rPr>
        <w:t xml:space="preserve"> сокращением доходов, начисленных резидентам от прямых, портфельных и других инвестиций, а также в виде оплаты труда, на фоне более умеренного уменьшения средств, на</w:t>
      </w:r>
      <w:r>
        <w:rPr>
          <w:sz w:val="24"/>
          <w:szCs w:val="24"/>
        </w:rPr>
        <w:t>правленных в адрес нерезидентов</w:t>
      </w:r>
      <w:r w:rsidRPr="00524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(-42,5% до </w:t>
      </w:r>
      <w:r>
        <w:rPr>
          <w:sz w:val="24"/>
          <w:szCs w:val="24"/>
        </w:rPr>
        <w:br/>
        <w:t xml:space="preserve">33,4 млн долл. </w:t>
      </w:r>
      <w:r w:rsidRPr="005247A1">
        <w:rPr>
          <w:sz w:val="24"/>
          <w:szCs w:val="24"/>
        </w:rPr>
        <w:t xml:space="preserve">против </w:t>
      </w:r>
      <w:r>
        <w:rPr>
          <w:sz w:val="24"/>
          <w:szCs w:val="24"/>
        </w:rPr>
        <w:t>-14,8% до 43,9</w:t>
      </w:r>
      <w:r w:rsidRPr="005247A1">
        <w:rPr>
          <w:sz w:val="24"/>
          <w:szCs w:val="24"/>
        </w:rPr>
        <w:t xml:space="preserve"> млн долл.</w:t>
      </w:r>
      <w:r>
        <w:rPr>
          <w:sz w:val="24"/>
          <w:szCs w:val="24"/>
        </w:rPr>
        <w:t xml:space="preserve"> соответственно).</w:t>
      </w:r>
    </w:p>
    <w:p w:rsidR="00635258" w:rsidRPr="005247A1" w:rsidRDefault="00635258" w:rsidP="00493748">
      <w:pPr>
        <w:widowControl w:val="0"/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 xml:space="preserve">Положительное сальдо вторичных доходов, традиционно нивелирующее дефицит счёта текущих операций, по итогам отчётного периода снизилось до уровня десятилетней давности, составив </w:t>
      </w:r>
      <w:r>
        <w:rPr>
          <w:sz w:val="24"/>
          <w:szCs w:val="24"/>
        </w:rPr>
        <w:t>78,5</w:t>
      </w:r>
      <w:r w:rsidRPr="005247A1">
        <w:rPr>
          <w:sz w:val="24"/>
          <w:szCs w:val="24"/>
        </w:rPr>
        <w:t xml:space="preserve"> млн долл. При этом было зафиксировано почти трёхкратное отставание от базисной величины. Совокупный объём перечисленных в республику трансфертов </w:t>
      </w:r>
      <w:r>
        <w:rPr>
          <w:sz w:val="24"/>
          <w:szCs w:val="24"/>
        </w:rPr>
        <w:t>сократился</w:t>
      </w:r>
      <w:r w:rsidRPr="00524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почти </w:t>
      </w:r>
      <w:r w:rsidRPr="005247A1">
        <w:rPr>
          <w:sz w:val="24"/>
          <w:szCs w:val="24"/>
        </w:rPr>
        <w:t xml:space="preserve">в два раза до </w:t>
      </w:r>
      <w:r>
        <w:rPr>
          <w:sz w:val="24"/>
          <w:szCs w:val="24"/>
        </w:rPr>
        <w:t>142,6</w:t>
      </w:r>
      <w:r w:rsidRPr="005247A1">
        <w:rPr>
          <w:sz w:val="24"/>
          <w:szCs w:val="24"/>
        </w:rPr>
        <w:t xml:space="preserve"> млн долл. Среди них традиционно преобладали денежные переводы работающих (</w:t>
      </w:r>
      <w:r>
        <w:rPr>
          <w:sz w:val="24"/>
          <w:szCs w:val="24"/>
        </w:rPr>
        <w:t>91,3</w:t>
      </w:r>
      <w:r w:rsidRPr="005247A1">
        <w:rPr>
          <w:sz w:val="24"/>
          <w:szCs w:val="24"/>
        </w:rPr>
        <w:t xml:space="preserve"> млн долл.), сумма которых впервые с 200</w:t>
      </w:r>
      <w:r>
        <w:rPr>
          <w:sz w:val="24"/>
          <w:szCs w:val="24"/>
        </w:rPr>
        <w:t>6</w:t>
      </w:r>
      <w:r w:rsidRPr="005247A1">
        <w:rPr>
          <w:sz w:val="24"/>
          <w:szCs w:val="24"/>
        </w:rPr>
        <w:t xml:space="preserve"> года, опустилась ниже 100 млн долл. Одновременно с этим исходящий поток текущих трансфертов </w:t>
      </w:r>
      <w:r>
        <w:rPr>
          <w:sz w:val="24"/>
          <w:szCs w:val="24"/>
        </w:rPr>
        <w:t xml:space="preserve">уменьшился </w:t>
      </w:r>
      <w:r w:rsidRPr="005247A1">
        <w:rPr>
          <w:sz w:val="24"/>
          <w:szCs w:val="24"/>
        </w:rPr>
        <w:t xml:space="preserve">на </w:t>
      </w:r>
      <w:r>
        <w:rPr>
          <w:sz w:val="24"/>
          <w:szCs w:val="24"/>
        </w:rPr>
        <w:t>29,1</w:t>
      </w:r>
      <w:r w:rsidRPr="005247A1">
        <w:rPr>
          <w:sz w:val="24"/>
          <w:szCs w:val="24"/>
        </w:rPr>
        <w:t xml:space="preserve">% до </w:t>
      </w:r>
      <w:r>
        <w:rPr>
          <w:sz w:val="24"/>
          <w:szCs w:val="24"/>
        </w:rPr>
        <w:t>64,1</w:t>
      </w:r>
      <w:r w:rsidRPr="005247A1">
        <w:rPr>
          <w:sz w:val="24"/>
          <w:szCs w:val="24"/>
        </w:rPr>
        <w:t xml:space="preserve"> млн долл. </w:t>
      </w:r>
    </w:p>
    <w:p w:rsidR="00635258" w:rsidRPr="005247A1" w:rsidRDefault="00635258" w:rsidP="00493748">
      <w:pPr>
        <w:widowControl w:val="0"/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 xml:space="preserve">По итогам отчётного </w:t>
      </w:r>
      <w:r>
        <w:rPr>
          <w:sz w:val="24"/>
          <w:szCs w:val="24"/>
        </w:rPr>
        <w:t>года</w:t>
      </w:r>
      <w:r w:rsidRPr="005247A1">
        <w:rPr>
          <w:sz w:val="24"/>
          <w:szCs w:val="24"/>
        </w:rPr>
        <w:t xml:space="preserve"> сальдо финансового счёта платёжного баланса сформировалось в размере </w:t>
      </w:r>
      <w:r>
        <w:rPr>
          <w:sz w:val="24"/>
          <w:szCs w:val="24"/>
        </w:rPr>
        <w:t xml:space="preserve">-480,4 </w:t>
      </w:r>
      <w:r w:rsidRPr="005247A1">
        <w:rPr>
          <w:sz w:val="24"/>
          <w:szCs w:val="24"/>
        </w:rPr>
        <w:t xml:space="preserve">млн долл. (годом ранее </w:t>
      </w:r>
      <w:r>
        <w:rPr>
          <w:sz w:val="24"/>
          <w:szCs w:val="24"/>
        </w:rPr>
        <w:t>-960,8</w:t>
      </w:r>
      <w:r w:rsidRPr="005247A1">
        <w:rPr>
          <w:sz w:val="24"/>
          <w:szCs w:val="24"/>
        </w:rPr>
        <w:t xml:space="preserve"> млн долл.). </w:t>
      </w:r>
      <w:r>
        <w:rPr>
          <w:sz w:val="24"/>
          <w:szCs w:val="24"/>
        </w:rPr>
        <w:t>Таким образом,</w:t>
      </w:r>
      <w:r w:rsidRPr="005247A1">
        <w:rPr>
          <w:sz w:val="24"/>
          <w:szCs w:val="24"/>
        </w:rPr>
        <w:t xml:space="preserve"> резиденты Приднестровской Молдавской Республики по-прежнему остаются «чистыми заёмщиками» финансовых ресурсов у остального мира. Внешние обязательства экономических агентов республики увеличились на </w:t>
      </w:r>
      <w:r>
        <w:rPr>
          <w:sz w:val="24"/>
          <w:szCs w:val="24"/>
        </w:rPr>
        <w:t xml:space="preserve">433,5 </w:t>
      </w:r>
      <w:r w:rsidRPr="005247A1">
        <w:rPr>
          <w:sz w:val="24"/>
          <w:szCs w:val="24"/>
        </w:rPr>
        <w:t xml:space="preserve">млн долл., одновременно с этим иностранные активы, размещённые за границей, сократились на </w:t>
      </w:r>
      <w:r>
        <w:rPr>
          <w:sz w:val="24"/>
          <w:szCs w:val="24"/>
        </w:rPr>
        <w:t>46,9</w:t>
      </w:r>
      <w:r w:rsidRPr="005247A1">
        <w:rPr>
          <w:sz w:val="24"/>
          <w:szCs w:val="24"/>
        </w:rPr>
        <w:t xml:space="preserve"> млн долл.</w:t>
      </w:r>
    </w:p>
    <w:p w:rsidR="00635258" w:rsidRPr="005247A1" w:rsidRDefault="00635258" w:rsidP="00493748">
      <w:pPr>
        <w:widowControl w:val="0"/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 xml:space="preserve">Нетто-отток капитала по операциям с прямыми инвестициями за </w:t>
      </w:r>
      <w:r>
        <w:rPr>
          <w:sz w:val="24"/>
          <w:szCs w:val="24"/>
        </w:rPr>
        <w:t>2015 год</w:t>
      </w:r>
      <w:r w:rsidRPr="005247A1">
        <w:rPr>
          <w:sz w:val="24"/>
          <w:szCs w:val="24"/>
        </w:rPr>
        <w:t xml:space="preserve"> составил </w:t>
      </w:r>
      <w:r>
        <w:rPr>
          <w:sz w:val="24"/>
          <w:szCs w:val="24"/>
        </w:rPr>
        <w:br/>
        <w:t>23,9</w:t>
      </w:r>
      <w:r w:rsidRPr="005247A1">
        <w:rPr>
          <w:sz w:val="24"/>
          <w:szCs w:val="24"/>
        </w:rPr>
        <w:t xml:space="preserve"> млн долл., тогда как в базисном </w:t>
      </w:r>
      <w:r>
        <w:rPr>
          <w:sz w:val="24"/>
          <w:szCs w:val="24"/>
        </w:rPr>
        <w:t>году</w:t>
      </w:r>
      <w:r w:rsidRPr="005247A1">
        <w:rPr>
          <w:sz w:val="24"/>
          <w:szCs w:val="24"/>
        </w:rPr>
        <w:t xml:space="preserve"> отмечалось чистое поступление средств в сумме </w:t>
      </w:r>
      <w:r>
        <w:rPr>
          <w:sz w:val="24"/>
          <w:szCs w:val="24"/>
        </w:rPr>
        <w:t>97,3</w:t>
      </w:r>
      <w:r w:rsidRPr="005247A1">
        <w:rPr>
          <w:sz w:val="24"/>
          <w:szCs w:val="24"/>
        </w:rPr>
        <w:t xml:space="preserve"> млн долл. Данная динамика была обусловлена тем, что существенное замедление притока инвестиций (в том числе вследствие завершения строительства основной массы объектов по линии АНО «Евразийская интеграция») происходило на фоне нетто-гашения обязательств перед зарубежными инвесторами в разрезе операций с долговыми ценными бумагами (</w:t>
      </w:r>
      <w:r>
        <w:rPr>
          <w:sz w:val="24"/>
          <w:szCs w:val="24"/>
        </w:rPr>
        <w:t>28,1</w:t>
      </w:r>
      <w:r w:rsidRPr="005247A1">
        <w:rPr>
          <w:sz w:val="24"/>
          <w:szCs w:val="24"/>
        </w:rPr>
        <w:t xml:space="preserve"> млн долл.).</w:t>
      </w:r>
      <w:r>
        <w:rPr>
          <w:sz w:val="24"/>
          <w:szCs w:val="24"/>
        </w:rPr>
        <w:t xml:space="preserve"> </w:t>
      </w:r>
      <w:r w:rsidRPr="005247A1">
        <w:rPr>
          <w:sz w:val="24"/>
          <w:szCs w:val="24"/>
        </w:rPr>
        <w:t>В части портфельны</w:t>
      </w:r>
      <w:r>
        <w:rPr>
          <w:sz w:val="24"/>
          <w:szCs w:val="24"/>
        </w:rPr>
        <w:t>х</w:t>
      </w:r>
      <w:r w:rsidRPr="005247A1">
        <w:rPr>
          <w:sz w:val="24"/>
          <w:szCs w:val="24"/>
        </w:rPr>
        <w:t xml:space="preserve"> инвестици</w:t>
      </w:r>
      <w:r>
        <w:rPr>
          <w:sz w:val="24"/>
          <w:szCs w:val="24"/>
        </w:rPr>
        <w:t>й</w:t>
      </w:r>
      <w:r w:rsidRPr="005247A1">
        <w:rPr>
          <w:sz w:val="24"/>
          <w:szCs w:val="24"/>
        </w:rPr>
        <w:t xml:space="preserve">, напротив, был зафиксирован чистый приток капитала в республику в объёме </w:t>
      </w:r>
      <w:r>
        <w:rPr>
          <w:sz w:val="24"/>
          <w:szCs w:val="24"/>
        </w:rPr>
        <w:t>31,8</w:t>
      </w:r>
      <w:r w:rsidRPr="005247A1">
        <w:rPr>
          <w:sz w:val="24"/>
          <w:szCs w:val="24"/>
        </w:rPr>
        <w:t xml:space="preserve"> млн долл. (в</w:t>
      </w:r>
      <w:r>
        <w:rPr>
          <w:sz w:val="24"/>
          <w:szCs w:val="24"/>
        </w:rPr>
        <w:t xml:space="preserve"> 2014 году – </w:t>
      </w:r>
      <w:r w:rsidRPr="005247A1">
        <w:rPr>
          <w:sz w:val="24"/>
          <w:szCs w:val="24"/>
        </w:rPr>
        <w:t>0,</w:t>
      </w:r>
      <w:r>
        <w:rPr>
          <w:sz w:val="24"/>
          <w:szCs w:val="24"/>
        </w:rPr>
        <w:t>6</w:t>
      </w:r>
      <w:r w:rsidRPr="005247A1">
        <w:rPr>
          <w:sz w:val="24"/>
          <w:szCs w:val="24"/>
        </w:rPr>
        <w:t xml:space="preserve"> млн долл.).</w:t>
      </w:r>
    </w:p>
    <w:p w:rsidR="00635258" w:rsidRPr="005247A1" w:rsidRDefault="00635258" w:rsidP="00493748">
      <w:pPr>
        <w:widowControl w:val="0"/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 xml:space="preserve">Нетто-отток капитала, сформированный в результате сделок торгового кредитования, составил </w:t>
      </w:r>
      <w:r>
        <w:rPr>
          <w:sz w:val="24"/>
          <w:szCs w:val="24"/>
        </w:rPr>
        <w:t>17,2</w:t>
      </w:r>
      <w:r w:rsidRPr="005247A1">
        <w:rPr>
          <w:sz w:val="24"/>
          <w:szCs w:val="24"/>
        </w:rPr>
        <w:t xml:space="preserve"> млн долл. против </w:t>
      </w:r>
      <w:r>
        <w:rPr>
          <w:sz w:val="24"/>
          <w:szCs w:val="24"/>
        </w:rPr>
        <w:t>3,9</w:t>
      </w:r>
      <w:r w:rsidRPr="005247A1">
        <w:rPr>
          <w:sz w:val="24"/>
          <w:szCs w:val="24"/>
        </w:rPr>
        <w:t xml:space="preserve"> млн долл. </w:t>
      </w:r>
      <w:r>
        <w:rPr>
          <w:sz w:val="24"/>
          <w:szCs w:val="24"/>
        </w:rPr>
        <w:t>годом ранее</w:t>
      </w:r>
      <w:r w:rsidRPr="005247A1">
        <w:rPr>
          <w:sz w:val="24"/>
          <w:szCs w:val="24"/>
        </w:rPr>
        <w:t>.</w:t>
      </w:r>
    </w:p>
    <w:p w:rsidR="00635258" w:rsidRDefault="00635258" w:rsidP="00493748">
      <w:pPr>
        <w:widowControl w:val="0"/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 xml:space="preserve">Итогом ссудных </w:t>
      </w:r>
      <w:r>
        <w:rPr>
          <w:sz w:val="24"/>
          <w:szCs w:val="24"/>
        </w:rPr>
        <w:t>операций</w:t>
      </w:r>
      <w:r w:rsidRPr="005247A1">
        <w:rPr>
          <w:sz w:val="24"/>
          <w:szCs w:val="24"/>
        </w:rPr>
        <w:t xml:space="preserve"> резидентов стал чистый </w:t>
      </w:r>
      <w:r>
        <w:rPr>
          <w:sz w:val="24"/>
          <w:szCs w:val="24"/>
        </w:rPr>
        <w:t xml:space="preserve">отток </w:t>
      </w:r>
      <w:r w:rsidRPr="005247A1">
        <w:rPr>
          <w:sz w:val="24"/>
          <w:szCs w:val="24"/>
        </w:rPr>
        <w:t xml:space="preserve">средств в объёме </w:t>
      </w:r>
      <w:r>
        <w:rPr>
          <w:sz w:val="24"/>
          <w:szCs w:val="24"/>
        </w:rPr>
        <w:br/>
        <w:t>52,3</w:t>
      </w:r>
      <w:r w:rsidRPr="005247A1">
        <w:rPr>
          <w:sz w:val="24"/>
          <w:szCs w:val="24"/>
        </w:rPr>
        <w:t xml:space="preserve"> млн долл., тогда как годом ранее приток составлял </w:t>
      </w:r>
      <w:r>
        <w:rPr>
          <w:sz w:val="24"/>
          <w:szCs w:val="24"/>
        </w:rPr>
        <w:t>13,4</w:t>
      </w:r>
      <w:r w:rsidRPr="005247A1">
        <w:rPr>
          <w:sz w:val="24"/>
          <w:szCs w:val="24"/>
        </w:rPr>
        <w:t xml:space="preserve"> млн долл. Главным образом это произошло вследствие </w:t>
      </w:r>
      <w:r>
        <w:rPr>
          <w:sz w:val="24"/>
          <w:szCs w:val="24"/>
        </w:rPr>
        <w:t xml:space="preserve">увеличения </w:t>
      </w:r>
      <w:r w:rsidRPr="005247A1">
        <w:rPr>
          <w:sz w:val="24"/>
          <w:szCs w:val="24"/>
        </w:rPr>
        <w:t xml:space="preserve">нетто-гашения задолженности по привлечённым </w:t>
      </w:r>
      <w:r>
        <w:rPr>
          <w:sz w:val="24"/>
          <w:szCs w:val="24"/>
        </w:rPr>
        <w:t xml:space="preserve">ранее </w:t>
      </w:r>
      <w:r w:rsidRPr="005247A1">
        <w:rPr>
          <w:sz w:val="24"/>
          <w:szCs w:val="24"/>
        </w:rPr>
        <w:t xml:space="preserve">хозяйствующими субъектами республики кредитам и займам </w:t>
      </w:r>
      <w:r>
        <w:rPr>
          <w:sz w:val="24"/>
          <w:szCs w:val="24"/>
        </w:rPr>
        <w:t>с 15,2 тыс. долл. до</w:t>
      </w:r>
      <w:r w:rsidRPr="005247A1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50,7</w:t>
      </w:r>
      <w:r w:rsidRPr="005247A1">
        <w:rPr>
          <w:sz w:val="24"/>
          <w:szCs w:val="24"/>
        </w:rPr>
        <w:t xml:space="preserve"> млн долл.</w:t>
      </w:r>
    </w:p>
    <w:p w:rsidR="00635258" w:rsidRPr="005247A1" w:rsidRDefault="00635258" w:rsidP="00493748">
      <w:pPr>
        <w:widowControl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 каналу</w:t>
      </w:r>
      <w:r w:rsidRPr="005247A1">
        <w:rPr>
          <w:sz w:val="24"/>
          <w:szCs w:val="24"/>
        </w:rPr>
        <w:t xml:space="preserve"> внешни</w:t>
      </w:r>
      <w:r>
        <w:rPr>
          <w:sz w:val="24"/>
          <w:szCs w:val="24"/>
        </w:rPr>
        <w:t>х</w:t>
      </w:r>
      <w:r w:rsidRPr="005247A1">
        <w:rPr>
          <w:sz w:val="24"/>
          <w:szCs w:val="24"/>
        </w:rPr>
        <w:t xml:space="preserve"> актив</w:t>
      </w:r>
      <w:r>
        <w:rPr>
          <w:sz w:val="24"/>
          <w:szCs w:val="24"/>
        </w:rPr>
        <w:t>ов</w:t>
      </w:r>
      <w:r w:rsidRPr="005247A1">
        <w:rPr>
          <w:sz w:val="24"/>
          <w:szCs w:val="24"/>
        </w:rPr>
        <w:t xml:space="preserve"> и обязательств в виде наличной иностранной валюты и безналичных средств на текущих счетах и депозитах </w:t>
      </w:r>
      <w:r>
        <w:rPr>
          <w:sz w:val="24"/>
          <w:szCs w:val="24"/>
        </w:rPr>
        <w:t>зафиксирован</w:t>
      </w:r>
      <w:r w:rsidRPr="005247A1">
        <w:rPr>
          <w:sz w:val="24"/>
          <w:szCs w:val="24"/>
        </w:rPr>
        <w:t xml:space="preserve"> чистый </w:t>
      </w:r>
      <w:r>
        <w:rPr>
          <w:sz w:val="24"/>
          <w:szCs w:val="24"/>
        </w:rPr>
        <w:t>приток</w:t>
      </w:r>
      <w:r w:rsidRPr="005247A1">
        <w:rPr>
          <w:sz w:val="24"/>
          <w:szCs w:val="24"/>
        </w:rPr>
        <w:t xml:space="preserve"> капитала </w:t>
      </w:r>
      <w:r w:rsidRPr="005247A1">
        <w:rPr>
          <w:sz w:val="24"/>
          <w:szCs w:val="24"/>
        </w:rPr>
        <w:br/>
        <w:t xml:space="preserve">в республику в сумме </w:t>
      </w:r>
      <w:r>
        <w:rPr>
          <w:sz w:val="24"/>
          <w:szCs w:val="24"/>
        </w:rPr>
        <w:t>91,4</w:t>
      </w:r>
      <w:r w:rsidRPr="005247A1">
        <w:rPr>
          <w:sz w:val="24"/>
          <w:szCs w:val="24"/>
        </w:rPr>
        <w:t xml:space="preserve"> млн долл., что </w:t>
      </w:r>
      <w:r>
        <w:rPr>
          <w:sz w:val="24"/>
          <w:szCs w:val="24"/>
        </w:rPr>
        <w:t>на 28,0%</w:t>
      </w:r>
      <w:r w:rsidRPr="005247A1">
        <w:rPr>
          <w:sz w:val="24"/>
          <w:szCs w:val="24"/>
        </w:rPr>
        <w:t xml:space="preserve"> больше базисного значения. Движение активов по данной статье выразилось в сокращении требований к нерезидентам на </w:t>
      </w:r>
      <w:r>
        <w:rPr>
          <w:sz w:val="24"/>
          <w:szCs w:val="24"/>
        </w:rPr>
        <w:br/>
        <w:t>41,2</w:t>
      </w:r>
      <w:r w:rsidRPr="005247A1">
        <w:rPr>
          <w:sz w:val="24"/>
          <w:szCs w:val="24"/>
        </w:rPr>
        <w:t xml:space="preserve"> млн долл. (в 2014 год</w:t>
      </w:r>
      <w:r>
        <w:rPr>
          <w:sz w:val="24"/>
          <w:szCs w:val="24"/>
        </w:rPr>
        <w:t>у</w:t>
      </w:r>
      <w:r w:rsidRPr="005247A1">
        <w:rPr>
          <w:sz w:val="24"/>
          <w:szCs w:val="24"/>
        </w:rPr>
        <w:t xml:space="preserve"> – на </w:t>
      </w:r>
      <w:r>
        <w:rPr>
          <w:sz w:val="24"/>
          <w:szCs w:val="24"/>
        </w:rPr>
        <w:t>63,3</w:t>
      </w:r>
      <w:r w:rsidRPr="005247A1">
        <w:rPr>
          <w:sz w:val="24"/>
          <w:szCs w:val="24"/>
        </w:rPr>
        <w:t xml:space="preserve"> млн долл.). Нетто-пополнение средств на счетах и депозитах нерезидентов, открытых в приднестровских банках, зафиксировано на уровне </w:t>
      </w:r>
      <w:r>
        <w:rPr>
          <w:sz w:val="24"/>
          <w:szCs w:val="24"/>
        </w:rPr>
        <w:br/>
        <w:t>50,2</w:t>
      </w:r>
      <w:r w:rsidRPr="005247A1">
        <w:rPr>
          <w:sz w:val="24"/>
          <w:szCs w:val="24"/>
        </w:rPr>
        <w:t xml:space="preserve"> млн долл. (годом ранее – </w:t>
      </w:r>
      <w:r>
        <w:rPr>
          <w:sz w:val="24"/>
          <w:szCs w:val="24"/>
        </w:rPr>
        <w:t>8,1</w:t>
      </w:r>
      <w:r w:rsidRPr="005247A1">
        <w:rPr>
          <w:sz w:val="24"/>
          <w:szCs w:val="24"/>
        </w:rPr>
        <w:t xml:space="preserve"> млн долл.).</w:t>
      </w:r>
    </w:p>
    <w:p w:rsidR="00635258" w:rsidRPr="005247A1" w:rsidRDefault="00635258" w:rsidP="00493748">
      <w:pPr>
        <w:widowControl w:val="0"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5247A1">
        <w:rPr>
          <w:sz w:val="24"/>
          <w:szCs w:val="24"/>
        </w:rPr>
        <w:t xml:space="preserve">Статистические расхождения между счётом текущих операций и финансовым счётом платёжного баланса, с учётом </w:t>
      </w:r>
      <w:r>
        <w:rPr>
          <w:sz w:val="24"/>
          <w:szCs w:val="24"/>
        </w:rPr>
        <w:t>сокращения</w:t>
      </w:r>
      <w:r w:rsidRPr="005247A1">
        <w:rPr>
          <w:sz w:val="24"/>
          <w:szCs w:val="24"/>
        </w:rPr>
        <w:t xml:space="preserve"> резервных активов центрального банка (на </w:t>
      </w:r>
      <w:r>
        <w:rPr>
          <w:sz w:val="24"/>
          <w:szCs w:val="24"/>
        </w:rPr>
        <w:br/>
        <w:t>5,2</w:t>
      </w:r>
      <w:r w:rsidRPr="005247A1">
        <w:rPr>
          <w:sz w:val="24"/>
          <w:szCs w:val="24"/>
        </w:rPr>
        <w:t xml:space="preserve"> млн долл.), сложились на уровне </w:t>
      </w:r>
      <w:r>
        <w:rPr>
          <w:sz w:val="24"/>
          <w:szCs w:val="24"/>
        </w:rPr>
        <w:t>36,0</w:t>
      </w:r>
      <w:r w:rsidRPr="005247A1">
        <w:rPr>
          <w:sz w:val="24"/>
          <w:szCs w:val="24"/>
        </w:rPr>
        <w:t xml:space="preserve"> млн долл., что может свидетельствовать о наличии неохваченных статистикой кредитовых оборотов по счетам текущих операций (экспорт), </w:t>
      </w:r>
      <w:r>
        <w:rPr>
          <w:sz w:val="24"/>
          <w:szCs w:val="24"/>
        </w:rPr>
        <w:t xml:space="preserve">разнице стоимостной оценки импорта/экспорта, </w:t>
      </w:r>
      <w:r w:rsidRPr="005247A1">
        <w:rPr>
          <w:sz w:val="24"/>
          <w:szCs w:val="24"/>
        </w:rPr>
        <w:t xml:space="preserve">а также притока капитала по финансовому счёту. </w:t>
      </w:r>
    </w:p>
    <w:p w:rsidR="00635258" w:rsidRDefault="00635258" w:rsidP="00493748">
      <w:pPr>
        <w:widowControl w:val="0"/>
        <w:ind w:firstLine="425"/>
        <w:jc w:val="both"/>
        <w:rPr>
          <w:sz w:val="24"/>
          <w:szCs w:val="24"/>
        </w:rPr>
      </w:pPr>
    </w:p>
    <w:p w:rsidR="00635258" w:rsidRDefault="00635258" w:rsidP="00131D2B">
      <w:pPr>
        <w:widowControl w:val="0"/>
        <w:ind w:firstLine="425"/>
        <w:jc w:val="both"/>
        <w:rPr>
          <w:sz w:val="24"/>
          <w:szCs w:val="24"/>
        </w:rPr>
      </w:pPr>
    </w:p>
    <w:p w:rsidR="00635258" w:rsidRDefault="00635258" w:rsidP="00131D2B">
      <w:pPr>
        <w:widowControl w:val="0"/>
        <w:ind w:firstLine="425"/>
        <w:jc w:val="both"/>
        <w:rPr>
          <w:sz w:val="24"/>
          <w:szCs w:val="24"/>
        </w:rPr>
      </w:pPr>
    </w:p>
    <w:p w:rsidR="00635258" w:rsidRDefault="00635258" w:rsidP="00131D2B">
      <w:pPr>
        <w:widowControl w:val="0"/>
        <w:ind w:firstLine="425"/>
        <w:jc w:val="both"/>
        <w:rPr>
          <w:sz w:val="24"/>
          <w:szCs w:val="24"/>
        </w:rPr>
      </w:pPr>
    </w:p>
    <w:p w:rsidR="00635258" w:rsidRDefault="00635258" w:rsidP="00131D2B">
      <w:pPr>
        <w:widowControl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  <w:t>Р</w:t>
      </w:r>
      <w:r w:rsidRPr="000D082A">
        <w:rPr>
          <w:b/>
          <w:bCs/>
          <w:noProof/>
          <w:sz w:val="28"/>
          <w:szCs w:val="28"/>
        </w:rPr>
        <w:t xml:space="preserve">АЗДЕЛ </w:t>
      </w:r>
      <w:r>
        <w:rPr>
          <w:b/>
          <w:bCs/>
          <w:noProof/>
          <w:sz w:val="28"/>
          <w:szCs w:val="28"/>
        </w:rPr>
        <w:t>2</w:t>
      </w:r>
      <w:r w:rsidRPr="000D082A">
        <w:rPr>
          <w:b/>
          <w:bCs/>
          <w:noProof/>
          <w:sz w:val="28"/>
          <w:szCs w:val="28"/>
        </w:rPr>
        <w:t xml:space="preserve">. </w:t>
      </w:r>
      <w:r w:rsidRPr="00FD21E2">
        <w:rPr>
          <w:b/>
          <w:bCs/>
          <w:noProof/>
          <w:sz w:val="28"/>
          <w:szCs w:val="28"/>
        </w:rPr>
        <w:t xml:space="preserve">ДЕЯТЕЛЬНОСТЬ ПРИДНЕСТРОВСКОГО </w:t>
      </w:r>
      <w:r>
        <w:rPr>
          <w:b/>
          <w:bCs/>
          <w:noProof/>
          <w:sz w:val="28"/>
          <w:szCs w:val="28"/>
        </w:rPr>
        <w:t>Р</w:t>
      </w:r>
      <w:r w:rsidRPr="00FD21E2">
        <w:rPr>
          <w:b/>
          <w:bCs/>
          <w:noProof/>
          <w:sz w:val="28"/>
          <w:szCs w:val="28"/>
        </w:rPr>
        <w:t>ЕСПУБЛИКАНСКОГО БАНКА</w:t>
      </w:r>
      <w:r>
        <w:rPr>
          <w:b/>
          <w:bCs/>
          <w:noProof/>
          <w:sz w:val="28"/>
          <w:szCs w:val="28"/>
        </w:rPr>
        <w:t xml:space="preserve"> В 2015 ГОДУ</w:t>
      </w:r>
    </w:p>
    <w:p w:rsidR="00635258" w:rsidRPr="00FD21E2" w:rsidRDefault="00635258" w:rsidP="00131D2B">
      <w:pPr>
        <w:widowControl w:val="0"/>
        <w:jc w:val="center"/>
        <w:rPr>
          <w:b/>
          <w:bCs/>
          <w:noProof/>
          <w:sz w:val="28"/>
          <w:szCs w:val="28"/>
        </w:rPr>
      </w:pPr>
    </w:p>
    <w:p w:rsidR="00635258" w:rsidRDefault="00635258" w:rsidP="00131D2B">
      <w:pPr>
        <w:numPr>
          <w:ilvl w:val="1"/>
          <w:numId w:val="3"/>
        </w:num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 w:rsidRPr="00FD21E2">
        <w:rPr>
          <w:b/>
          <w:bCs/>
          <w:noProof/>
          <w:sz w:val="24"/>
          <w:szCs w:val="24"/>
        </w:rPr>
        <w:t>ДЕНЕЖНО-КРЕДИТНАЯ ПОЛИТИКА</w:t>
      </w:r>
    </w:p>
    <w:p w:rsidR="00635258" w:rsidRPr="00FD21E2" w:rsidRDefault="00635258" w:rsidP="00131D2B">
      <w:pPr>
        <w:jc w:val="both"/>
        <w:rPr>
          <w:b/>
          <w:bCs/>
          <w:noProof/>
          <w:sz w:val="24"/>
          <w:szCs w:val="24"/>
        </w:rPr>
      </w:pPr>
    </w:p>
    <w:p w:rsidR="00635258" w:rsidRDefault="00635258" w:rsidP="00131D2B">
      <w:pPr>
        <w:ind w:left="425"/>
        <w:jc w:val="both"/>
        <w:rPr>
          <w:i/>
          <w:iCs/>
          <w:sz w:val="24"/>
          <w:szCs w:val="24"/>
        </w:rPr>
      </w:pPr>
      <w:r w:rsidRPr="004548F5">
        <w:rPr>
          <w:i/>
          <w:iCs/>
          <w:sz w:val="24"/>
          <w:szCs w:val="24"/>
        </w:rPr>
        <w:t>Цели и результаты денежно-кредитной политики</w:t>
      </w:r>
    </w:p>
    <w:p w:rsidR="00635258" w:rsidRDefault="00635258" w:rsidP="00AC22DE">
      <w:pPr>
        <w:widowControl w:val="0"/>
        <w:shd w:val="clear" w:color="auto" w:fill="FFFFFF"/>
        <w:spacing w:before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«Основных направлений единой государственной денежно-кредитной политики на 2015 год и плановый период 2016 и 2017 годов» базировалось на прогнозе Министерства экономического развития ПМР в отношении основных макроэкономических показателей развития республики, а также собственной оценки центральным банком главных статей платёжного баланса. </w:t>
      </w:r>
      <w:r w:rsidRPr="00DA0FCB">
        <w:rPr>
          <w:sz w:val="24"/>
          <w:szCs w:val="24"/>
        </w:rPr>
        <w:t xml:space="preserve">Стратегическими целями </w:t>
      </w:r>
      <w:r>
        <w:rPr>
          <w:sz w:val="24"/>
          <w:szCs w:val="24"/>
        </w:rPr>
        <w:t>являлись</w:t>
      </w:r>
      <w:r w:rsidRPr="00DA0FCB">
        <w:rPr>
          <w:sz w:val="24"/>
          <w:szCs w:val="24"/>
        </w:rPr>
        <w:t xml:space="preserve"> содействие экономическому росту, поддержание стабильности в монетарной и валютной сферах. </w:t>
      </w:r>
      <w:r>
        <w:rPr>
          <w:sz w:val="24"/>
          <w:szCs w:val="24"/>
        </w:rPr>
        <w:t xml:space="preserve">Согласно </w:t>
      </w:r>
      <w:r w:rsidRPr="0055527B">
        <w:rPr>
          <w:sz w:val="24"/>
          <w:szCs w:val="24"/>
        </w:rPr>
        <w:t>утверждённо</w:t>
      </w:r>
      <w:r>
        <w:rPr>
          <w:sz w:val="24"/>
          <w:szCs w:val="24"/>
        </w:rPr>
        <w:t>му</w:t>
      </w:r>
      <w:r w:rsidRPr="0055527B">
        <w:rPr>
          <w:sz w:val="24"/>
          <w:szCs w:val="24"/>
        </w:rPr>
        <w:t xml:space="preserve"> 24 декабря 2014 года Постановлением Верховного Совета ПМР № 3144 документ</w:t>
      </w:r>
      <w:r>
        <w:rPr>
          <w:sz w:val="24"/>
          <w:szCs w:val="24"/>
        </w:rPr>
        <w:t>у</w:t>
      </w:r>
      <w:r w:rsidRPr="0055527B">
        <w:rPr>
          <w:sz w:val="24"/>
          <w:szCs w:val="24"/>
        </w:rPr>
        <w:t>, в качестве</w:t>
      </w:r>
      <w:r>
        <w:rPr>
          <w:sz w:val="24"/>
          <w:szCs w:val="24"/>
        </w:rPr>
        <w:t xml:space="preserve"> ключевой цели монетарной политики центрального банка в 2015 году было установлено управление динамикой официального курса доллара США в рамках коридора </w:t>
      </w:r>
      <w:r w:rsidRPr="0056529B">
        <w:rPr>
          <w:sz w:val="24"/>
          <w:szCs w:val="24"/>
        </w:rPr>
        <w:t>11,00-11,30</w:t>
      </w:r>
      <w:r>
        <w:rPr>
          <w:sz w:val="24"/>
          <w:szCs w:val="24"/>
        </w:rPr>
        <w:t xml:space="preserve"> руб./долл. </w:t>
      </w:r>
    </w:p>
    <w:p w:rsidR="00635258" w:rsidRDefault="00635258" w:rsidP="00AC22DE">
      <w:pPr>
        <w:widowControl w:val="0"/>
        <w:shd w:val="clear" w:color="auto" w:fill="FFFFFF"/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611136">
        <w:rPr>
          <w:color w:val="000000"/>
          <w:sz w:val="24"/>
          <w:szCs w:val="24"/>
        </w:rPr>
        <w:t>роведени</w:t>
      </w:r>
      <w:r>
        <w:rPr>
          <w:color w:val="000000"/>
          <w:sz w:val="24"/>
          <w:szCs w:val="24"/>
        </w:rPr>
        <w:t>е</w:t>
      </w:r>
      <w:r w:rsidRPr="00611136">
        <w:rPr>
          <w:color w:val="000000"/>
          <w:sz w:val="24"/>
          <w:szCs w:val="24"/>
        </w:rPr>
        <w:t xml:space="preserve"> денежно-кредитной политики в </w:t>
      </w:r>
      <w:r>
        <w:rPr>
          <w:color w:val="000000"/>
          <w:sz w:val="24"/>
          <w:szCs w:val="24"/>
        </w:rPr>
        <w:t xml:space="preserve">отчётном периоде </w:t>
      </w:r>
      <w:r>
        <w:rPr>
          <w:sz w:val="24"/>
          <w:szCs w:val="24"/>
        </w:rPr>
        <w:t>происходило в</w:t>
      </w:r>
      <w:r w:rsidRPr="005E499E">
        <w:rPr>
          <w:sz w:val="24"/>
          <w:szCs w:val="24"/>
        </w:rPr>
        <w:t xml:space="preserve"> условиях </w:t>
      </w:r>
      <w:r>
        <w:rPr>
          <w:sz w:val="24"/>
          <w:szCs w:val="24"/>
        </w:rPr>
        <w:t>значительного</w:t>
      </w:r>
      <w:r>
        <w:rPr>
          <w:color w:val="000000"/>
          <w:sz w:val="24"/>
          <w:szCs w:val="24"/>
        </w:rPr>
        <w:t xml:space="preserve"> падения деловой активности в реальном секторе экономики, вызванного общемировыми кризисными процессами, существенным в</w:t>
      </w:r>
      <w:r>
        <w:rPr>
          <w:sz w:val="24"/>
          <w:szCs w:val="24"/>
        </w:rPr>
        <w:t xml:space="preserve">лиянием на конкурентоспособность и восстребованность отечественной продукции </w:t>
      </w:r>
      <w:r w:rsidRPr="005E499E">
        <w:rPr>
          <w:sz w:val="24"/>
          <w:szCs w:val="24"/>
        </w:rPr>
        <w:t>девальваци</w:t>
      </w:r>
      <w:r>
        <w:rPr>
          <w:sz w:val="24"/>
          <w:szCs w:val="24"/>
        </w:rPr>
        <w:t>онных процессов</w:t>
      </w:r>
      <w:r w:rsidRPr="005E4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странах-партнёрах, ограничительных мер со стороны сопредельных государств, препятствующих нормальному осуществлению внешнеэкономической деятельности. На фоне сокращения денежных переводов граждан, работающих за рубежом, и падения доходов населения республики </w:t>
      </w:r>
      <w:r w:rsidRPr="00112B66">
        <w:rPr>
          <w:sz w:val="24"/>
          <w:szCs w:val="24"/>
        </w:rPr>
        <w:t>произош</w:t>
      </w:r>
      <w:r>
        <w:rPr>
          <w:sz w:val="24"/>
          <w:szCs w:val="24"/>
        </w:rPr>
        <w:t>ё</w:t>
      </w:r>
      <w:r w:rsidRPr="00112B66">
        <w:rPr>
          <w:sz w:val="24"/>
          <w:szCs w:val="24"/>
        </w:rPr>
        <w:t xml:space="preserve">л значительный отток средств со счетов физических лиц. Остатки на текущих счетах юридических лиц также снизились. </w:t>
      </w:r>
    </w:p>
    <w:p w:rsidR="00635258" w:rsidRDefault="00635258" w:rsidP="00131D2B">
      <w:pPr>
        <w:widowControl w:val="0"/>
        <w:shd w:val="clear" w:color="auto" w:fill="FFFFFF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94A15">
        <w:rPr>
          <w:sz w:val="24"/>
          <w:szCs w:val="24"/>
        </w:rPr>
        <w:t>а внутреннем валютном рынке отмечалось усиление напряжённости, вследствие нарастания дисбаланса между спросом и предложением. Наиболее уязвимым оказался наличный сегмент, поэтому с целью поддержания стабильности курса и снятия ажиотажных настроений Приднестровский республиканский банк</w:t>
      </w:r>
      <w:r>
        <w:rPr>
          <w:sz w:val="24"/>
          <w:szCs w:val="24"/>
        </w:rPr>
        <w:t xml:space="preserve"> на протяжении года</w:t>
      </w:r>
      <w:r w:rsidRPr="00294A15">
        <w:rPr>
          <w:sz w:val="24"/>
          <w:szCs w:val="24"/>
        </w:rPr>
        <w:t xml:space="preserve"> проводил масштабные наличные валютные интервенции</w:t>
      </w:r>
      <w:r>
        <w:rPr>
          <w:sz w:val="24"/>
          <w:szCs w:val="24"/>
        </w:rPr>
        <w:t xml:space="preserve">. Помимо этого </w:t>
      </w:r>
      <w:r w:rsidRPr="00112B66">
        <w:rPr>
          <w:sz w:val="24"/>
          <w:szCs w:val="24"/>
        </w:rPr>
        <w:t xml:space="preserve">для поддержания стабильности курса национальной валюты и других компонентов </w:t>
      </w:r>
      <w:r>
        <w:rPr>
          <w:sz w:val="24"/>
          <w:szCs w:val="24"/>
        </w:rPr>
        <w:t>денежно-кредитной политики предпринимались иные меры оперативного реагирования.</w:t>
      </w:r>
      <w:r w:rsidRPr="00112B66">
        <w:rPr>
          <w:sz w:val="24"/>
          <w:szCs w:val="24"/>
        </w:rPr>
        <w:t xml:space="preserve"> </w:t>
      </w:r>
      <w:r w:rsidRPr="00EE3FB2">
        <w:rPr>
          <w:sz w:val="24"/>
          <w:szCs w:val="24"/>
        </w:rPr>
        <w:t>В результате</w:t>
      </w:r>
      <w:r>
        <w:rPr>
          <w:sz w:val="24"/>
          <w:szCs w:val="24"/>
        </w:rPr>
        <w:t xml:space="preserve"> официальный</w:t>
      </w:r>
      <w:r w:rsidRPr="00EE3FB2">
        <w:rPr>
          <w:sz w:val="24"/>
          <w:szCs w:val="24"/>
        </w:rPr>
        <w:t xml:space="preserve"> курс был сохран</w:t>
      </w:r>
      <w:r>
        <w:rPr>
          <w:sz w:val="24"/>
          <w:szCs w:val="24"/>
        </w:rPr>
        <w:t>ё</w:t>
      </w:r>
      <w:r w:rsidRPr="00EE3FB2">
        <w:rPr>
          <w:sz w:val="24"/>
          <w:szCs w:val="24"/>
        </w:rPr>
        <w:t xml:space="preserve">н </w:t>
      </w:r>
      <w:r>
        <w:rPr>
          <w:sz w:val="24"/>
          <w:szCs w:val="24"/>
        </w:rPr>
        <w:t>в рамках утверждённого коридора</w:t>
      </w:r>
      <w:r w:rsidRPr="00EE3FB2">
        <w:rPr>
          <w:sz w:val="24"/>
          <w:szCs w:val="24"/>
        </w:rPr>
        <w:t xml:space="preserve"> на уровне </w:t>
      </w:r>
      <w:r w:rsidRPr="00611136">
        <w:rPr>
          <w:color w:val="000000"/>
          <w:sz w:val="24"/>
          <w:szCs w:val="24"/>
        </w:rPr>
        <w:t>11,10 рубля ПМР за доллар</w:t>
      </w:r>
      <w:r>
        <w:rPr>
          <w:color w:val="000000"/>
          <w:sz w:val="24"/>
          <w:szCs w:val="24"/>
        </w:rPr>
        <w:t xml:space="preserve"> США</w:t>
      </w:r>
      <w:r w:rsidRPr="00DE3834">
        <w:rPr>
          <w:sz w:val="24"/>
          <w:szCs w:val="24"/>
        </w:rPr>
        <w:t>.</w:t>
      </w:r>
      <w:r w:rsidRPr="00DE38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Средне</w:t>
      </w:r>
      <w:r w:rsidRPr="00624630">
        <w:rPr>
          <w:color w:val="000000"/>
          <w:sz w:val="24"/>
          <w:szCs w:val="24"/>
        </w:rPr>
        <w:t xml:space="preserve">месячные рыночные курсы в целом по </w:t>
      </w:r>
      <w:r w:rsidRPr="00624630">
        <w:rPr>
          <w:sz w:val="24"/>
          <w:szCs w:val="24"/>
        </w:rPr>
        <w:t>банковской системе колебались вокруг официального с небольшим отрывом в диапазоне 11,00-11,15 рублей за доллар</w:t>
      </w:r>
      <w:r>
        <w:rPr>
          <w:sz w:val="24"/>
          <w:szCs w:val="24"/>
        </w:rPr>
        <w:t xml:space="preserve"> США</w:t>
      </w:r>
      <w:r w:rsidRPr="00624630">
        <w:rPr>
          <w:sz w:val="24"/>
          <w:szCs w:val="24"/>
        </w:rPr>
        <w:t>.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 w:rsidRPr="00DE3834">
        <w:rPr>
          <w:sz w:val="24"/>
          <w:szCs w:val="24"/>
        </w:rPr>
        <w:t>Средний уровень цен на потребительском рынке республики в 2015 году продолжил обновлять исторические минимумы: впервые за весь период наблюдений сводный индекс составил 98,2%</w:t>
      </w:r>
      <w:r>
        <w:rPr>
          <w:sz w:val="24"/>
          <w:szCs w:val="24"/>
        </w:rPr>
        <w:t>, сложившись гораздо ниже прогнозируемого.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</w:p>
    <w:p w:rsidR="00635258" w:rsidRDefault="00635258" w:rsidP="00131D2B">
      <w:pPr>
        <w:ind w:left="11" w:firstLine="425"/>
        <w:jc w:val="both"/>
        <w:rPr>
          <w:i/>
          <w:iCs/>
          <w:sz w:val="24"/>
          <w:szCs w:val="24"/>
        </w:rPr>
      </w:pPr>
      <w:r w:rsidRPr="003D6C51">
        <w:rPr>
          <w:i/>
          <w:iCs/>
          <w:sz w:val="24"/>
          <w:szCs w:val="24"/>
        </w:rPr>
        <w:t xml:space="preserve">Динамика </w:t>
      </w:r>
      <w:r>
        <w:rPr>
          <w:i/>
          <w:iCs/>
          <w:sz w:val="24"/>
          <w:szCs w:val="24"/>
        </w:rPr>
        <w:t>монетарных</w:t>
      </w:r>
      <w:r w:rsidRPr="003D6C51">
        <w:rPr>
          <w:i/>
          <w:iCs/>
          <w:sz w:val="24"/>
          <w:szCs w:val="24"/>
        </w:rPr>
        <w:t xml:space="preserve"> показателей </w:t>
      </w:r>
    </w:p>
    <w:p w:rsidR="00635258" w:rsidRPr="007131B0" w:rsidRDefault="00635258" w:rsidP="00ED271F">
      <w:pPr>
        <w:pStyle w:val="BodyTextIndent"/>
        <w:spacing w:before="120" w:after="0"/>
        <w:ind w:left="0" w:firstLine="425"/>
        <w:jc w:val="both"/>
        <w:rPr>
          <w:sz w:val="24"/>
          <w:szCs w:val="24"/>
        </w:rPr>
      </w:pPr>
      <w:r w:rsidRPr="007131B0">
        <w:rPr>
          <w:sz w:val="24"/>
          <w:szCs w:val="24"/>
        </w:rPr>
        <w:t>Сложные условия функционирования приднестровской экономики в отчётном году отражались на структуре и динамик</w:t>
      </w:r>
      <w:r>
        <w:rPr>
          <w:sz w:val="24"/>
          <w:szCs w:val="24"/>
        </w:rPr>
        <w:t>е денежного рынка республики. Так,</w:t>
      </w:r>
      <w:r w:rsidRPr="007131B0">
        <w:rPr>
          <w:sz w:val="24"/>
          <w:szCs w:val="24"/>
        </w:rPr>
        <w:t xml:space="preserve"> за 2015 год объём совокупного денежного предложения сократился на 0,8%, или на 41,3 млн руб., составив на </w:t>
      </w:r>
      <w:r>
        <w:rPr>
          <w:sz w:val="24"/>
          <w:szCs w:val="24"/>
        </w:rPr>
        <w:br/>
      </w:r>
      <w:r w:rsidRPr="007131B0">
        <w:rPr>
          <w:sz w:val="24"/>
          <w:szCs w:val="24"/>
        </w:rPr>
        <w:t xml:space="preserve">1 января 2016 года 5 395,7 млн руб. Основное влияние на его динамику оказало уменьшение валютной составляющей – на 2,2%, или на 75,0 млн руб., до 3 305,8 млн руб., вследствие чего степень валютизации </w:t>
      </w:r>
      <w:r>
        <w:rPr>
          <w:sz w:val="24"/>
          <w:szCs w:val="24"/>
        </w:rPr>
        <w:t>широкой денежной массы (М3)</w:t>
      </w:r>
      <w:r w:rsidRPr="007131B0">
        <w:rPr>
          <w:sz w:val="24"/>
          <w:szCs w:val="24"/>
        </w:rPr>
        <w:t xml:space="preserve"> снизилась на 0,9 п.п. до 61,3%</w:t>
      </w:r>
      <w:r>
        <w:rPr>
          <w:sz w:val="24"/>
          <w:szCs w:val="24"/>
        </w:rPr>
        <w:t>.</w:t>
      </w:r>
      <w:r w:rsidRPr="007131B0">
        <w:rPr>
          <w:sz w:val="24"/>
          <w:szCs w:val="24"/>
        </w:rPr>
        <w:t xml:space="preserve"> </w:t>
      </w:r>
      <w:r w:rsidRPr="00F73EDF">
        <w:rPr>
          <w:sz w:val="24"/>
          <w:szCs w:val="24"/>
        </w:rPr>
        <w:t>Наблюдался чистый отток средств с</w:t>
      </w:r>
      <w:r>
        <w:rPr>
          <w:sz w:val="24"/>
          <w:szCs w:val="24"/>
        </w:rPr>
        <w:t xml:space="preserve"> валютных</w:t>
      </w:r>
      <w:r w:rsidRPr="00F73EDF">
        <w:rPr>
          <w:sz w:val="24"/>
          <w:szCs w:val="24"/>
        </w:rPr>
        <w:t xml:space="preserve"> счетов как юридических (</w:t>
      </w:r>
      <w:r>
        <w:rPr>
          <w:sz w:val="24"/>
          <w:szCs w:val="24"/>
        </w:rPr>
        <w:t>-</w:t>
      </w:r>
      <w:r w:rsidRPr="007131B0">
        <w:rPr>
          <w:sz w:val="24"/>
          <w:szCs w:val="24"/>
        </w:rPr>
        <w:t>47</w:t>
      </w:r>
      <w:r>
        <w:rPr>
          <w:sz w:val="24"/>
          <w:szCs w:val="24"/>
        </w:rPr>
        <w:t>1,4</w:t>
      </w:r>
      <w:r w:rsidRPr="00F73EDF">
        <w:rPr>
          <w:sz w:val="24"/>
          <w:szCs w:val="24"/>
        </w:rPr>
        <w:t xml:space="preserve"> млн руб., или </w:t>
      </w:r>
      <w:r>
        <w:rPr>
          <w:sz w:val="24"/>
          <w:szCs w:val="24"/>
        </w:rPr>
        <w:t>-25,5</w:t>
      </w:r>
      <w:r w:rsidRPr="00F73EDF">
        <w:rPr>
          <w:sz w:val="24"/>
          <w:szCs w:val="24"/>
        </w:rPr>
        <w:t xml:space="preserve">%), так и </w:t>
      </w:r>
      <w:r>
        <w:rPr>
          <w:sz w:val="24"/>
          <w:szCs w:val="24"/>
        </w:rPr>
        <w:t>физических (-197,4 м</w:t>
      </w:r>
      <w:r w:rsidRPr="00F73EDF">
        <w:rPr>
          <w:sz w:val="24"/>
          <w:szCs w:val="24"/>
        </w:rPr>
        <w:t xml:space="preserve">лн руб., или </w:t>
      </w:r>
      <w:r>
        <w:rPr>
          <w:sz w:val="24"/>
          <w:szCs w:val="24"/>
        </w:rPr>
        <w:t>-14,2%)</w:t>
      </w:r>
      <w:r w:rsidRPr="00E55BEB">
        <w:rPr>
          <w:sz w:val="24"/>
          <w:szCs w:val="24"/>
        </w:rPr>
        <w:t xml:space="preserve"> </w:t>
      </w:r>
      <w:r w:rsidRPr="00F73EDF">
        <w:rPr>
          <w:sz w:val="24"/>
          <w:szCs w:val="24"/>
        </w:rPr>
        <w:t>лиц</w:t>
      </w:r>
      <w:r>
        <w:rPr>
          <w:sz w:val="24"/>
          <w:szCs w:val="24"/>
        </w:rPr>
        <w:t xml:space="preserve"> и частичный их переток в наличный сегмент денежного рынка.</w:t>
      </w:r>
      <w:r w:rsidRPr="00E55BE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E55BEB">
        <w:rPr>
          <w:sz w:val="24"/>
          <w:szCs w:val="24"/>
        </w:rPr>
        <w:t>бъём</w:t>
      </w:r>
      <w:r>
        <w:rPr>
          <w:sz w:val="24"/>
          <w:szCs w:val="24"/>
        </w:rPr>
        <w:t xml:space="preserve"> </w:t>
      </w:r>
      <w:r w:rsidRPr="00E55BEB">
        <w:rPr>
          <w:sz w:val="24"/>
          <w:szCs w:val="24"/>
        </w:rPr>
        <w:t xml:space="preserve">наличной иностранной валюты в кассах банков </w:t>
      </w:r>
      <w:r>
        <w:rPr>
          <w:sz w:val="24"/>
          <w:szCs w:val="24"/>
        </w:rPr>
        <w:t xml:space="preserve">к концу года возрос </w:t>
      </w:r>
      <w:r w:rsidRPr="00E55BEB">
        <w:rPr>
          <w:sz w:val="24"/>
          <w:szCs w:val="24"/>
        </w:rPr>
        <w:t>с 114,4 млн руб. до 353,6 млн руб.</w:t>
      </w:r>
      <w:r>
        <w:rPr>
          <w:sz w:val="24"/>
          <w:szCs w:val="24"/>
        </w:rPr>
        <w:t xml:space="preserve"> (в эквиваленте), или в 3,1 раза. </w:t>
      </w:r>
    </w:p>
    <w:p w:rsidR="00635258" w:rsidRPr="00E55BEB" w:rsidRDefault="00635258" w:rsidP="00131D2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E55BEB">
        <w:rPr>
          <w:sz w:val="24"/>
          <w:szCs w:val="24"/>
        </w:rPr>
        <w:t>инамика национальной денежной массы</w:t>
      </w:r>
      <w:r>
        <w:rPr>
          <w:sz w:val="24"/>
          <w:szCs w:val="24"/>
        </w:rPr>
        <w:t xml:space="preserve"> (М2х)</w:t>
      </w:r>
      <w:r w:rsidRPr="00E55BE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55BEB">
        <w:rPr>
          <w:sz w:val="24"/>
          <w:szCs w:val="24"/>
        </w:rPr>
        <w:t xml:space="preserve"> течение 10 месяцев 2015 года соответствовала ориентирам, заложенным в «Основных напр</w:t>
      </w:r>
      <w:r>
        <w:rPr>
          <w:sz w:val="24"/>
          <w:szCs w:val="24"/>
        </w:rPr>
        <w:t xml:space="preserve">авлениях единой государственной </w:t>
      </w:r>
      <w:r w:rsidRPr="00E55BEB">
        <w:rPr>
          <w:sz w:val="24"/>
          <w:szCs w:val="24"/>
        </w:rPr>
        <w:t xml:space="preserve">денежно-кредитной политики на 2015 год и плановый период 2016 и </w:t>
      </w:r>
      <w:r>
        <w:rPr>
          <w:sz w:val="24"/>
          <w:szCs w:val="24"/>
        </w:rPr>
        <w:br/>
      </w:r>
      <w:r w:rsidRPr="00E55BEB">
        <w:rPr>
          <w:sz w:val="24"/>
          <w:szCs w:val="24"/>
        </w:rPr>
        <w:t xml:space="preserve">2017 годов», </w:t>
      </w:r>
      <w:r>
        <w:rPr>
          <w:sz w:val="24"/>
          <w:szCs w:val="24"/>
        </w:rPr>
        <w:t>предполагающим</w:t>
      </w:r>
      <w:r w:rsidRPr="00E55BEB">
        <w:rPr>
          <w:sz w:val="24"/>
          <w:szCs w:val="24"/>
        </w:rPr>
        <w:t xml:space="preserve"> её прирост на 300-400 млн руб. За данный период показатель увеличился на 339,1 млн руб. до 2 395,3 млн руб. Однако в ноябре-декабре был отмечен значительный отток средств с депозитов до востребования юридических лиц </w:t>
      </w:r>
      <w:r>
        <w:rPr>
          <w:sz w:val="24"/>
          <w:szCs w:val="24"/>
        </w:rPr>
        <w:br/>
      </w:r>
      <w:r w:rsidRPr="00E55BEB">
        <w:rPr>
          <w:sz w:val="24"/>
          <w:szCs w:val="24"/>
        </w:rPr>
        <w:t xml:space="preserve">(-539,9 млн руб.), уменьшивший размер национальной денежной массы практически до уровня начала отчётного года. В результате, по итогам 2015 года её объём составил </w:t>
      </w:r>
      <w:r>
        <w:rPr>
          <w:sz w:val="24"/>
          <w:szCs w:val="24"/>
        </w:rPr>
        <w:br/>
      </w:r>
      <w:r w:rsidRPr="00E55BEB">
        <w:rPr>
          <w:sz w:val="24"/>
          <w:szCs w:val="24"/>
        </w:rPr>
        <w:t>2 089,9 млн руб. (+33,7 млн руб., или +1,6%). При этом в реальном выражении (с учётом сводного индекса потребительских цен) рост показателя достиг 3,4%.</w:t>
      </w:r>
    </w:p>
    <w:p w:rsidR="00635258" w:rsidRPr="00E55BEB" w:rsidRDefault="00635258" w:rsidP="00131D2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целом за отчётный период о</w:t>
      </w:r>
      <w:r w:rsidRPr="00E55BEB">
        <w:rPr>
          <w:sz w:val="24"/>
          <w:szCs w:val="24"/>
        </w:rPr>
        <w:t xml:space="preserve">статки средств на счетах и депозитах до востребования характеризовались повышательной динамикой: </w:t>
      </w:r>
      <w:r>
        <w:rPr>
          <w:sz w:val="24"/>
          <w:szCs w:val="24"/>
        </w:rPr>
        <w:t>+</w:t>
      </w:r>
      <w:r w:rsidRPr="00E55BEB">
        <w:rPr>
          <w:sz w:val="24"/>
          <w:szCs w:val="24"/>
        </w:rPr>
        <w:t>5</w:t>
      </w:r>
      <w:r>
        <w:rPr>
          <w:sz w:val="24"/>
          <w:szCs w:val="24"/>
        </w:rPr>
        <w:t>,6</w:t>
      </w:r>
      <w:r w:rsidRPr="00E55BEB">
        <w:rPr>
          <w:sz w:val="24"/>
          <w:szCs w:val="24"/>
        </w:rPr>
        <w:t xml:space="preserve">%, или </w:t>
      </w:r>
      <w:r>
        <w:rPr>
          <w:sz w:val="24"/>
          <w:szCs w:val="24"/>
        </w:rPr>
        <w:t>+59,5</w:t>
      </w:r>
      <w:r w:rsidRPr="00E55BEB">
        <w:rPr>
          <w:sz w:val="24"/>
          <w:szCs w:val="24"/>
        </w:rPr>
        <w:t xml:space="preserve"> млн руб., до </w:t>
      </w:r>
      <w:r>
        <w:rPr>
          <w:sz w:val="24"/>
          <w:szCs w:val="24"/>
        </w:rPr>
        <w:br/>
        <w:t>1 120,8</w:t>
      </w:r>
      <w:r w:rsidRPr="00E55BEB">
        <w:rPr>
          <w:sz w:val="24"/>
          <w:szCs w:val="24"/>
        </w:rPr>
        <w:t xml:space="preserve"> млн руб.</w:t>
      </w:r>
      <w:r>
        <w:rPr>
          <w:sz w:val="24"/>
          <w:szCs w:val="24"/>
        </w:rPr>
        <w:t xml:space="preserve">, что, однако, не смогло покрыть </w:t>
      </w:r>
      <w:r w:rsidRPr="00E55BEB">
        <w:rPr>
          <w:sz w:val="24"/>
          <w:szCs w:val="24"/>
        </w:rPr>
        <w:t xml:space="preserve">изъятие средств со срочных рублёвых депозитов </w:t>
      </w:r>
      <w:r>
        <w:rPr>
          <w:sz w:val="24"/>
          <w:szCs w:val="24"/>
        </w:rPr>
        <w:t>(-</w:t>
      </w:r>
      <w:r w:rsidRPr="00E55BEB">
        <w:rPr>
          <w:sz w:val="24"/>
          <w:szCs w:val="24"/>
        </w:rPr>
        <w:t xml:space="preserve">87,5 </w:t>
      </w:r>
      <w:r>
        <w:rPr>
          <w:sz w:val="24"/>
          <w:szCs w:val="24"/>
        </w:rPr>
        <w:t>млн руб.). Таким образом,</w:t>
      </w:r>
      <w:r w:rsidRPr="00E55BEB">
        <w:rPr>
          <w:sz w:val="24"/>
          <w:szCs w:val="24"/>
        </w:rPr>
        <w:t xml:space="preserve"> по состоянию на 01.01.2016 г. в безналичном сегменте</w:t>
      </w:r>
      <w:r>
        <w:rPr>
          <w:sz w:val="24"/>
          <w:szCs w:val="24"/>
        </w:rPr>
        <w:t xml:space="preserve"> национальной денежной массы</w:t>
      </w:r>
      <w:r w:rsidRPr="00E55BEB">
        <w:rPr>
          <w:sz w:val="24"/>
          <w:szCs w:val="24"/>
        </w:rPr>
        <w:t xml:space="preserve"> было сосредоточено 1 231,4 млн руб., что на </w:t>
      </w:r>
      <w:r>
        <w:rPr>
          <w:sz w:val="24"/>
          <w:szCs w:val="24"/>
        </w:rPr>
        <w:br/>
      </w:r>
      <w:r w:rsidRPr="00E55BEB">
        <w:rPr>
          <w:sz w:val="24"/>
          <w:szCs w:val="24"/>
        </w:rPr>
        <w:t>27,9 млн руб. (-2,2%) меньше, чем в начале года.</w:t>
      </w:r>
    </w:p>
    <w:p w:rsidR="00635258" w:rsidRPr="00950504" w:rsidRDefault="00635258" w:rsidP="00131D2B">
      <w:pPr>
        <w:ind w:firstLine="425"/>
        <w:jc w:val="both"/>
        <w:rPr>
          <w:sz w:val="24"/>
          <w:szCs w:val="24"/>
        </w:rPr>
      </w:pPr>
      <w:r w:rsidRPr="00950504">
        <w:rPr>
          <w:sz w:val="24"/>
          <w:szCs w:val="24"/>
        </w:rPr>
        <w:t xml:space="preserve">Частичный переток данных средств в наличную составляющую был зафиксирован в основном в конце года, что было связано с выполнением государством </w:t>
      </w:r>
      <w:r>
        <w:rPr>
          <w:sz w:val="24"/>
          <w:szCs w:val="24"/>
        </w:rPr>
        <w:t>накопленных</w:t>
      </w:r>
      <w:r w:rsidRPr="00950504">
        <w:rPr>
          <w:sz w:val="24"/>
          <w:szCs w:val="24"/>
        </w:rPr>
        <w:t xml:space="preserve"> социальных обязательств (выплата задолженности по пенсиям и </w:t>
      </w:r>
      <w:r>
        <w:rPr>
          <w:sz w:val="24"/>
          <w:szCs w:val="24"/>
        </w:rPr>
        <w:t xml:space="preserve">частично по </w:t>
      </w:r>
      <w:r w:rsidRPr="00950504">
        <w:rPr>
          <w:sz w:val="24"/>
          <w:szCs w:val="24"/>
        </w:rPr>
        <w:t>зарплате работникам бюджетной сферы). Закономерным итогом выступил рост обращающейся наличности на 61,6 млн руб. (+7,7</w:t>
      </w:r>
      <w:r>
        <w:rPr>
          <w:sz w:val="24"/>
          <w:szCs w:val="24"/>
        </w:rPr>
        <w:t xml:space="preserve">%) до </w:t>
      </w:r>
      <w:r w:rsidRPr="00950504">
        <w:rPr>
          <w:sz w:val="24"/>
          <w:szCs w:val="24"/>
        </w:rPr>
        <w:t xml:space="preserve">858,5 млн руб., из которых 6,1 млн руб. (0,7%) были представлены юбилейными и памятными монетами. В результате коэффициент наличности национальной денежной массы </w:t>
      </w:r>
      <w:r>
        <w:rPr>
          <w:sz w:val="24"/>
          <w:szCs w:val="24"/>
        </w:rPr>
        <w:t>повысился</w:t>
      </w:r>
      <w:r w:rsidRPr="00950504">
        <w:rPr>
          <w:sz w:val="24"/>
          <w:szCs w:val="24"/>
        </w:rPr>
        <w:t xml:space="preserve"> на 2,3 п.п. до 41,1%. Таким образом, на один рубль, задействованный в наличном обороте, пришлось 1,43 безналичного рубля против </w:t>
      </w:r>
      <w:r>
        <w:rPr>
          <w:sz w:val="24"/>
          <w:szCs w:val="24"/>
        </w:rPr>
        <w:br/>
      </w:r>
      <w:r w:rsidRPr="00950504">
        <w:rPr>
          <w:sz w:val="24"/>
          <w:szCs w:val="24"/>
        </w:rPr>
        <w:t>1,58 рубля на начало 2015 года.</w:t>
      </w:r>
      <w:r>
        <w:rPr>
          <w:sz w:val="24"/>
          <w:szCs w:val="24"/>
        </w:rPr>
        <w:t xml:space="preserve"> </w:t>
      </w:r>
      <w:r w:rsidRPr="00950504">
        <w:rPr>
          <w:sz w:val="24"/>
          <w:szCs w:val="24"/>
        </w:rPr>
        <w:t xml:space="preserve">В среднем за 2015 год в наличных расчётах было сосредоточено 33,2% денежного агрегата М2х, что в абсолютном выражении соответствует 718,9 млн руб. </w:t>
      </w:r>
    </w:p>
    <w:p w:rsidR="00635258" w:rsidRPr="007A62C9" w:rsidRDefault="00635258" w:rsidP="00131D2B">
      <w:pPr>
        <w:ind w:firstLine="425"/>
        <w:jc w:val="both"/>
        <w:rPr>
          <w:sz w:val="24"/>
          <w:szCs w:val="24"/>
        </w:rPr>
      </w:pPr>
      <w:r w:rsidRPr="007A62C9">
        <w:rPr>
          <w:sz w:val="24"/>
          <w:szCs w:val="24"/>
        </w:rPr>
        <w:t xml:space="preserve">Рублёвая денежная база за 2015 год увеличилась на 6,3% (+108,3 млн руб.) и на 1 января </w:t>
      </w:r>
      <w:r w:rsidRPr="007A62C9">
        <w:rPr>
          <w:sz w:val="24"/>
          <w:szCs w:val="24"/>
        </w:rPr>
        <w:br/>
        <w:t xml:space="preserve">2016 года сложилась на уровне 1 818,0 млн руб. Зафиксированное изменение было обусловлено преимущественно ростом наличной составляющей – на 14,5%, или на </w:t>
      </w:r>
      <w:r>
        <w:rPr>
          <w:sz w:val="24"/>
          <w:szCs w:val="24"/>
        </w:rPr>
        <w:br/>
      </w:r>
      <w:r w:rsidRPr="007A62C9">
        <w:rPr>
          <w:sz w:val="24"/>
          <w:szCs w:val="24"/>
        </w:rPr>
        <w:t>138,5 млн руб., до 1 091,3 млн руб., из которых 232,8 млн руб. находилось в кассах банков (увеличение в 1,5 раза). Долевое участие данной компоненты за отчётный год повысилось на 4,3 п.п. до 60,0%.</w:t>
      </w:r>
    </w:p>
    <w:p w:rsidR="00635258" w:rsidRPr="007A62C9" w:rsidRDefault="00635258" w:rsidP="00131D2B">
      <w:pPr>
        <w:ind w:firstLine="425"/>
        <w:jc w:val="both"/>
        <w:rPr>
          <w:sz w:val="24"/>
          <w:szCs w:val="24"/>
        </w:rPr>
      </w:pPr>
      <w:r w:rsidRPr="007A62C9">
        <w:rPr>
          <w:sz w:val="24"/>
          <w:szCs w:val="24"/>
        </w:rPr>
        <w:t>Совокупный объём остатков средств на корреспондентских счетах коммерческих банков в Приднестровском республиканском банке на 1 января 2016 года составил 726,7 млн руб., что на 4,0% ниже значения начала 2015 года. В основу данной динамики легло сокращение входящего в состав корреспондентских счетов коммерческих банков неснижаемого остатка в фондах обязательн</w:t>
      </w:r>
      <w:r>
        <w:rPr>
          <w:sz w:val="24"/>
          <w:szCs w:val="24"/>
        </w:rPr>
        <w:t>ых</w:t>
      </w:r>
      <w:r w:rsidRPr="007A62C9">
        <w:rPr>
          <w:sz w:val="24"/>
          <w:szCs w:val="24"/>
        </w:rPr>
        <w:t xml:space="preserve"> резерв</w:t>
      </w:r>
      <w:r>
        <w:rPr>
          <w:sz w:val="24"/>
          <w:szCs w:val="24"/>
        </w:rPr>
        <w:t>ов</w:t>
      </w:r>
      <w:r w:rsidRPr="007A62C9">
        <w:rPr>
          <w:sz w:val="24"/>
          <w:szCs w:val="24"/>
        </w:rPr>
        <w:t xml:space="preserve"> и страхов</w:t>
      </w:r>
      <w:r>
        <w:rPr>
          <w:sz w:val="24"/>
          <w:szCs w:val="24"/>
        </w:rPr>
        <w:t>ых фондов</w:t>
      </w:r>
      <w:r w:rsidRPr="007A62C9">
        <w:rPr>
          <w:sz w:val="24"/>
          <w:szCs w:val="24"/>
        </w:rPr>
        <w:t xml:space="preserve">, который уменьшился на 26,1% до </w:t>
      </w:r>
      <w:r>
        <w:rPr>
          <w:sz w:val="24"/>
          <w:szCs w:val="24"/>
        </w:rPr>
        <w:br/>
      </w:r>
      <w:r w:rsidRPr="007A62C9">
        <w:rPr>
          <w:sz w:val="24"/>
          <w:szCs w:val="24"/>
        </w:rPr>
        <w:t>320,5 млн руб. Данный факт обусловлен, с одной стороны, поэтапным снижением центральным банком нормативов отчислений в соответствующие фонды в целях предоставления банкам дополнительной ликвидности, с другой, – уменьшением объёма привлечённых средств.</w:t>
      </w:r>
    </w:p>
    <w:p w:rsidR="00635258" w:rsidRPr="007A62C9" w:rsidRDefault="00635258" w:rsidP="00131D2B">
      <w:pPr>
        <w:ind w:firstLine="425"/>
        <w:jc w:val="both"/>
        <w:rPr>
          <w:sz w:val="24"/>
          <w:szCs w:val="24"/>
        </w:rPr>
      </w:pPr>
      <w:r w:rsidRPr="007A62C9">
        <w:rPr>
          <w:sz w:val="24"/>
          <w:szCs w:val="24"/>
        </w:rPr>
        <w:t xml:space="preserve">Вследствие опережения темпов роста обязательств центрального банка над скоростью увеличения национальной денежной массы, денежный мультипликатор М2х </w:t>
      </w:r>
      <w:r>
        <w:rPr>
          <w:sz w:val="24"/>
          <w:szCs w:val="24"/>
        </w:rPr>
        <w:t>сократился</w:t>
      </w:r>
      <w:r w:rsidRPr="007A62C9">
        <w:rPr>
          <w:sz w:val="24"/>
          <w:szCs w:val="24"/>
        </w:rPr>
        <w:t xml:space="preserve"> с 1,20 на 01.01.2015 г. до 1,15 на 01.01.2016 г. При этом в среднегодовом выражении по отношению к значению 2014 года денежный мультипликатор М2х вырос на 0,05 пункта, составив 1,40.</w:t>
      </w:r>
    </w:p>
    <w:p w:rsidR="00635258" w:rsidRDefault="00635258" w:rsidP="00131D2B">
      <w:pPr>
        <w:ind w:left="11" w:firstLine="425"/>
        <w:jc w:val="both"/>
        <w:rPr>
          <w:i/>
          <w:iCs/>
          <w:sz w:val="24"/>
          <w:szCs w:val="24"/>
        </w:rPr>
      </w:pPr>
    </w:p>
    <w:p w:rsidR="00635258" w:rsidRDefault="00635258" w:rsidP="00131D2B">
      <w:pPr>
        <w:ind w:left="11" w:firstLine="425"/>
        <w:jc w:val="both"/>
        <w:rPr>
          <w:i/>
          <w:iCs/>
          <w:sz w:val="24"/>
          <w:szCs w:val="24"/>
        </w:rPr>
      </w:pPr>
    </w:p>
    <w:p w:rsidR="00635258" w:rsidRPr="00C9241A" w:rsidRDefault="00635258" w:rsidP="00131D2B">
      <w:pPr>
        <w:spacing w:after="120"/>
        <w:ind w:left="11" w:firstLine="42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</w:t>
      </w:r>
      <w:r w:rsidRPr="00586D6B">
        <w:rPr>
          <w:i/>
          <w:iCs/>
          <w:sz w:val="24"/>
          <w:szCs w:val="24"/>
        </w:rPr>
        <w:t>нструмент</w:t>
      </w:r>
      <w:r>
        <w:rPr>
          <w:i/>
          <w:iCs/>
          <w:sz w:val="24"/>
          <w:szCs w:val="24"/>
        </w:rPr>
        <w:t>ы</w:t>
      </w:r>
      <w:r w:rsidRPr="00586D6B">
        <w:rPr>
          <w:i/>
          <w:iCs/>
          <w:sz w:val="24"/>
          <w:szCs w:val="24"/>
        </w:rPr>
        <w:t xml:space="preserve"> денежно-кредитной политики</w:t>
      </w:r>
      <w:r w:rsidRPr="00C9241A">
        <w:rPr>
          <w:i/>
          <w:iCs/>
          <w:sz w:val="24"/>
          <w:szCs w:val="24"/>
        </w:rPr>
        <w:t xml:space="preserve"> </w:t>
      </w:r>
    </w:p>
    <w:p w:rsidR="00635258" w:rsidRDefault="00635258" w:rsidP="00E11CDE">
      <w:pPr>
        <w:ind w:firstLine="425"/>
        <w:jc w:val="both"/>
        <w:rPr>
          <w:sz w:val="24"/>
          <w:szCs w:val="24"/>
        </w:rPr>
      </w:pPr>
      <w:r w:rsidRPr="00E11CDE">
        <w:rPr>
          <w:sz w:val="24"/>
          <w:szCs w:val="24"/>
        </w:rPr>
        <w:t>Содействие центрального банка развитию экономики, помимо управления валютным курсом, в основном производится опосредованными рычагами через механизм регулирования деятельности кредитных организаций, путём предоставления дополнительной ликвидности или изъятия её излишней части.</w:t>
      </w:r>
    </w:p>
    <w:p w:rsidR="00635258" w:rsidRPr="00AA518A" w:rsidRDefault="00635258" w:rsidP="006410B8">
      <w:pPr>
        <w:ind w:firstLine="425"/>
        <w:jc w:val="both"/>
        <w:rPr>
          <w:sz w:val="24"/>
          <w:szCs w:val="24"/>
        </w:rPr>
      </w:pPr>
      <w:r w:rsidRPr="00AA518A">
        <w:rPr>
          <w:sz w:val="24"/>
          <w:szCs w:val="24"/>
        </w:rPr>
        <w:t>В целях минимизации негативного воздействия кризисных явлений в экономике на деятельность банковской системы, исходя из принципа пропорциональности предъявляемых требований системной значимости организаций и уровню принимаемых ими рисков, центральный банк реализовал в отчётном году ряд мер, направленных на смягчение отдельных норм, в частности:</w:t>
      </w:r>
    </w:p>
    <w:p w:rsidR="00635258" w:rsidRPr="00AA518A" w:rsidRDefault="00635258" w:rsidP="006410B8">
      <w:pPr>
        <w:numPr>
          <w:ilvl w:val="0"/>
          <w:numId w:val="31"/>
        </w:numPr>
        <w:tabs>
          <w:tab w:val="clear" w:pos="1620"/>
          <w:tab w:val="num" w:pos="0"/>
          <w:tab w:val="left" w:pos="426"/>
        </w:tabs>
        <w:ind w:left="0" w:firstLine="426"/>
        <w:jc w:val="both"/>
        <w:rPr>
          <w:sz w:val="24"/>
          <w:szCs w:val="24"/>
        </w:rPr>
      </w:pPr>
      <w:r w:rsidRPr="00AA518A">
        <w:rPr>
          <w:sz w:val="24"/>
          <w:szCs w:val="24"/>
        </w:rPr>
        <w:t xml:space="preserve">Письмами центрального банка от 22 января 2015 года № 01-10/12 и от 27 февраля 2015 года № 01-10/28 до сведения банков была доведена информация о неприменении к кредитным организациям в срок до 1 марта и 1 мая 2015 года соответственно мер ответственности за несоблюдение размеров валютного риска в долларах США и евро, установленных пунктом 17 Инструкции ПРБ от 21 ноября 2006 года № 18-И </w:t>
      </w:r>
      <w:r>
        <w:rPr>
          <w:sz w:val="24"/>
          <w:szCs w:val="24"/>
        </w:rPr>
        <w:br/>
      </w:r>
      <w:r w:rsidRPr="00AA518A">
        <w:rPr>
          <w:sz w:val="24"/>
          <w:szCs w:val="24"/>
        </w:rPr>
        <w:t>«О регулировании размера валютного риска в кредитных организациях ПМР»;</w:t>
      </w:r>
    </w:p>
    <w:p w:rsidR="00635258" w:rsidRPr="00AA518A" w:rsidRDefault="00635258" w:rsidP="006410B8">
      <w:pPr>
        <w:numPr>
          <w:ilvl w:val="0"/>
          <w:numId w:val="31"/>
        </w:numPr>
        <w:tabs>
          <w:tab w:val="clear" w:pos="1620"/>
          <w:tab w:val="num" w:pos="0"/>
        </w:tabs>
        <w:ind w:left="0" w:firstLine="425"/>
        <w:jc w:val="both"/>
        <w:rPr>
          <w:sz w:val="24"/>
          <w:szCs w:val="24"/>
        </w:rPr>
      </w:pPr>
      <w:r w:rsidRPr="00AA518A">
        <w:rPr>
          <w:sz w:val="24"/>
          <w:szCs w:val="24"/>
        </w:rPr>
        <w:t>Письмом от 5 февраля 2015 года № 01-10/19 Приднестровский республиканский банк информировал кредитные организации о том, что для целей Положения ПРБ от 10 ноября 2009 года № 91-П «О порядке формирования и использования кредитными организациями фонда риска» и Инструкции ПРБ от 9 ноября 2007 года № 22-И «О порядке регулирования деятельности кредитных организаций» они вправе применять соответствующие рейтинги рейтинговых агентств Standard&amp;Poor's, Fitch Ratings, Moody's Investors Service, присвоенные до 1 марта 2014 года;</w:t>
      </w:r>
    </w:p>
    <w:p w:rsidR="00635258" w:rsidRPr="00AA518A" w:rsidRDefault="00635258" w:rsidP="006410B8">
      <w:pPr>
        <w:numPr>
          <w:ilvl w:val="0"/>
          <w:numId w:val="31"/>
        </w:numPr>
        <w:tabs>
          <w:tab w:val="clear" w:pos="1620"/>
          <w:tab w:val="num" w:pos="0"/>
        </w:tabs>
        <w:ind w:left="0" w:firstLine="425"/>
        <w:jc w:val="both"/>
        <w:rPr>
          <w:sz w:val="24"/>
          <w:szCs w:val="24"/>
        </w:rPr>
      </w:pPr>
      <w:r w:rsidRPr="00AA518A">
        <w:rPr>
          <w:sz w:val="24"/>
          <w:szCs w:val="24"/>
        </w:rPr>
        <w:t>Правлением ПРБ 20 февраля 2015 года принято решение не ухудшать оценку финансового положения кредитных организаций при наличии недостатков в их деятельности, а именно неформирования фонда риска в полном объёме, превышения нормативного значения обязательного норматива деятельности кредитных организаций Н3 «Максимальный размер риска на одного заёмщика или группу взаимосвязанных заёмщиков», при условии их устранения в ближайшие 12 месяцев;</w:t>
      </w:r>
    </w:p>
    <w:p w:rsidR="00635258" w:rsidRPr="00AA518A" w:rsidRDefault="00635258" w:rsidP="006410B8">
      <w:pPr>
        <w:numPr>
          <w:ilvl w:val="0"/>
          <w:numId w:val="31"/>
        </w:numPr>
        <w:tabs>
          <w:tab w:val="clear" w:pos="1620"/>
          <w:tab w:val="num" w:pos="0"/>
        </w:tabs>
        <w:ind w:left="0" w:firstLine="425"/>
        <w:jc w:val="both"/>
        <w:rPr>
          <w:sz w:val="24"/>
          <w:szCs w:val="24"/>
        </w:rPr>
      </w:pPr>
      <w:r w:rsidRPr="00AA518A">
        <w:rPr>
          <w:sz w:val="24"/>
          <w:szCs w:val="24"/>
        </w:rPr>
        <w:t>Правлением ПРБ 20 февраля 2015 года принято решение о возможности при рассмотрении банками вопросов о реструктуризации кредитов, предоставленных физическим лицам, а именно пролонгации срока кредита, изменения процентной ставки по кредиту в сторону снижения, изменения/отмены графика погашения кредита, а также других изменений условий договоров в сторону улучшения, принимать решение о признании таких кредитов реструктурированными без ухудшения оценки качества обслуживания долга;</w:t>
      </w:r>
    </w:p>
    <w:p w:rsidR="00635258" w:rsidRPr="00AA518A" w:rsidRDefault="00635258" w:rsidP="006410B8">
      <w:pPr>
        <w:numPr>
          <w:ilvl w:val="0"/>
          <w:numId w:val="31"/>
        </w:numPr>
        <w:tabs>
          <w:tab w:val="clear" w:pos="1620"/>
          <w:tab w:val="num" w:pos="0"/>
        </w:tabs>
        <w:ind w:left="0" w:firstLine="425"/>
        <w:jc w:val="both"/>
        <w:rPr>
          <w:sz w:val="24"/>
          <w:szCs w:val="24"/>
        </w:rPr>
      </w:pPr>
      <w:r w:rsidRPr="00AA518A">
        <w:rPr>
          <w:sz w:val="24"/>
          <w:szCs w:val="24"/>
        </w:rPr>
        <w:t>Правлением ПРБ 24 марта 2015 года принят ряд следующих решений:</w:t>
      </w:r>
    </w:p>
    <w:p w:rsidR="00635258" w:rsidRPr="00AA518A" w:rsidRDefault="00635258" w:rsidP="006410B8">
      <w:pPr>
        <w:ind w:firstLine="425"/>
        <w:jc w:val="both"/>
        <w:rPr>
          <w:sz w:val="24"/>
          <w:szCs w:val="24"/>
        </w:rPr>
      </w:pPr>
      <w:r w:rsidRPr="00AA518A">
        <w:rPr>
          <w:sz w:val="24"/>
          <w:szCs w:val="24"/>
        </w:rPr>
        <w:t>-</w:t>
      </w:r>
      <w:r w:rsidRPr="00AA518A">
        <w:rPr>
          <w:sz w:val="24"/>
          <w:szCs w:val="24"/>
        </w:rPr>
        <w:tab/>
        <w:t>о возможности при рассмотрении банками вопросов о реструктуризации кредитов, предоставленных заёмщикам - юридическим лицам, а именно изменения срока погашения кредита (основного долга и (или) процентов), изменения размера процентной ставки по кредиту в сторону снижения, изменения/отмены графика погашения кредита, изменения валюты, в которой номинирован кредит, а также других изменений, направленных на улучшение условий договоров для заёмщиков, принимать решение о признании таких кредитов реструктурированными без ухудшения оценки качества обслуживания долга;</w:t>
      </w:r>
    </w:p>
    <w:p w:rsidR="00635258" w:rsidRPr="00AA518A" w:rsidRDefault="00635258" w:rsidP="006410B8">
      <w:pPr>
        <w:tabs>
          <w:tab w:val="left" w:pos="709"/>
        </w:tabs>
        <w:ind w:firstLine="425"/>
        <w:jc w:val="both"/>
        <w:rPr>
          <w:sz w:val="24"/>
          <w:szCs w:val="24"/>
        </w:rPr>
      </w:pPr>
      <w:r w:rsidRPr="00AA518A">
        <w:rPr>
          <w:sz w:val="24"/>
          <w:szCs w:val="24"/>
        </w:rPr>
        <w:t>-</w:t>
      </w:r>
      <w:r w:rsidRPr="00AA518A">
        <w:rPr>
          <w:sz w:val="24"/>
          <w:szCs w:val="24"/>
        </w:rPr>
        <w:tab/>
        <w:t>о возможности при классификации кредитов, а также прочих активов (условных обязательств кредитного характера), по которым имеются просроченные платежи и (или) финансовое положение заёмщика (контрагента) (как юридического, так и физического лица) ухудшилось, уполномоченным органом банка может быть принято решение о неухудшении оценки финансового положения заёмщика (контрагента) и (или) качества обслуживания долга.</w:t>
      </w:r>
    </w:p>
    <w:p w:rsidR="00635258" w:rsidRPr="00AA518A" w:rsidRDefault="00635258" w:rsidP="006410B8">
      <w:pPr>
        <w:tabs>
          <w:tab w:val="left" w:pos="709"/>
        </w:tabs>
        <w:ind w:firstLine="425"/>
        <w:jc w:val="both"/>
        <w:rPr>
          <w:sz w:val="24"/>
          <w:szCs w:val="24"/>
        </w:rPr>
      </w:pPr>
      <w:r w:rsidRPr="00AA518A">
        <w:rPr>
          <w:sz w:val="24"/>
          <w:szCs w:val="24"/>
        </w:rPr>
        <w:t xml:space="preserve">Дополнительно, правлением ПРБ 16 июля 2015 года было утверждено Указание </w:t>
      </w:r>
      <w:bookmarkStart w:id="0" w:name="ТекстовоеПоле22"/>
      <w:r w:rsidRPr="00AA518A">
        <w:rPr>
          <w:sz w:val="24"/>
          <w:szCs w:val="24"/>
        </w:rPr>
        <w:t>ПРБ от 16 июля 2015 года № 859-У</w:t>
      </w:r>
      <w:bookmarkEnd w:id="0"/>
      <w:r w:rsidRPr="00AA518A">
        <w:rPr>
          <w:sz w:val="24"/>
          <w:szCs w:val="24"/>
        </w:rPr>
        <w:t xml:space="preserve"> «О внесении изменений и дополнений в Положение ПРБ от 10 ноября 2009 года № 91-П «О порядке формирования и использования кредитными организациями фонда риска», направленное на установление повышенного резервирования по кредитам юридическим лицам, не осуществляющим реальную деятельность либо осуществляющим её в незначительных объёмах в денежном выражении, не сопоставимых с размером кредита.</w:t>
      </w:r>
    </w:p>
    <w:p w:rsidR="00635258" w:rsidRDefault="00635258" w:rsidP="006410B8">
      <w:pPr>
        <w:ind w:firstLine="425"/>
        <w:jc w:val="both"/>
        <w:rPr>
          <w:sz w:val="24"/>
          <w:szCs w:val="24"/>
        </w:rPr>
      </w:pPr>
      <w:r w:rsidRPr="00E11CDE">
        <w:rPr>
          <w:sz w:val="24"/>
          <w:szCs w:val="24"/>
        </w:rPr>
        <w:t>Кроме того, в течение отчётного года Приднестровский республиканский банк на постоянной основе проводил совещания с банками с целью ограничения проведения ими рискованных активных операций и снижения уязвимости системно значимых банков, встречался с собственниками кредитных организаций для исключения возможных недобросовестных операций.</w:t>
      </w:r>
      <w:r w:rsidRPr="00B42D6C">
        <w:rPr>
          <w:sz w:val="24"/>
          <w:szCs w:val="24"/>
        </w:rPr>
        <w:t xml:space="preserve"> </w:t>
      </w:r>
    </w:p>
    <w:p w:rsidR="00635258" w:rsidRDefault="00635258" w:rsidP="006410B8">
      <w:pPr>
        <w:ind w:firstLine="425"/>
        <w:jc w:val="both"/>
        <w:rPr>
          <w:sz w:val="24"/>
          <w:szCs w:val="24"/>
        </w:rPr>
      </w:pPr>
      <w:r w:rsidRPr="0056529B">
        <w:rPr>
          <w:sz w:val="24"/>
          <w:szCs w:val="24"/>
        </w:rPr>
        <w:t xml:space="preserve">В течение 2015 года </w:t>
      </w:r>
      <w:r>
        <w:rPr>
          <w:sz w:val="24"/>
          <w:szCs w:val="24"/>
        </w:rPr>
        <w:t>Приднестровский республиканский банк</w:t>
      </w:r>
      <w:r w:rsidRPr="0056529B">
        <w:rPr>
          <w:sz w:val="24"/>
          <w:szCs w:val="24"/>
        </w:rPr>
        <w:t xml:space="preserve"> продолжал использовать обязательные резервные требования в качестве инструмента регулирования ликвидности банковского сектора. В зависимости от </w:t>
      </w:r>
      <w:r>
        <w:rPr>
          <w:sz w:val="24"/>
          <w:szCs w:val="24"/>
        </w:rPr>
        <w:t>динамики</w:t>
      </w:r>
      <w:r w:rsidRPr="0056529B">
        <w:rPr>
          <w:sz w:val="24"/>
          <w:szCs w:val="24"/>
        </w:rPr>
        <w:t xml:space="preserve"> макроэкономической ситуации</w:t>
      </w:r>
      <w:r>
        <w:rPr>
          <w:sz w:val="24"/>
          <w:szCs w:val="24"/>
        </w:rPr>
        <w:t>, уровня</w:t>
      </w:r>
      <w:r w:rsidRPr="0056529B">
        <w:rPr>
          <w:sz w:val="24"/>
          <w:szCs w:val="24"/>
        </w:rPr>
        <w:t xml:space="preserve"> рисков, связанных с внешнеэкономическими факторами</w:t>
      </w:r>
      <w:r>
        <w:rPr>
          <w:sz w:val="24"/>
          <w:szCs w:val="24"/>
        </w:rPr>
        <w:t>,</w:t>
      </w:r>
      <w:r w:rsidRPr="0056529B">
        <w:rPr>
          <w:sz w:val="24"/>
          <w:szCs w:val="24"/>
        </w:rPr>
        <w:t xml:space="preserve"> принимал</w:t>
      </w:r>
      <w:r>
        <w:rPr>
          <w:sz w:val="24"/>
          <w:szCs w:val="24"/>
        </w:rPr>
        <w:t>ись</w:t>
      </w:r>
      <w:r w:rsidRPr="0056529B">
        <w:rPr>
          <w:sz w:val="24"/>
          <w:szCs w:val="24"/>
        </w:rPr>
        <w:t xml:space="preserve"> решения относительно </w:t>
      </w:r>
      <w:r>
        <w:rPr>
          <w:sz w:val="24"/>
          <w:szCs w:val="24"/>
        </w:rPr>
        <w:t xml:space="preserve">вектора </w:t>
      </w:r>
      <w:r w:rsidRPr="0056529B">
        <w:rPr>
          <w:sz w:val="24"/>
          <w:szCs w:val="24"/>
        </w:rPr>
        <w:t>изменения нормат</w:t>
      </w:r>
      <w:r>
        <w:rPr>
          <w:sz w:val="24"/>
          <w:szCs w:val="24"/>
        </w:rPr>
        <w:t xml:space="preserve">ивов обязательных резервов. </w:t>
      </w:r>
    </w:p>
    <w:p w:rsidR="00635258" w:rsidRPr="0056529B" w:rsidRDefault="00635258" w:rsidP="00146E97">
      <w:pPr>
        <w:ind w:firstLine="425"/>
        <w:jc w:val="both"/>
        <w:rPr>
          <w:sz w:val="24"/>
          <w:szCs w:val="24"/>
        </w:rPr>
      </w:pPr>
      <w:r w:rsidRPr="0056529B">
        <w:rPr>
          <w:sz w:val="24"/>
          <w:szCs w:val="24"/>
        </w:rPr>
        <w:t xml:space="preserve">В течение января 2015 норматив обязательных резервов </w:t>
      </w:r>
      <w:r>
        <w:rPr>
          <w:sz w:val="24"/>
          <w:szCs w:val="24"/>
        </w:rPr>
        <w:t>сохранялся на отметке</w:t>
      </w:r>
      <w:r w:rsidRPr="0056529B">
        <w:rPr>
          <w:sz w:val="24"/>
          <w:szCs w:val="24"/>
        </w:rPr>
        <w:t xml:space="preserve"> 14%</w:t>
      </w:r>
      <w:r>
        <w:rPr>
          <w:sz w:val="24"/>
          <w:szCs w:val="24"/>
        </w:rPr>
        <w:t xml:space="preserve"> от</w:t>
      </w:r>
      <w:r w:rsidRPr="0056529B">
        <w:rPr>
          <w:sz w:val="24"/>
          <w:szCs w:val="24"/>
        </w:rPr>
        <w:t xml:space="preserve"> обязательств кредитных органи</w:t>
      </w:r>
      <w:r>
        <w:rPr>
          <w:sz w:val="24"/>
          <w:szCs w:val="24"/>
        </w:rPr>
        <w:t>заций по средствам, привлечё</w:t>
      </w:r>
      <w:r w:rsidRPr="0056529B">
        <w:rPr>
          <w:sz w:val="24"/>
          <w:szCs w:val="24"/>
        </w:rPr>
        <w:t xml:space="preserve">нным </w:t>
      </w:r>
      <w:r>
        <w:rPr>
          <w:sz w:val="24"/>
          <w:szCs w:val="24"/>
        </w:rPr>
        <w:t xml:space="preserve">от юридических лиц как </w:t>
      </w:r>
      <w:r w:rsidRPr="0056529B">
        <w:rPr>
          <w:sz w:val="24"/>
          <w:szCs w:val="24"/>
        </w:rPr>
        <w:t xml:space="preserve">в рублях, </w:t>
      </w:r>
      <w:r>
        <w:rPr>
          <w:sz w:val="24"/>
          <w:szCs w:val="24"/>
        </w:rPr>
        <w:t>так и</w:t>
      </w:r>
      <w:r w:rsidRPr="0056529B">
        <w:rPr>
          <w:sz w:val="24"/>
          <w:szCs w:val="24"/>
        </w:rPr>
        <w:t xml:space="preserve"> в иностранной валюте. </w:t>
      </w:r>
    </w:p>
    <w:p w:rsidR="00635258" w:rsidRPr="0056529B" w:rsidRDefault="00635258" w:rsidP="00146E97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6529B">
        <w:rPr>
          <w:sz w:val="24"/>
          <w:szCs w:val="24"/>
        </w:rPr>
        <w:t xml:space="preserve"> 1 февраля 2015 года</w:t>
      </w:r>
      <w:r>
        <w:rPr>
          <w:sz w:val="24"/>
          <w:szCs w:val="24"/>
        </w:rPr>
        <w:t>,</w:t>
      </w:r>
      <w:r w:rsidRPr="005652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решением правления ПРБ от 18.12.2014 г., в целях избежания избыточного давления денежного предложения, </w:t>
      </w:r>
      <w:r w:rsidRPr="0056529B">
        <w:rPr>
          <w:sz w:val="24"/>
          <w:szCs w:val="24"/>
        </w:rPr>
        <w:t>норматив</w:t>
      </w:r>
      <w:r>
        <w:rPr>
          <w:sz w:val="24"/>
          <w:szCs w:val="24"/>
        </w:rPr>
        <w:t>ы</w:t>
      </w:r>
      <w:r w:rsidRPr="0056529B">
        <w:rPr>
          <w:sz w:val="24"/>
          <w:szCs w:val="24"/>
        </w:rPr>
        <w:t xml:space="preserve"> обязательных резервов по обязательствам кредитн</w:t>
      </w:r>
      <w:r>
        <w:rPr>
          <w:sz w:val="24"/>
          <w:szCs w:val="24"/>
        </w:rPr>
        <w:t>ых</w:t>
      </w:r>
      <w:r w:rsidRPr="0056529B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56529B">
        <w:rPr>
          <w:sz w:val="24"/>
          <w:szCs w:val="24"/>
        </w:rPr>
        <w:t xml:space="preserve"> перед юридическими лицами </w:t>
      </w:r>
      <w:r>
        <w:rPr>
          <w:sz w:val="24"/>
          <w:szCs w:val="24"/>
        </w:rPr>
        <w:t xml:space="preserve">и </w:t>
      </w:r>
      <w:r w:rsidRPr="0056529B">
        <w:rPr>
          <w:sz w:val="24"/>
          <w:szCs w:val="24"/>
        </w:rPr>
        <w:t>в рублях</w:t>
      </w:r>
      <w:r>
        <w:rPr>
          <w:sz w:val="24"/>
          <w:szCs w:val="24"/>
        </w:rPr>
        <w:t>,</w:t>
      </w:r>
      <w:r w:rsidRPr="0056529B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</w:t>
      </w:r>
      <w:r w:rsidRPr="0056529B">
        <w:rPr>
          <w:sz w:val="24"/>
          <w:szCs w:val="24"/>
        </w:rPr>
        <w:t>иностранно</w:t>
      </w:r>
      <w:r>
        <w:rPr>
          <w:sz w:val="24"/>
          <w:szCs w:val="24"/>
        </w:rPr>
        <w:t xml:space="preserve">й валюте были повышены на 1 п.п. </w:t>
      </w:r>
      <w:r w:rsidRPr="0056529B">
        <w:rPr>
          <w:sz w:val="24"/>
          <w:szCs w:val="24"/>
        </w:rPr>
        <w:t>до 15%.</w:t>
      </w:r>
    </w:p>
    <w:p w:rsidR="00635258" w:rsidRDefault="00635258" w:rsidP="00146E97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 мере стабилизации ситуации на валютном рынке, с целью стимулирования проведения активных банковских операций и предоставления банкам дополнительной ликвидности п</w:t>
      </w:r>
      <w:r w:rsidRPr="0056529B">
        <w:rPr>
          <w:sz w:val="24"/>
          <w:szCs w:val="24"/>
        </w:rPr>
        <w:t xml:space="preserve">равлением </w:t>
      </w:r>
      <w:r>
        <w:rPr>
          <w:sz w:val="24"/>
          <w:szCs w:val="24"/>
        </w:rPr>
        <w:t>Приднестровского республиканского банка</w:t>
      </w:r>
      <w:r w:rsidRPr="0056529B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принимались решения о снижении нормативов:</w:t>
      </w:r>
    </w:p>
    <w:p w:rsidR="00635258" w:rsidRDefault="00635258" w:rsidP="00146E97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6529B">
        <w:rPr>
          <w:sz w:val="24"/>
          <w:szCs w:val="24"/>
        </w:rPr>
        <w:t xml:space="preserve">с 1 мая на 3 </w:t>
      </w:r>
      <w:r>
        <w:rPr>
          <w:sz w:val="24"/>
          <w:szCs w:val="24"/>
        </w:rPr>
        <w:t>п.п.</w:t>
      </w:r>
      <w:r w:rsidRPr="0056529B">
        <w:rPr>
          <w:sz w:val="24"/>
          <w:szCs w:val="24"/>
        </w:rPr>
        <w:t xml:space="preserve"> </w:t>
      </w:r>
      <w:r>
        <w:rPr>
          <w:sz w:val="24"/>
          <w:szCs w:val="24"/>
        </w:rPr>
        <w:t>с 15% до 12%;</w:t>
      </w:r>
      <w:r w:rsidRPr="0056529B">
        <w:rPr>
          <w:sz w:val="24"/>
          <w:szCs w:val="24"/>
        </w:rPr>
        <w:t xml:space="preserve"> </w:t>
      </w:r>
    </w:p>
    <w:p w:rsidR="00635258" w:rsidRPr="0056529B" w:rsidRDefault="00635258" w:rsidP="00146E97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6529B">
        <w:rPr>
          <w:sz w:val="24"/>
          <w:szCs w:val="24"/>
        </w:rPr>
        <w:t xml:space="preserve">с 1 сентября </w:t>
      </w:r>
      <w:r>
        <w:rPr>
          <w:sz w:val="24"/>
          <w:szCs w:val="24"/>
        </w:rPr>
        <w:t>на 2 п.п.</w:t>
      </w:r>
      <w:r w:rsidRPr="0056529B">
        <w:rPr>
          <w:sz w:val="24"/>
          <w:szCs w:val="24"/>
        </w:rPr>
        <w:t xml:space="preserve"> с 12% до 10%. </w:t>
      </w:r>
    </w:p>
    <w:p w:rsidR="00635258" w:rsidRPr="0056529B" w:rsidRDefault="00635258" w:rsidP="00146E97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 за год </w:t>
      </w:r>
      <w:r w:rsidRPr="0056529B">
        <w:rPr>
          <w:sz w:val="24"/>
          <w:szCs w:val="24"/>
        </w:rPr>
        <w:t xml:space="preserve">фонд обязательных </w:t>
      </w:r>
      <w:r>
        <w:rPr>
          <w:sz w:val="24"/>
          <w:szCs w:val="24"/>
        </w:rPr>
        <w:t>резервов, формируемый исключительно в национальной валюте, уменьшился на 56,7 млн</w:t>
      </w:r>
      <w:r w:rsidRPr="0056529B">
        <w:rPr>
          <w:sz w:val="24"/>
          <w:szCs w:val="24"/>
        </w:rPr>
        <w:t xml:space="preserve"> руб.</w:t>
      </w:r>
      <w:r>
        <w:rPr>
          <w:sz w:val="24"/>
          <w:szCs w:val="24"/>
        </w:rPr>
        <w:t>,</w:t>
      </w:r>
      <w:r w:rsidRPr="0056529B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на </w:t>
      </w:r>
      <w:r w:rsidRPr="0056529B">
        <w:rPr>
          <w:sz w:val="24"/>
          <w:szCs w:val="24"/>
        </w:rPr>
        <w:t>28,5%</w:t>
      </w:r>
      <w:r>
        <w:rPr>
          <w:sz w:val="24"/>
          <w:szCs w:val="24"/>
        </w:rPr>
        <w:t>,</w:t>
      </w:r>
      <w:r w:rsidRPr="0056529B">
        <w:rPr>
          <w:sz w:val="24"/>
          <w:szCs w:val="24"/>
        </w:rPr>
        <w:t xml:space="preserve"> и </w:t>
      </w:r>
      <w:r>
        <w:rPr>
          <w:sz w:val="24"/>
          <w:szCs w:val="24"/>
        </w:rPr>
        <w:t>п</w:t>
      </w:r>
      <w:r w:rsidRPr="0056529B">
        <w:rPr>
          <w:sz w:val="24"/>
          <w:szCs w:val="24"/>
        </w:rPr>
        <w:t xml:space="preserve">о состоянию на </w:t>
      </w:r>
      <w:r>
        <w:rPr>
          <w:sz w:val="24"/>
          <w:szCs w:val="24"/>
        </w:rPr>
        <w:br/>
      </w:r>
      <w:r w:rsidRPr="0056529B">
        <w:rPr>
          <w:sz w:val="24"/>
          <w:szCs w:val="24"/>
        </w:rPr>
        <w:t xml:space="preserve">1 января 2016 года составил 142,5 млн руб. </w:t>
      </w:r>
      <w:r>
        <w:rPr>
          <w:sz w:val="24"/>
          <w:szCs w:val="24"/>
        </w:rPr>
        <w:t>Данная тенденция была обусловлена как</w:t>
      </w:r>
      <w:r w:rsidRPr="0056529B">
        <w:rPr>
          <w:sz w:val="24"/>
          <w:szCs w:val="24"/>
        </w:rPr>
        <w:t xml:space="preserve"> снижени</w:t>
      </w:r>
      <w:r>
        <w:rPr>
          <w:sz w:val="24"/>
          <w:szCs w:val="24"/>
        </w:rPr>
        <w:t>ем</w:t>
      </w:r>
      <w:r w:rsidRPr="0056529B">
        <w:rPr>
          <w:sz w:val="24"/>
          <w:szCs w:val="24"/>
        </w:rPr>
        <w:t xml:space="preserve"> нормы </w:t>
      </w:r>
      <w:r>
        <w:rPr>
          <w:sz w:val="24"/>
          <w:szCs w:val="24"/>
        </w:rPr>
        <w:t>резервирования</w:t>
      </w:r>
      <w:r w:rsidRPr="0056529B">
        <w:rPr>
          <w:sz w:val="24"/>
          <w:szCs w:val="24"/>
        </w:rPr>
        <w:t xml:space="preserve">, </w:t>
      </w:r>
      <w:r>
        <w:rPr>
          <w:sz w:val="24"/>
          <w:szCs w:val="24"/>
        </w:rPr>
        <w:t>так и сокращением объёма</w:t>
      </w:r>
      <w:r w:rsidRPr="0056529B">
        <w:rPr>
          <w:sz w:val="24"/>
          <w:szCs w:val="24"/>
        </w:rPr>
        <w:t xml:space="preserve"> участвующих в расчёте обязательств банков</w:t>
      </w:r>
      <w:r>
        <w:rPr>
          <w:sz w:val="24"/>
          <w:szCs w:val="24"/>
        </w:rPr>
        <w:t xml:space="preserve"> </w:t>
      </w:r>
      <w:r w:rsidRPr="0056529B">
        <w:rPr>
          <w:sz w:val="24"/>
          <w:szCs w:val="24"/>
        </w:rPr>
        <w:t>(-368,3 млн руб.).</w:t>
      </w:r>
    </w:p>
    <w:p w:rsidR="00635258" w:rsidRPr="0056529B" w:rsidRDefault="00635258" w:rsidP="00146E97">
      <w:pPr>
        <w:ind w:firstLine="425"/>
        <w:jc w:val="both"/>
        <w:rPr>
          <w:sz w:val="24"/>
          <w:szCs w:val="24"/>
        </w:rPr>
      </w:pPr>
      <w:r w:rsidRPr="0056529B">
        <w:rPr>
          <w:sz w:val="24"/>
          <w:szCs w:val="24"/>
        </w:rPr>
        <w:t>Для обеспечения сохранности средств и своевременности исполнения принятых обязательств перед вкладчиками - физическими лицами банки ПМР формируют страховые фонды</w:t>
      </w:r>
      <w:r w:rsidRPr="0056529B">
        <w:rPr>
          <w:snapToGrid w:val="0"/>
          <w:sz w:val="24"/>
          <w:szCs w:val="24"/>
        </w:rPr>
        <w:t xml:space="preserve">. </w:t>
      </w:r>
      <w:r w:rsidRPr="0056529B">
        <w:rPr>
          <w:sz w:val="24"/>
          <w:szCs w:val="24"/>
        </w:rPr>
        <w:t>В течение января 2015 года ставка депонир</w:t>
      </w:r>
      <w:r>
        <w:rPr>
          <w:sz w:val="24"/>
          <w:szCs w:val="24"/>
        </w:rPr>
        <w:t>ования по ним</w:t>
      </w:r>
      <w:r w:rsidRPr="0056529B">
        <w:rPr>
          <w:sz w:val="24"/>
          <w:szCs w:val="24"/>
        </w:rPr>
        <w:t xml:space="preserve"> составляла 10% </w:t>
      </w:r>
      <w:r>
        <w:rPr>
          <w:sz w:val="24"/>
          <w:szCs w:val="24"/>
        </w:rPr>
        <w:t xml:space="preserve">от </w:t>
      </w:r>
      <w:r w:rsidRPr="0056529B">
        <w:rPr>
          <w:sz w:val="24"/>
          <w:szCs w:val="24"/>
        </w:rPr>
        <w:t>обязательств банк</w:t>
      </w:r>
      <w:r>
        <w:rPr>
          <w:sz w:val="24"/>
          <w:szCs w:val="24"/>
        </w:rPr>
        <w:t>ов</w:t>
      </w:r>
      <w:r w:rsidRPr="0056529B">
        <w:rPr>
          <w:sz w:val="24"/>
          <w:szCs w:val="24"/>
        </w:rPr>
        <w:t xml:space="preserve"> перед физическими лицами по средствам, привлеч</w:t>
      </w:r>
      <w:r>
        <w:rPr>
          <w:sz w:val="24"/>
          <w:szCs w:val="24"/>
        </w:rPr>
        <w:t>ённым в рублях</w:t>
      </w:r>
      <w:r w:rsidRPr="0056529B">
        <w:rPr>
          <w:sz w:val="24"/>
          <w:szCs w:val="24"/>
        </w:rPr>
        <w:t>, и 14%</w:t>
      </w:r>
      <w:r>
        <w:rPr>
          <w:sz w:val="24"/>
          <w:szCs w:val="24"/>
        </w:rPr>
        <w:t xml:space="preserve"> – </w:t>
      </w:r>
      <w:r w:rsidRPr="0056529B">
        <w:rPr>
          <w:sz w:val="24"/>
          <w:szCs w:val="24"/>
        </w:rPr>
        <w:t xml:space="preserve">в иностранной валюте. </w:t>
      </w:r>
    </w:p>
    <w:p w:rsidR="00635258" w:rsidRDefault="00635258" w:rsidP="00146E97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Аналогично динамике норм обязательного резервирования с </w:t>
      </w:r>
      <w:r w:rsidRPr="0099570F">
        <w:rPr>
          <w:sz w:val="24"/>
          <w:szCs w:val="24"/>
        </w:rPr>
        <w:t>1 февраля ставк</w:t>
      </w:r>
      <w:r>
        <w:rPr>
          <w:sz w:val="24"/>
          <w:szCs w:val="24"/>
        </w:rPr>
        <w:t>а</w:t>
      </w:r>
      <w:r w:rsidRPr="0099570F">
        <w:rPr>
          <w:sz w:val="24"/>
          <w:szCs w:val="24"/>
        </w:rPr>
        <w:t xml:space="preserve"> страховых взносов</w:t>
      </w:r>
      <w:r w:rsidRPr="0056529B">
        <w:rPr>
          <w:sz w:val="24"/>
          <w:szCs w:val="24"/>
        </w:rPr>
        <w:t xml:space="preserve"> </w:t>
      </w:r>
      <w:r>
        <w:rPr>
          <w:sz w:val="24"/>
          <w:szCs w:val="24"/>
        </w:rPr>
        <w:t>была повышена:</w:t>
      </w:r>
      <w:r w:rsidRPr="0056529B">
        <w:rPr>
          <w:sz w:val="24"/>
          <w:szCs w:val="24"/>
        </w:rPr>
        <w:t xml:space="preserve"> в рублях</w:t>
      </w:r>
      <w:r>
        <w:rPr>
          <w:sz w:val="24"/>
          <w:szCs w:val="24"/>
        </w:rPr>
        <w:t xml:space="preserve"> –</w:t>
      </w:r>
      <w:r w:rsidRPr="0056529B">
        <w:rPr>
          <w:sz w:val="24"/>
          <w:szCs w:val="24"/>
        </w:rPr>
        <w:t xml:space="preserve"> на 2 </w:t>
      </w:r>
      <w:r>
        <w:rPr>
          <w:sz w:val="24"/>
          <w:szCs w:val="24"/>
        </w:rPr>
        <w:t>п.п.</w:t>
      </w:r>
      <w:r w:rsidRPr="0056529B">
        <w:rPr>
          <w:sz w:val="24"/>
          <w:szCs w:val="24"/>
        </w:rPr>
        <w:t xml:space="preserve"> с 10% до 12% и в иностранной валюте</w:t>
      </w:r>
      <w:r>
        <w:rPr>
          <w:sz w:val="24"/>
          <w:szCs w:val="24"/>
        </w:rPr>
        <w:t xml:space="preserve"> –</w:t>
      </w:r>
      <w:r w:rsidRPr="0056529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6529B">
        <w:rPr>
          <w:sz w:val="24"/>
          <w:szCs w:val="24"/>
        </w:rPr>
        <w:t xml:space="preserve">на 1 </w:t>
      </w:r>
      <w:r>
        <w:rPr>
          <w:sz w:val="24"/>
          <w:szCs w:val="24"/>
        </w:rPr>
        <w:t>п.п.</w:t>
      </w:r>
      <w:r w:rsidRPr="0056529B">
        <w:rPr>
          <w:sz w:val="24"/>
          <w:szCs w:val="24"/>
        </w:rPr>
        <w:t xml:space="preserve"> с 14% до 15%</w:t>
      </w:r>
      <w:r>
        <w:rPr>
          <w:sz w:val="24"/>
          <w:szCs w:val="24"/>
        </w:rPr>
        <w:t xml:space="preserve"> соответствующих обязательств</w:t>
      </w:r>
      <w:r w:rsidRPr="0056529B">
        <w:rPr>
          <w:sz w:val="24"/>
          <w:szCs w:val="24"/>
        </w:rPr>
        <w:t xml:space="preserve">. </w:t>
      </w:r>
    </w:p>
    <w:p w:rsidR="00635258" w:rsidRPr="0056529B" w:rsidRDefault="00635258" w:rsidP="00146E97">
      <w:pPr>
        <w:ind w:firstLine="425"/>
        <w:jc w:val="both"/>
        <w:rPr>
          <w:sz w:val="24"/>
          <w:szCs w:val="24"/>
        </w:rPr>
      </w:pPr>
      <w:r w:rsidRPr="0056529B">
        <w:rPr>
          <w:sz w:val="24"/>
          <w:szCs w:val="24"/>
        </w:rPr>
        <w:t xml:space="preserve">4 августа 2015 года </w:t>
      </w:r>
      <w:r>
        <w:rPr>
          <w:sz w:val="24"/>
          <w:szCs w:val="24"/>
        </w:rPr>
        <w:t>п</w:t>
      </w:r>
      <w:r w:rsidRPr="0056529B">
        <w:rPr>
          <w:sz w:val="24"/>
          <w:szCs w:val="24"/>
        </w:rPr>
        <w:t xml:space="preserve">равление </w:t>
      </w:r>
      <w:r>
        <w:rPr>
          <w:sz w:val="24"/>
          <w:szCs w:val="24"/>
        </w:rPr>
        <w:t>Приднестровского республиканского банка</w:t>
      </w:r>
      <w:r w:rsidRPr="0056529B">
        <w:rPr>
          <w:sz w:val="24"/>
          <w:szCs w:val="24"/>
        </w:rPr>
        <w:t xml:space="preserve"> приня</w:t>
      </w:r>
      <w:r>
        <w:rPr>
          <w:sz w:val="24"/>
          <w:szCs w:val="24"/>
        </w:rPr>
        <w:t>л</w:t>
      </w:r>
      <w:r w:rsidRPr="0056529B">
        <w:rPr>
          <w:sz w:val="24"/>
          <w:szCs w:val="24"/>
        </w:rPr>
        <w:t>о решение о снижении ставок с 1 сентября,</w:t>
      </w:r>
      <w:r>
        <w:rPr>
          <w:sz w:val="24"/>
          <w:szCs w:val="24"/>
        </w:rPr>
        <w:t xml:space="preserve"> </w:t>
      </w:r>
      <w:r w:rsidRPr="0056529B">
        <w:rPr>
          <w:sz w:val="24"/>
          <w:szCs w:val="24"/>
        </w:rPr>
        <w:t>а именно</w:t>
      </w:r>
      <w:r>
        <w:rPr>
          <w:sz w:val="24"/>
          <w:szCs w:val="24"/>
        </w:rPr>
        <w:t>:</w:t>
      </w:r>
      <w:r w:rsidRPr="0056529B">
        <w:rPr>
          <w:sz w:val="24"/>
          <w:szCs w:val="24"/>
        </w:rPr>
        <w:t xml:space="preserve"> по обязательствам кредитн</w:t>
      </w:r>
      <w:r>
        <w:rPr>
          <w:sz w:val="24"/>
          <w:szCs w:val="24"/>
        </w:rPr>
        <w:t>ых</w:t>
      </w:r>
      <w:r w:rsidRPr="0056529B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56529B">
        <w:rPr>
          <w:sz w:val="24"/>
          <w:szCs w:val="24"/>
        </w:rPr>
        <w:t xml:space="preserve"> перед физическими лицами в рублях на 2 </w:t>
      </w:r>
      <w:r>
        <w:rPr>
          <w:sz w:val="24"/>
          <w:szCs w:val="24"/>
        </w:rPr>
        <w:t>п.п.</w:t>
      </w:r>
      <w:r w:rsidRPr="0056529B">
        <w:rPr>
          <w:sz w:val="24"/>
          <w:szCs w:val="24"/>
        </w:rPr>
        <w:t xml:space="preserve"> с 12% до 10% и в иностранной валюте</w:t>
      </w:r>
      <w:r>
        <w:rPr>
          <w:sz w:val="24"/>
          <w:szCs w:val="24"/>
        </w:rPr>
        <w:t xml:space="preserve"> – </w:t>
      </w:r>
      <w:r w:rsidRPr="0056529B">
        <w:rPr>
          <w:sz w:val="24"/>
          <w:szCs w:val="24"/>
        </w:rPr>
        <w:t xml:space="preserve">на 3 </w:t>
      </w:r>
      <w:r>
        <w:rPr>
          <w:sz w:val="24"/>
          <w:szCs w:val="24"/>
        </w:rPr>
        <w:t>п.п.</w:t>
      </w:r>
      <w:r w:rsidRPr="0056529B">
        <w:rPr>
          <w:sz w:val="24"/>
          <w:szCs w:val="24"/>
        </w:rPr>
        <w:t xml:space="preserve"> с 15% до 12%. </w:t>
      </w:r>
    </w:p>
    <w:p w:rsidR="00635258" w:rsidRPr="0056529B" w:rsidRDefault="00635258" w:rsidP="00146E97">
      <w:pPr>
        <w:ind w:firstLine="425"/>
        <w:jc w:val="both"/>
        <w:rPr>
          <w:sz w:val="24"/>
          <w:szCs w:val="24"/>
        </w:rPr>
      </w:pPr>
      <w:r w:rsidRPr="0056529B">
        <w:rPr>
          <w:sz w:val="24"/>
          <w:szCs w:val="24"/>
        </w:rPr>
        <w:t xml:space="preserve">Из 6 банков, действующих </w:t>
      </w:r>
      <w:r>
        <w:rPr>
          <w:sz w:val="24"/>
          <w:szCs w:val="24"/>
        </w:rPr>
        <w:t>в республике</w:t>
      </w:r>
      <w:r w:rsidRPr="0056529B">
        <w:rPr>
          <w:sz w:val="24"/>
          <w:szCs w:val="24"/>
        </w:rPr>
        <w:t xml:space="preserve"> на конец отчётного периода,</w:t>
      </w:r>
      <w:r>
        <w:rPr>
          <w:sz w:val="24"/>
          <w:szCs w:val="24"/>
        </w:rPr>
        <w:t xml:space="preserve"> только</w:t>
      </w:r>
      <w:r w:rsidRPr="0056529B">
        <w:rPr>
          <w:sz w:val="24"/>
          <w:szCs w:val="24"/>
        </w:rPr>
        <w:t xml:space="preserve"> один банк не привлекал средства физических лиц (ЗАО «Банк сельхозразвития»)</w:t>
      </w:r>
      <w:r>
        <w:rPr>
          <w:sz w:val="24"/>
          <w:szCs w:val="24"/>
        </w:rPr>
        <w:t>, соответственно, не формировал страховые фонды</w:t>
      </w:r>
      <w:r w:rsidRPr="0056529B">
        <w:rPr>
          <w:sz w:val="24"/>
          <w:szCs w:val="24"/>
        </w:rPr>
        <w:t>.</w:t>
      </w:r>
    </w:p>
    <w:p w:rsidR="00635258" w:rsidRDefault="00635258" w:rsidP="00146E97">
      <w:pPr>
        <w:ind w:firstLine="425"/>
        <w:jc w:val="both"/>
        <w:rPr>
          <w:sz w:val="24"/>
          <w:szCs w:val="24"/>
        </w:rPr>
      </w:pPr>
      <w:r w:rsidRPr="0056529B">
        <w:rPr>
          <w:sz w:val="24"/>
          <w:szCs w:val="24"/>
        </w:rPr>
        <w:t>По состоянию на 1 января 2016 года</w:t>
      </w:r>
      <w:r>
        <w:rPr>
          <w:sz w:val="24"/>
          <w:szCs w:val="24"/>
        </w:rPr>
        <w:t xml:space="preserve"> объём</w:t>
      </w:r>
      <w:r w:rsidRPr="0056529B">
        <w:rPr>
          <w:sz w:val="24"/>
          <w:szCs w:val="24"/>
        </w:rPr>
        <w:t xml:space="preserve"> страховы</w:t>
      </w:r>
      <w:r>
        <w:rPr>
          <w:sz w:val="24"/>
          <w:szCs w:val="24"/>
        </w:rPr>
        <w:t>х</w:t>
      </w:r>
      <w:r w:rsidRPr="0056529B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ов, депонируемых также только в национальной валюте, составил</w:t>
      </w:r>
      <w:r w:rsidRPr="0056529B">
        <w:rPr>
          <w:sz w:val="24"/>
          <w:szCs w:val="24"/>
        </w:rPr>
        <w:t xml:space="preserve"> 176,8 млн руб., снизившись по сравнению с началом 2015 года на 56,6 млн руб.</w:t>
      </w:r>
      <w:r>
        <w:rPr>
          <w:sz w:val="24"/>
          <w:szCs w:val="24"/>
        </w:rPr>
        <w:t>,</w:t>
      </w:r>
      <w:r w:rsidRPr="0056529B">
        <w:rPr>
          <w:sz w:val="24"/>
          <w:szCs w:val="24"/>
        </w:rPr>
        <w:t xml:space="preserve"> или на 24,2%. Снижение объёма страховых фондов обусловлено уменьшением став</w:t>
      </w:r>
      <w:r>
        <w:rPr>
          <w:sz w:val="24"/>
          <w:szCs w:val="24"/>
        </w:rPr>
        <w:t>о</w:t>
      </w:r>
      <w:r w:rsidRPr="0056529B">
        <w:rPr>
          <w:sz w:val="24"/>
          <w:szCs w:val="24"/>
        </w:rPr>
        <w:t xml:space="preserve">к и </w:t>
      </w:r>
      <w:r>
        <w:rPr>
          <w:sz w:val="24"/>
          <w:szCs w:val="24"/>
        </w:rPr>
        <w:t>сокращением</w:t>
      </w:r>
      <w:r w:rsidRPr="0056529B">
        <w:rPr>
          <w:sz w:val="24"/>
          <w:szCs w:val="24"/>
        </w:rPr>
        <w:t xml:space="preserve"> обязательств банков перед физическими лицами (-217,5 млн руб.).</w:t>
      </w:r>
    </w:p>
    <w:p w:rsidR="00635258" w:rsidRPr="001E0C36" w:rsidRDefault="00635258" w:rsidP="00131D2B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Pr="001E0C36">
        <w:rPr>
          <w:rFonts w:ascii="Times New Roman" w:hAnsi="Times New Roman" w:cs="Times New Roman"/>
          <w:sz w:val="24"/>
          <w:szCs w:val="24"/>
        </w:rPr>
        <w:t xml:space="preserve">излишней структурной ликвидности </w:t>
      </w:r>
      <w:r>
        <w:rPr>
          <w:rFonts w:ascii="Times New Roman" w:hAnsi="Times New Roman" w:cs="Times New Roman"/>
          <w:sz w:val="24"/>
          <w:szCs w:val="24"/>
        </w:rPr>
        <w:t xml:space="preserve">банковских учреждений </w:t>
      </w:r>
      <w:r w:rsidRPr="001E0C36">
        <w:rPr>
          <w:rFonts w:ascii="Times New Roman" w:hAnsi="Times New Roman" w:cs="Times New Roman"/>
          <w:sz w:val="24"/>
          <w:szCs w:val="24"/>
        </w:rPr>
        <w:t xml:space="preserve">Приднестровский республиканский банк </w:t>
      </w:r>
      <w:r>
        <w:rPr>
          <w:rFonts w:ascii="Times New Roman" w:hAnsi="Times New Roman" w:cs="Times New Roman"/>
          <w:sz w:val="24"/>
          <w:szCs w:val="24"/>
        </w:rPr>
        <w:t>предлагал к использованию</w:t>
      </w:r>
      <w:r w:rsidRPr="001E0C36">
        <w:rPr>
          <w:rFonts w:ascii="Times New Roman" w:hAnsi="Times New Roman" w:cs="Times New Roman"/>
          <w:sz w:val="24"/>
          <w:szCs w:val="24"/>
        </w:rPr>
        <w:t xml:space="preserve"> краткосрочные депозитные опер</w:t>
      </w:r>
      <w:r>
        <w:rPr>
          <w:rFonts w:ascii="Times New Roman" w:hAnsi="Times New Roman" w:cs="Times New Roman"/>
          <w:sz w:val="24"/>
          <w:szCs w:val="24"/>
        </w:rPr>
        <w:t>ации «овернайт». Совокупный объё</w:t>
      </w:r>
      <w:r w:rsidRPr="001E0C36">
        <w:rPr>
          <w:rFonts w:ascii="Times New Roman" w:hAnsi="Times New Roman" w:cs="Times New Roman"/>
          <w:sz w:val="24"/>
          <w:szCs w:val="24"/>
        </w:rPr>
        <w:t>м денежных средств, объявленный к привлечению в течение одного рабочего дня, составл</w:t>
      </w:r>
      <w:r>
        <w:rPr>
          <w:rFonts w:ascii="Times New Roman" w:hAnsi="Times New Roman" w:cs="Times New Roman"/>
          <w:sz w:val="24"/>
          <w:szCs w:val="24"/>
        </w:rPr>
        <w:t>ял</w:t>
      </w:r>
      <w:r w:rsidRPr="001E0C36">
        <w:rPr>
          <w:rFonts w:ascii="Times New Roman" w:hAnsi="Times New Roman" w:cs="Times New Roman"/>
          <w:sz w:val="24"/>
          <w:szCs w:val="24"/>
        </w:rPr>
        <w:t xml:space="preserve"> 200 млн руб., доходность по депозитам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0C36">
        <w:rPr>
          <w:rFonts w:ascii="Times New Roman" w:hAnsi="Times New Roman" w:cs="Times New Roman"/>
          <w:sz w:val="24"/>
          <w:szCs w:val="24"/>
        </w:rPr>
        <w:t xml:space="preserve"> 0,6% годовых. Общая сумма</w:t>
      </w:r>
      <w:r>
        <w:rPr>
          <w:rFonts w:ascii="Times New Roman" w:hAnsi="Times New Roman" w:cs="Times New Roman"/>
          <w:sz w:val="24"/>
          <w:szCs w:val="24"/>
        </w:rPr>
        <w:t xml:space="preserve"> средств, задействованных в данных операциях в течение отчётного периода, </w:t>
      </w:r>
      <w:r w:rsidRPr="001E0C36">
        <w:rPr>
          <w:rFonts w:ascii="Times New Roman" w:hAnsi="Times New Roman" w:cs="Times New Roman"/>
          <w:sz w:val="24"/>
          <w:szCs w:val="24"/>
        </w:rPr>
        <w:t>сложи</w:t>
      </w:r>
      <w:r>
        <w:rPr>
          <w:rFonts w:ascii="Times New Roman" w:hAnsi="Times New Roman" w:cs="Times New Roman"/>
          <w:sz w:val="24"/>
          <w:szCs w:val="24"/>
        </w:rPr>
        <w:t>лась в объёме 19 340,5 млн руб.</w:t>
      </w:r>
    </w:p>
    <w:p w:rsidR="00635258" w:rsidRPr="001E0C36" w:rsidRDefault="00635258" w:rsidP="00131D2B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роста рыночных ставок на предоставляемые ресурсы, с</w:t>
      </w:r>
      <w:r w:rsidRPr="001E0C36">
        <w:rPr>
          <w:rFonts w:ascii="Times New Roman" w:hAnsi="Times New Roman" w:cs="Times New Roman"/>
          <w:sz w:val="24"/>
          <w:szCs w:val="24"/>
        </w:rPr>
        <w:t xml:space="preserve">тавка рефинансирования Приднестровского республиканского банка, установленная с </w:t>
      </w:r>
      <w:r w:rsidRPr="001E0C36">
        <w:rPr>
          <w:rFonts w:ascii="Times New Roman" w:hAnsi="Times New Roman" w:cs="Times New Roman"/>
          <w:sz w:val="24"/>
          <w:szCs w:val="24"/>
        </w:rPr>
        <w:br/>
        <w:t>11 августа 2014 года в разме</w:t>
      </w:r>
      <w:r>
        <w:rPr>
          <w:rFonts w:ascii="Times New Roman" w:hAnsi="Times New Roman" w:cs="Times New Roman"/>
          <w:sz w:val="24"/>
          <w:szCs w:val="24"/>
        </w:rPr>
        <w:t>ре 3,5 процентов годовых, в отчё</w:t>
      </w:r>
      <w:r w:rsidRPr="001E0C36">
        <w:rPr>
          <w:rFonts w:ascii="Times New Roman" w:hAnsi="Times New Roman" w:cs="Times New Roman"/>
          <w:sz w:val="24"/>
          <w:szCs w:val="24"/>
        </w:rPr>
        <w:t>тном периоде не изменилась.</w:t>
      </w:r>
    </w:p>
    <w:p w:rsidR="00635258" w:rsidRPr="001E0C36" w:rsidRDefault="00635258" w:rsidP="00131D2B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1E0C36">
        <w:rPr>
          <w:rFonts w:ascii="Times New Roman" w:hAnsi="Times New Roman" w:cs="Times New Roman"/>
          <w:sz w:val="24"/>
          <w:szCs w:val="24"/>
        </w:rPr>
        <w:t>Задолженность</w:t>
      </w:r>
      <w:r>
        <w:rPr>
          <w:rFonts w:ascii="Times New Roman" w:hAnsi="Times New Roman" w:cs="Times New Roman"/>
          <w:sz w:val="24"/>
          <w:szCs w:val="24"/>
        </w:rPr>
        <w:t xml:space="preserve"> коммерческих банков</w:t>
      </w:r>
      <w:r w:rsidRPr="001E0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межбанковским кредитам в течение 2015 года</w:t>
      </w:r>
      <w:r w:rsidRPr="001E0C36">
        <w:rPr>
          <w:rFonts w:ascii="Times New Roman" w:hAnsi="Times New Roman" w:cs="Times New Roman"/>
          <w:sz w:val="24"/>
          <w:szCs w:val="24"/>
        </w:rPr>
        <w:t xml:space="preserve"> уменьшилась на 23,1</w:t>
      </w:r>
      <w:r>
        <w:rPr>
          <w:rFonts w:ascii="Times New Roman" w:hAnsi="Times New Roman" w:cs="Times New Roman"/>
          <w:sz w:val="24"/>
          <w:szCs w:val="24"/>
        </w:rPr>
        <w:t xml:space="preserve"> млн руб., из которых 5,2 млн руб. – это погашение </w:t>
      </w:r>
      <w:r w:rsidRPr="001E0C36">
        <w:rPr>
          <w:rFonts w:ascii="Times New Roman" w:hAnsi="Times New Roman" w:cs="Times New Roman"/>
          <w:sz w:val="24"/>
          <w:szCs w:val="24"/>
        </w:rPr>
        <w:t>кредит</w:t>
      </w:r>
      <w:r>
        <w:rPr>
          <w:rFonts w:ascii="Times New Roman" w:hAnsi="Times New Roman" w:cs="Times New Roman"/>
          <w:sz w:val="24"/>
          <w:szCs w:val="24"/>
        </w:rPr>
        <w:t>ов ЗАО «Банк сельхозразвития»</w:t>
      </w:r>
      <w:r w:rsidRPr="001E0C36">
        <w:rPr>
          <w:rFonts w:ascii="Times New Roman" w:hAnsi="Times New Roman" w:cs="Times New Roman"/>
          <w:sz w:val="24"/>
          <w:szCs w:val="24"/>
        </w:rPr>
        <w:t xml:space="preserve">, предоставленных в 2011 году под государственные гарантии. </w:t>
      </w:r>
    </w:p>
    <w:p w:rsidR="00635258" w:rsidRPr="00E11CDE" w:rsidRDefault="00635258" w:rsidP="00A21967">
      <w:pPr>
        <w:ind w:firstLine="425"/>
        <w:jc w:val="both"/>
        <w:rPr>
          <w:sz w:val="24"/>
          <w:szCs w:val="24"/>
        </w:rPr>
      </w:pPr>
      <w:r w:rsidRPr="00E11CDE">
        <w:rPr>
          <w:sz w:val="24"/>
          <w:szCs w:val="24"/>
        </w:rPr>
        <w:t xml:space="preserve">В отчётном году, исходя из складывающейся ситуации, Приднестровский республиканский банк при реализации денежно-кредитной политики основной акцент делал на увеличении предложения денег, сохранении доверия физических лиц к банкам, частичном решении проблемы рефинансирования государственных и частных хозяйственных проектов. </w:t>
      </w:r>
    </w:p>
    <w:p w:rsidR="00635258" w:rsidRPr="00E11CDE" w:rsidRDefault="00635258" w:rsidP="00B55596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E11CDE">
        <w:rPr>
          <w:rFonts w:ascii="Times New Roman" w:hAnsi="Times New Roman" w:cs="Times New Roman"/>
          <w:sz w:val="24"/>
          <w:szCs w:val="24"/>
        </w:rPr>
        <w:t xml:space="preserve">На основании соответствующих обращений в 2015 году центральный банк, согласно принятым решениям правления, разместил в банках республики депозиты на общую сумму 120,0 млн руб., в том числе субординированные в объёме 90,0 млн руб. Согласно подтверждающей информации банков, данные долгосрочные ресурсы предоставлялись для дальнейшего перенаправления их в реальный сектор экономики с целью восстановления деловой активности, модернизации производства, преодоления кризисных явлений. </w:t>
      </w:r>
    </w:p>
    <w:p w:rsidR="00635258" w:rsidRPr="00E11CDE" w:rsidRDefault="00635258" w:rsidP="00B55596">
      <w:pPr>
        <w:ind w:firstLine="425"/>
        <w:jc w:val="both"/>
        <w:rPr>
          <w:sz w:val="24"/>
          <w:szCs w:val="24"/>
        </w:rPr>
      </w:pPr>
      <w:r w:rsidRPr="00E11CDE">
        <w:rPr>
          <w:sz w:val="24"/>
          <w:szCs w:val="24"/>
        </w:rPr>
        <w:t>В основном средства направлялись предприятиям и фирмам, участвующим в реализации государственных социально-экономических программ. Такие проекты, как правило, не приносят сиюминутный доход, так как осуществляются на долгосрочной основе. Поэтому центральный банк зачастую применяет к банкам, реализующим подобные программы, долговременные меры надзорного реагирования.</w:t>
      </w:r>
    </w:p>
    <w:p w:rsidR="00635258" w:rsidRPr="00B55596" w:rsidRDefault="00635258" w:rsidP="00B55596">
      <w:pPr>
        <w:ind w:firstLine="425"/>
        <w:jc w:val="both"/>
        <w:rPr>
          <w:sz w:val="24"/>
          <w:szCs w:val="24"/>
        </w:rPr>
      </w:pPr>
      <w:r w:rsidRPr="00E11CDE">
        <w:rPr>
          <w:sz w:val="24"/>
          <w:szCs w:val="24"/>
        </w:rPr>
        <w:t>В то же время выделение дополнительных ресурсов сопровождается необходимыми условиями в части снижения процентных ставок по кредитам, предоставляемым стратегически важным предприятиям, размещения ресурсов в национальной валюте в целях защиты от валютных рисков, осуществления кредитования на долгосрочной основе для обеспечения адекватного финансирования крупнейших организаций Приднестровья.</w:t>
      </w:r>
      <w:r>
        <w:rPr>
          <w:sz w:val="24"/>
          <w:szCs w:val="24"/>
        </w:rPr>
        <w:t xml:space="preserve"> </w:t>
      </w:r>
    </w:p>
    <w:p w:rsidR="00635258" w:rsidRPr="001E0C36" w:rsidRDefault="00635258" w:rsidP="00131D2B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</w:t>
      </w:r>
      <w:r w:rsidRPr="001E0C36">
        <w:rPr>
          <w:rFonts w:ascii="Times New Roman" w:hAnsi="Times New Roman" w:cs="Times New Roman"/>
          <w:sz w:val="24"/>
          <w:szCs w:val="24"/>
        </w:rPr>
        <w:t xml:space="preserve"> по состоянию на 1 января 2016 года совокупная задолженность коммерческих банков перед Приднестровским республиканским банком составила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36">
        <w:rPr>
          <w:rFonts w:ascii="Times New Roman" w:hAnsi="Times New Roman" w:cs="Times New Roman"/>
          <w:sz w:val="24"/>
          <w:szCs w:val="24"/>
        </w:rPr>
        <w:t>689,7 млн руб., в том числе по кредитам – 84,4 млн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36">
        <w:rPr>
          <w:rFonts w:ascii="Times New Roman" w:hAnsi="Times New Roman" w:cs="Times New Roman"/>
          <w:sz w:val="24"/>
          <w:szCs w:val="24"/>
        </w:rPr>
        <w:t>(включая просроченную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36">
        <w:rPr>
          <w:rFonts w:ascii="Times New Roman" w:hAnsi="Times New Roman" w:cs="Times New Roman"/>
          <w:sz w:val="24"/>
          <w:szCs w:val="24"/>
        </w:rPr>
        <w:t>ОАО «Бендерысоцбанк» в сумме 9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1E0C36">
        <w:rPr>
          <w:rFonts w:ascii="Times New Roman" w:hAnsi="Times New Roman" w:cs="Times New Roman"/>
          <w:sz w:val="24"/>
          <w:szCs w:val="24"/>
        </w:rPr>
        <w:t xml:space="preserve"> млн руб.), по депозитам – 605,3 млн руб. </w:t>
      </w:r>
    </w:p>
    <w:p w:rsidR="00635258" w:rsidRDefault="00635258" w:rsidP="00131D2B">
      <w:pPr>
        <w:ind w:left="11" w:firstLine="425"/>
        <w:rPr>
          <w:i/>
          <w:iCs/>
          <w:sz w:val="24"/>
          <w:szCs w:val="24"/>
        </w:rPr>
      </w:pPr>
    </w:p>
    <w:p w:rsidR="00635258" w:rsidRPr="00586D6B" w:rsidRDefault="00635258" w:rsidP="00131D2B">
      <w:pPr>
        <w:numPr>
          <w:ilvl w:val="1"/>
          <w:numId w:val="3"/>
        </w:num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 w:rsidRPr="00586D6B">
        <w:rPr>
          <w:b/>
          <w:bCs/>
          <w:noProof/>
          <w:sz w:val="24"/>
          <w:szCs w:val="24"/>
        </w:rPr>
        <w:t>ДИНАМИКА ЗОЛОТОВАЛЮТНЫХ РЕЗЕРВОВ</w:t>
      </w:r>
    </w:p>
    <w:p w:rsidR="00635258" w:rsidRPr="00A14AC2" w:rsidRDefault="00635258" w:rsidP="00131D2B">
      <w:pPr>
        <w:spacing w:before="120"/>
        <w:ind w:firstLine="425"/>
        <w:jc w:val="both"/>
        <w:rPr>
          <w:sz w:val="24"/>
          <w:szCs w:val="24"/>
        </w:rPr>
      </w:pPr>
      <w:r w:rsidRPr="00A14AC2">
        <w:rPr>
          <w:sz w:val="24"/>
          <w:szCs w:val="24"/>
        </w:rPr>
        <w:t>В 2015 году Приднестровский республиканский банк для удовлетворения потребностей хозяйствующих субъектов и населения реализовал в совокупности 175</w:t>
      </w:r>
      <w:r>
        <w:rPr>
          <w:sz w:val="24"/>
          <w:szCs w:val="24"/>
        </w:rPr>
        <w:t>,3</w:t>
      </w:r>
      <w:r w:rsidRPr="00A14AC2">
        <w:rPr>
          <w:sz w:val="24"/>
          <w:szCs w:val="24"/>
        </w:rPr>
        <w:t xml:space="preserve"> млн долл., из них путём продажи на валютном аукционе – 103,8 млн долл., в рамках наличных валютных интервенций </w:t>
      </w:r>
      <w:r>
        <w:rPr>
          <w:sz w:val="24"/>
          <w:szCs w:val="24"/>
        </w:rPr>
        <w:t xml:space="preserve">по агентским соглашениям </w:t>
      </w:r>
      <w:r w:rsidRPr="00A14AC2">
        <w:rPr>
          <w:sz w:val="24"/>
          <w:szCs w:val="24"/>
        </w:rPr>
        <w:t>через обменные пункты</w:t>
      </w:r>
      <w:r>
        <w:rPr>
          <w:sz w:val="24"/>
          <w:szCs w:val="24"/>
        </w:rPr>
        <w:t xml:space="preserve"> кредитных организаций</w:t>
      </w:r>
      <w:r w:rsidRPr="00A14AC2">
        <w:rPr>
          <w:sz w:val="24"/>
          <w:szCs w:val="24"/>
        </w:rPr>
        <w:t xml:space="preserve"> – 71,5 млн долл. Данный показатель в 5,8 раза превысил средний объём валютных резервов</w:t>
      </w:r>
      <w:r w:rsidRPr="00A14AC2">
        <w:rPr>
          <w:rStyle w:val="FootnoteReference"/>
          <w:sz w:val="24"/>
          <w:szCs w:val="24"/>
        </w:rPr>
        <w:footnoteReference w:id="13"/>
      </w:r>
      <w:r w:rsidRPr="00A14AC2">
        <w:rPr>
          <w:sz w:val="24"/>
          <w:szCs w:val="24"/>
        </w:rPr>
        <w:t xml:space="preserve">, сложившийся по итогам 2015 года. </w:t>
      </w:r>
      <w:r>
        <w:rPr>
          <w:sz w:val="24"/>
          <w:szCs w:val="24"/>
        </w:rPr>
        <w:t>В результате, в условиях ограниченных поступлений валюты п</w:t>
      </w:r>
      <w:r w:rsidRPr="00A14AC2">
        <w:rPr>
          <w:sz w:val="24"/>
          <w:szCs w:val="24"/>
        </w:rPr>
        <w:t>о состоянию на 1 января 2016 года объём золотовалютных резервов составил в долларовом эквиваленте 19,8 млн</w:t>
      </w:r>
      <w:r>
        <w:rPr>
          <w:sz w:val="24"/>
          <w:szCs w:val="24"/>
        </w:rPr>
        <w:t xml:space="preserve"> против 30,4 млн н</w:t>
      </w:r>
      <w:r w:rsidRPr="00A14AC2">
        <w:rPr>
          <w:sz w:val="24"/>
          <w:szCs w:val="24"/>
        </w:rPr>
        <w:t xml:space="preserve">а </w:t>
      </w:r>
      <w:r>
        <w:rPr>
          <w:sz w:val="24"/>
          <w:szCs w:val="24"/>
        </w:rPr>
        <w:t>начало отчётного периода.</w:t>
      </w:r>
    </w:p>
    <w:p w:rsidR="00635258" w:rsidRDefault="00635258" w:rsidP="00131D2B">
      <w:pPr>
        <w:numPr>
          <w:ilvl w:val="1"/>
          <w:numId w:val="3"/>
        </w:num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 w:rsidRPr="00FD21E2">
        <w:rPr>
          <w:b/>
          <w:bCs/>
          <w:noProof/>
          <w:sz w:val="24"/>
          <w:szCs w:val="24"/>
        </w:rPr>
        <w:t xml:space="preserve">БАНКОВСКОЕ РЕГУЛИРОВАНИЕ И НАДЗОР </w:t>
      </w:r>
    </w:p>
    <w:p w:rsidR="00635258" w:rsidRPr="00FD21E2" w:rsidRDefault="00635258" w:rsidP="00131D2B">
      <w:pPr>
        <w:jc w:val="both"/>
        <w:rPr>
          <w:b/>
          <w:bCs/>
          <w:noProof/>
          <w:sz w:val="24"/>
          <w:szCs w:val="24"/>
        </w:rPr>
      </w:pPr>
    </w:p>
    <w:p w:rsidR="00635258" w:rsidRDefault="00635258" w:rsidP="00131D2B">
      <w:pPr>
        <w:ind w:left="425"/>
        <w:jc w:val="both"/>
        <w:rPr>
          <w:i/>
          <w:iCs/>
          <w:sz w:val="24"/>
          <w:szCs w:val="24"/>
        </w:rPr>
      </w:pPr>
      <w:r w:rsidRPr="00C65836">
        <w:rPr>
          <w:i/>
          <w:iCs/>
          <w:sz w:val="24"/>
          <w:szCs w:val="24"/>
        </w:rPr>
        <w:t>Регистрация и лицензирование банковской деятельности</w:t>
      </w:r>
    </w:p>
    <w:p w:rsidR="00635258" w:rsidRPr="006870F6" w:rsidRDefault="00635258" w:rsidP="00131D2B">
      <w:pPr>
        <w:spacing w:before="120"/>
        <w:ind w:firstLine="425"/>
        <w:jc w:val="both"/>
        <w:rPr>
          <w:sz w:val="24"/>
          <w:szCs w:val="24"/>
        </w:rPr>
      </w:pPr>
      <w:r w:rsidRPr="000E32BD">
        <w:rPr>
          <w:sz w:val="24"/>
          <w:szCs w:val="24"/>
        </w:rPr>
        <w:t>В 201</w:t>
      </w:r>
      <w:r>
        <w:rPr>
          <w:sz w:val="24"/>
          <w:szCs w:val="24"/>
        </w:rPr>
        <w:t>5</w:t>
      </w:r>
      <w:r w:rsidRPr="000E32BD">
        <w:rPr>
          <w:sz w:val="24"/>
          <w:szCs w:val="24"/>
        </w:rPr>
        <w:t xml:space="preserve"> году общее количество действующих банков, обладающих генеральной лицензией на осуществление банковских операций,</w:t>
      </w:r>
      <w:r>
        <w:rPr>
          <w:sz w:val="24"/>
          <w:szCs w:val="24"/>
        </w:rPr>
        <w:t xml:space="preserve"> не изменилось</w:t>
      </w:r>
      <w:r w:rsidRPr="000E32BD">
        <w:rPr>
          <w:sz w:val="24"/>
          <w:szCs w:val="24"/>
        </w:rPr>
        <w:t xml:space="preserve">. </w:t>
      </w:r>
      <w:r>
        <w:rPr>
          <w:sz w:val="24"/>
          <w:szCs w:val="24"/>
        </w:rPr>
        <w:t>При этом в</w:t>
      </w:r>
      <w:r w:rsidRPr="000E32BD">
        <w:rPr>
          <w:sz w:val="24"/>
          <w:szCs w:val="24"/>
        </w:rPr>
        <w:t xml:space="preserve"> соответствии с нормами статьи 5 Закона ПМР от 13 декабря 2010 года </w:t>
      </w:r>
      <w:r>
        <w:rPr>
          <w:sz w:val="24"/>
          <w:szCs w:val="24"/>
        </w:rPr>
        <w:t>№</w:t>
      </w:r>
      <w:r w:rsidRPr="000E32BD">
        <w:rPr>
          <w:sz w:val="24"/>
          <w:szCs w:val="24"/>
        </w:rPr>
        <w:t xml:space="preserve"> 264-З-IV</w:t>
      </w:r>
      <w:r w:rsidRPr="000E32BD">
        <w:t xml:space="preserve"> </w:t>
      </w:r>
      <w:r w:rsidRPr="000E32BD">
        <w:rPr>
          <w:sz w:val="24"/>
          <w:szCs w:val="24"/>
        </w:rPr>
        <w:t xml:space="preserve">«О Банке </w:t>
      </w:r>
      <w:r w:rsidRPr="00042448">
        <w:rPr>
          <w:sz w:val="24"/>
          <w:szCs w:val="24"/>
        </w:rPr>
        <w:t>сельскохозяйственного р</w:t>
      </w:r>
      <w:r>
        <w:rPr>
          <w:sz w:val="24"/>
          <w:szCs w:val="24"/>
        </w:rPr>
        <w:t>азвития» данное финансовое учреждение</w:t>
      </w:r>
      <w:r w:rsidRPr="000424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функционирует </w:t>
      </w:r>
      <w:r w:rsidRPr="00042448">
        <w:rPr>
          <w:sz w:val="24"/>
          <w:szCs w:val="24"/>
        </w:rPr>
        <w:t>без лицензии на осуществление банковских операций</w:t>
      </w:r>
      <w:r w:rsidRPr="000E32BD">
        <w:rPr>
          <w:sz w:val="24"/>
          <w:szCs w:val="24"/>
        </w:rPr>
        <w:t>.</w:t>
      </w:r>
    </w:p>
    <w:p w:rsidR="00635258" w:rsidRPr="006870F6" w:rsidRDefault="00635258" w:rsidP="00131D2B">
      <w:pPr>
        <w:ind w:firstLine="425"/>
        <w:jc w:val="both"/>
        <w:rPr>
          <w:sz w:val="24"/>
          <w:szCs w:val="24"/>
        </w:rPr>
      </w:pPr>
      <w:r w:rsidRPr="000E32BD">
        <w:rPr>
          <w:sz w:val="24"/>
          <w:szCs w:val="24"/>
        </w:rPr>
        <w:t xml:space="preserve">Пять коммерческих банков осуществляют </w:t>
      </w:r>
      <w:r>
        <w:rPr>
          <w:sz w:val="24"/>
          <w:szCs w:val="24"/>
        </w:rPr>
        <w:t xml:space="preserve">свою </w:t>
      </w:r>
      <w:r w:rsidRPr="000E32BD">
        <w:rPr>
          <w:sz w:val="24"/>
          <w:szCs w:val="24"/>
        </w:rPr>
        <w:t>деятельность в форме закрыт</w:t>
      </w:r>
      <w:r>
        <w:rPr>
          <w:sz w:val="24"/>
          <w:szCs w:val="24"/>
        </w:rPr>
        <w:t>ых акционерных</w:t>
      </w:r>
      <w:r w:rsidRPr="000E32BD">
        <w:rPr>
          <w:sz w:val="24"/>
          <w:szCs w:val="24"/>
        </w:rPr>
        <w:t xml:space="preserve"> обществ, один банк</w:t>
      </w:r>
      <w:r>
        <w:rPr>
          <w:sz w:val="24"/>
          <w:szCs w:val="24"/>
        </w:rPr>
        <w:t xml:space="preserve"> </w:t>
      </w:r>
      <w:r w:rsidRPr="000E32BD">
        <w:rPr>
          <w:sz w:val="24"/>
          <w:szCs w:val="24"/>
        </w:rPr>
        <w:t xml:space="preserve">(ОАО «Эксимбанк») </w:t>
      </w:r>
      <w:r>
        <w:rPr>
          <w:sz w:val="24"/>
          <w:szCs w:val="24"/>
        </w:rPr>
        <w:t xml:space="preserve">– </w:t>
      </w:r>
      <w:r w:rsidRPr="000E32BD">
        <w:rPr>
          <w:sz w:val="24"/>
          <w:szCs w:val="24"/>
        </w:rPr>
        <w:t>в форме</w:t>
      </w:r>
      <w:r>
        <w:rPr>
          <w:sz w:val="24"/>
          <w:szCs w:val="24"/>
        </w:rPr>
        <w:t xml:space="preserve"> открытого</w:t>
      </w:r>
      <w:r w:rsidRPr="000E32BD">
        <w:rPr>
          <w:sz w:val="24"/>
          <w:szCs w:val="24"/>
        </w:rPr>
        <w:t>.</w:t>
      </w:r>
    </w:p>
    <w:p w:rsidR="00635258" w:rsidRPr="006870F6" w:rsidRDefault="00635258" w:rsidP="00131D2B">
      <w:pPr>
        <w:ind w:firstLine="425"/>
        <w:jc w:val="both"/>
        <w:rPr>
          <w:sz w:val="24"/>
          <w:szCs w:val="24"/>
        </w:rPr>
      </w:pPr>
      <w:r w:rsidRPr="000E32BD">
        <w:rPr>
          <w:sz w:val="24"/>
          <w:szCs w:val="24"/>
        </w:rPr>
        <w:t>Количество небанковских кредитных организаций</w:t>
      </w:r>
      <w:r>
        <w:rPr>
          <w:sz w:val="24"/>
          <w:szCs w:val="24"/>
        </w:rPr>
        <w:t>,</w:t>
      </w:r>
      <w:r w:rsidRPr="000E32BD">
        <w:rPr>
          <w:sz w:val="24"/>
          <w:szCs w:val="24"/>
        </w:rPr>
        <w:t xml:space="preserve"> действующих</w:t>
      </w:r>
      <w:r>
        <w:rPr>
          <w:sz w:val="24"/>
          <w:szCs w:val="24"/>
        </w:rPr>
        <w:t xml:space="preserve"> на основании лицензии на право совершения отдельных банковских операций,</w:t>
      </w:r>
      <w:r w:rsidRPr="000E3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отчётного года также не изменилось </w:t>
      </w:r>
      <w:r>
        <w:rPr>
          <w:snapToGrid w:val="0"/>
          <w:sz w:val="24"/>
          <w:szCs w:val="24"/>
        </w:rPr>
        <w:t>(табл. 2.1)</w:t>
      </w:r>
      <w:r w:rsidRPr="000E32BD">
        <w:rPr>
          <w:sz w:val="24"/>
          <w:szCs w:val="24"/>
        </w:rPr>
        <w:t>.</w:t>
      </w:r>
    </w:p>
    <w:p w:rsidR="00635258" w:rsidRPr="00760D02" w:rsidRDefault="00635258" w:rsidP="00131D2B">
      <w:pPr>
        <w:spacing w:before="120" w:after="120"/>
        <w:ind w:firstLine="709"/>
        <w:jc w:val="right"/>
        <w:rPr>
          <w:b/>
          <w:bCs/>
          <w:i/>
          <w:iCs/>
          <w:sz w:val="24"/>
          <w:szCs w:val="24"/>
        </w:rPr>
      </w:pPr>
      <w:r w:rsidRPr="00760D02">
        <w:rPr>
          <w:b/>
          <w:bCs/>
          <w:i/>
          <w:iCs/>
          <w:sz w:val="24"/>
          <w:szCs w:val="24"/>
        </w:rPr>
        <w:t>Таблица</w:t>
      </w:r>
      <w:r>
        <w:rPr>
          <w:b/>
          <w:bCs/>
          <w:i/>
          <w:iCs/>
          <w:sz w:val="24"/>
          <w:szCs w:val="24"/>
        </w:rPr>
        <w:t xml:space="preserve"> 2.1</w:t>
      </w:r>
      <w:r w:rsidRPr="00760D02">
        <w:rPr>
          <w:b/>
          <w:bCs/>
          <w:i/>
          <w:iCs/>
          <w:sz w:val="24"/>
          <w:szCs w:val="24"/>
        </w:rPr>
        <w:t xml:space="preserve"> </w:t>
      </w:r>
    </w:p>
    <w:p w:rsidR="00635258" w:rsidRPr="00F44C5B" w:rsidRDefault="00635258" w:rsidP="00131D2B">
      <w:pPr>
        <w:pStyle w:val="PlainText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4C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банковского сектора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9"/>
        <w:gridCol w:w="2180"/>
        <w:gridCol w:w="2180"/>
      </w:tblGrid>
      <w:tr w:rsidR="00635258" w:rsidRPr="00F250D9">
        <w:trPr>
          <w:trHeight w:val="212"/>
        </w:trPr>
        <w:tc>
          <w:tcPr>
            <w:tcW w:w="5279" w:type="dxa"/>
            <w:tcBorders>
              <w:bottom w:val="double" w:sz="4" w:space="0" w:color="auto"/>
            </w:tcBorders>
            <w:shd w:val="clear" w:color="auto" w:fill="CCCCCC"/>
          </w:tcPr>
          <w:p w:rsidR="00635258" w:rsidRPr="00F250D9" w:rsidRDefault="00635258" w:rsidP="00131D2B">
            <w:pPr>
              <w:pStyle w:val="BodyTextIndent"/>
              <w:spacing w:after="0"/>
              <w:ind w:left="284" w:right="-96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F250D9" w:rsidRDefault="00635258" w:rsidP="00131D2B">
            <w:pPr>
              <w:pStyle w:val="BodyTextIndent"/>
              <w:spacing w:after="0"/>
              <w:ind w:left="-102"/>
              <w:jc w:val="center"/>
              <w:rPr>
                <w:sz w:val="22"/>
                <w:szCs w:val="22"/>
              </w:rPr>
            </w:pPr>
            <w:r w:rsidRPr="00F250D9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0</w:t>
            </w:r>
            <w:r w:rsidRPr="00F250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</w:t>
            </w:r>
            <w:r w:rsidRPr="00F250D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F250D9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:rsidR="00635258" w:rsidRPr="00F250D9" w:rsidRDefault="00635258" w:rsidP="00131D2B">
            <w:pPr>
              <w:pStyle w:val="BodyTextIndent"/>
              <w:spacing w:after="0"/>
              <w:ind w:left="-125" w:firstLine="11"/>
              <w:jc w:val="center"/>
              <w:rPr>
                <w:sz w:val="22"/>
                <w:szCs w:val="22"/>
              </w:rPr>
            </w:pPr>
            <w:r w:rsidRPr="00F250D9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0</w:t>
            </w:r>
            <w:r w:rsidRPr="00F250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</w:t>
            </w:r>
            <w:r w:rsidRPr="00F250D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F250D9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</w:tr>
      <w:tr w:rsidR="00635258" w:rsidRPr="00F250D9">
        <w:trPr>
          <w:trHeight w:val="171"/>
        </w:trPr>
        <w:tc>
          <w:tcPr>
            <w:tcW w:w="5279" w:type="dxa"/>
            <w:tcBorders>
              <w:top w:val="double" w:sz="4" w:space="0" w:color="auto"/>
            </w:tcBorders>
            <w:vAlign w:val="center"/>
          </w:tcPr>
          <w:p w:rsidR="00635258" w:rsidRPr="00F250D9" w:rsidRDefault="00635258" w:rsidP="00131D2B">
            <w:pPr>
              <w:pStyle w:val="CharChar"/>
              <w:ind w:right="-9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50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оммерческие банки (действующие)</w:t>
            </w:r>
            <w:r w:rsidRPr="00F250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117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374" w:right="-20" w:firstLine="2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35258" w:rsidRPr="00F250D9">
        <w:tc>
          <w:tcPr>
            <w:tcW w:w="5279" w:type="dxa"/>
            <w:tcBorders>
              <w:top w:val="nil"/>
              <w:bottom w:val="nil"/>
            </w:tcBorders>
            <w:vAlign w:val="center"/>
          </w:tcPr>
          <w:p w:rsidR="00635258" w:rsidRPr="00893A45" w:rsidRDefault="00635258" w:rsidP="00131D2B">
            <w:pPr>
              <w:pStyle w:val="CharChar"/>
              <w:ind w:left="162" w:right="-9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250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них: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117" w:right="-2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374" w:right="-20" w:firstLine="238"/>
              <w:jc w:val="center"/>
              <w:rPr>
                <w:sz w:val="22"/>
                <w:szCs w:val="22"/>
              </w:rPr>
            </w:pPr>
          </w:p>
        </w:tc>
      </w:tr>
      <w:tr w:rsidR="00635258" w:rsidRPr="00F250D9">
        <w:tc>
          <w:tcPr>
            <w:tcW w:w="5279" w:type="dxa"/>
            <w:tcBorders>
              <w:top w:val="nil"/>
              <w:bottom w:val="nil"/>
            </w:tcBorders>
            <w:vAlign w:val="center"/>
          </w:tcPr>
          <w:p w:rsidR="00635258" w:rsidRPr="00893A45" w:rsidRDefault="00635258" w:rsidP="00131D2B">
            <w:pPr>
              <w:pStyle w:val="CharChar"/>
              <w:ind w:left="162" w:right="-9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3A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 государственным участием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117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374" w:right="-20" w:firstLine="2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35258" w:rsidRPr="00F250D9">
        <w:tc>
          <w:tcPr>
            <w:tcW w:w="5279" w:type="dxa"/>
            <w:tcBorders>
              <w:top w:val="nil"/>
            </w:tcBorders>
            <w:vAlign w:val="center"/>
          </w:tcPr>
          <w:p w:rsidR="00635258" w:rsidRPr="00893A45" w:rsidRDefault="00635258" w:rsidP="00131D2B">
            <w:pPr>
              <w:pStyle w:val="CharChar"/>
              <w:ind w:left="162" w:right="-9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3A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 иностранным участием</w:t>
            </w:r>
          </w:p>
        </w:tc>
        <w:tc>
          <w:tcPr>
            <w:tcW w:w="2180" w:type="dxa"/>
            <w:tcBorders>
              <w:top w:val="nil"/>
            </w:tcBorders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117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</w:tcBorders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374" w:right="-20" w:firstLine="2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5258" w:rsidRPr="00F250D9">
        <w:tc>
          <w:tcPr>
            <w:tcW w:w="5279" w:type="dxa"/>
            <w:vAlign w:val="center"/>
          </w:tcPr>
          <w:p w:rsidR="00635258" w:rsidRPr="00F250D9" w:rsidRDefault="00635258" w:rsidP="00131D2B">
            <w:pPr>
              <w:pStyle w:val="CharChar"/>
              <w:ind w:right="-96"/>
              <w:rPr>
                <w:rFonts w:ascii="Times New Roman" w:hAnsi="Times New Roman" w:cs="Times New Roman"/>
                <w:sz w:val="22"/>
                <w:szCs w:val="22"/>
              </w:rPr>
            </w:pPr>
            <w:r w:rsidRPr="00893A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Филиалы коммерч</w:t>
            </w:r>
            <w:r w:rsidRPr="00F250D9">
              <w:rPr>
                <w:rFonts w:ascii="Times New Roman" w:hAnsi="Times New Roman" w:cs="Times New Roman"/>
                <w:sz w:val="22"/>
                <w:szCs w:val="22"/>
              </w:rPr>
              <w:t>еских банков</w:t>
            </w:r>
          </w:p>
        </w:tc>
        <w:tc>
          <w:tcPr>
            <w:tcW w:w="2180" w:type="dxa"/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117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80" w:type="dxa"/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374" w:right="-20" w:firstLine="2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635258" w:rsidRPr="00F250D9">
        <w:tc>
          <w:tcPr>
            <w:tcW w:w="5279" w:type="dxa"/>
            <w:vAlign w:val="center"/>
          </w:tcPr>
          <w:p w:rsidR="00635258" w:rsidRPr="00F250D9" w:rsidRDefault="00635258" w:rsidP="00131D2B">
            <w:pPr>
              <w:pStyle w:val="CharChar"/>
              <w:ind w:right="-96"/>
              <w:rPr>
                <w:rFonts w:ascii="Times New Roman" w:hAnsi="Times New Roman" w:cs="Times New Roman"/>
                <w:sz w:val="22"/>
                <w:szCs w:val="22"/>
              </w:rPr>
            </w:pPr>
            <w:r w:rsidRPr="00F250D9">
              <w:rPr>
                <w:rFonts w:ascii="Times New Roman" w:hAnsi="Times New Roman" w:cs="Times New Roman"/>
                <w:sz w:val="22"/>
                <w:szCs w:val="22"/>
              </w:rPr>
              <w:t>Отделения коммерческих банков</w:t>
            </w:r>
          </w:p>
        </w:tc>
        <w:tc>
          <w:tcPr>
            <w:tcW w:w="2180" w:type="dxa"/>
            <w:vAlign w:val="center"/>
          </w:tcPr>
          <w:p w:rsidR="00635258" w:rsidRPr="00F1587F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117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2180" w:type="dxa"/>
            <w:vAlign w:val="center"/>
          </w:tcPr>
          <w:p w:rsidR="00635258" w:rsidRPr="00CC4A1C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374" w:right="-20" w:firstLine="2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</w:tr>
      <w:tr w:rsidR="00635258" w:rsidRPr="00F250D9">
        <w:tc>
          <w:tcPr>
            <w:tcW w:w="5279" w:type="dxa"/>
            <w:vAlign w:val="center"/>
          </w:tcPr>
          <w:p w:rsidR="00635258" w:rsidRPr="00F250D9" w:rsidRDefault="00635258" w:rsidP="00131D2B">
            <w:pPr>
              <w:pStyle w:val="CharChar"/>
              <w:ind w:right="-9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Pr="00F250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ебанковски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 кредитные</w:t>
            </w:r>
            <w:r w:rsidRPr="00F250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F250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(действующи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F250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2180" w:type="dxa"/>
            <w:vAlign w:val="center"/>
          </w:tcPr>
          <w:p w:rsidR="00635258" w:rsidRPr="00F1587F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117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80" w:type="dxa"/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374" w:right="-20" w:firstLine="2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35258" w:rsidRPr="00F250D9">
        <w:tc>
          <w:tcPr>
            <w:tcW w:w="5279" w:type="dxa"/>
            <w:vAlign w:val="center"/>
          </w:tcPr>
          <w:p w:rsidR="00635258" w:rsidRPr="00083EAB" w:rsidRDefault="00635258" w:rsidP="00131D2B">
            <w:pPr>
              <w:pStyle w:val="CharChar"/>
              <w:tabs>
                <w:tab w:val="left" w:pos="283"/>
              </w:tabs>
              <w:ind w:left="162" w:right="-9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83E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F250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них</w:t>
            </w:r>
            <w:r w:rsidRPr="00083E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иностранным участием</w:t>
            </w:r>
          </w:p>
        </w:tc>
        <w:tc>
          <w:tcPr>
            <w:tcW w:w="2180" w:type="dxa"/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117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vAlign w:val="center"/>
          </w:tcPr>
          <w:p w:rsidR="00635258" w:rsidRPr="00F250D9" w:rsidRDefault="00635258" w:rsidP="00131D2B">
            <w:pPr>
              <w:pStyle w:val="BodyTextIndent"/>
              <w:tabs>
                <w:tab w:val="left" w:pos="2148"/>
              </w:tabs>
              <w:spacing w:after="0"/>
              <w:ind w:left="-374" w:right="-20" w:firstLine="2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635258" w:rsidRDefault="00635258" w:rsidP="00131D2B">
      <w:pPr>
        <w:widowControl w:val="0"/>
        <w:spacing w:before="120"/>
        <w:ind w:firstLine="425"/>
        <w:jc w:val="both"/>
        <w:rPr>
          <w:sz w:val="24"/>
          <w:szCs w:val="24"/>
        </w:rPr>
      </w:pPr>
      <w:r w:rsidRPr="000E32BD">
        <w:rPr>
          <w:sz w:val="24"/>
          <w:szCs w:val="24"/>
          <w:lang w:val="uk-UA"/>
        </w:rPr>
        <w:t>Н</w:t>
      </w:r>
      <w:r w:rsidRPr="000E32BD">
        <w:rPr>
          <w:sz w:val="24"/>
          <w:szCs w:val="24"/>
        </w:rPr>
        <w:t>ебанковски</w:t>
      </w:r>
      <w:r w:rsidRPr="000E32BD">
        <w:rPr>
          <w:sz w:val="24"/>
          <w:szCs w:val="24"/>
          <w:lang w:val="uk-UA"/>
        </w:rPr>
        <w:t>е к</w:t>
      </w:r>
      <w:r w:rsidRPr="000E32BD">
        <w:rPr>
          <w:sz w:val="24"/>
          <w:szCs w:val="24"/>
        </w:rPr>
        <w:t>редитные организации</w:t>
      </w:r>
      <w:r w:rsidRPr="000E32BD">
        <w:rPr>
          <w:sz w:val="24"/>
          <w:szCs w:val="24"/>
          <w:lang w:val="uk-UA"/>
        </w:rPr>
        <w:t xml:space="preserve"> </w:t>
      </w:r>
      <w:r w:rsidRPr="000E32BD">
        <w:rPr>
          <w:sz w:val="24"/>
          <w:szCs w:val="24"/>
        </w:rPr>
        <w:t>действуют в форме обществ с ограниченной ответственностью.</w:t>
      </w:r>
      <w:r w:rsidRPr="000E32BD">
        <w:rPr>
          <w:sz w:val="24"/>
          <w:szCs w:val="24"/>
          <w:lang w:val="uk-UA"/>
        </w:rPr>
        <w:t xml:space="preserve"> Пять </w:t>
      </w:r>
      <w:r>
        <w:rPr>
          <w:sz w:val="24"/>
          <w:szCs w:val="24"/>
          <w:lang w:val="uk-UA"/>
        </w:rPr>
        <w:t>из них</w:t>
      </w:r>
      <w:r w:rsidRPr="000E32BD">
        <w:rPr>
          <w:sz w:val="24"/>
          <w:szCs w:val="24"/>
        </w:rPr>
        <w:t xml:space="preserve"> относятся к </w:t>
      </w:r>
      <w:r w:rsidRPr="000E32BD">
        <w:rPr>
          <w:sz w:val="24"/>
          <w:szCs w:val="24"/>
          <w:lang w:val="en-US"/>
        </w:rPr>
        <w:t>III</w:t>
      </w:r>
      <w:r w:rsidRPr="000E32BD">
        <w:rPr>
          <w:sz w:val="24"/>
          <w:szCs w:val="24"/>
        </w:rPr>
        <w:t xml:space="preserve"> категории, одна</w:t>
      </w:r>
      <w:r w:rsidRPr="000E32B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–</w:t>
      </w:r>
      <w:r w:rsidRPr="000E32BD">
        <w:rPr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 w:rsidRPr="000E32BD">
        <w:rPr>
          <w:sz w:val="24"/>
          <w:szCs w:val="24"/>
        </w:rPr>
        <w:t xml:space="preserve"> </w:t>
      </w:r>
      <w:r w:rsidRPr="000E32BD">
        <w:rPr>
          <w:sz w:val="24"/>
          <w:szCs w:val="24"/>
          <w:lang w:val="en-US"/>
        </w:rPr>
        <w:t>II</w:t>
      </w:r>
      <w:r w:rsidRPr="000E32BD">
        <w:rPr>
          <w:sz w:val="24"/>
          <w:szCs w:val="24"/>
        </w:rPr>
        <w:t xml:space="preserve"> категории </w:t>
      </w:r>
      <w:r>
        <w:rPr>
          <w:sz w:val="24"/>
          <w:szCs w:val="24"/>
        </w:rPr>
        <w:br/>
      </w:r>
      <w:r w:rsidRPr="000E32BD">
        <w:rPr>
          <w:sz w:val="24"/>
          <w:szCs w:val="24"/>
        </w:rPr>
        <w:t>(ООО «КО «Трэйд Стар»).</w:t>
      </w:r>
    </w:p>
    <w:p w:rsidR="00635258" w:rsidRPr="000E32BD" w:rsidRDefault="00635258" w:rsidP="00131D2B">
      <w:pPr>
        <w:ind w:firstLine="425"/>
        <w:jc w:val="both"/>
        <w:rPr>
          <w:sz w:val="24"/>
          <w:szCs w:val="24"/>
        </w:rPr>
      </w:pPr>
      <w:r w:rsidRPr="000E32BD">
        <w:rPr>
          <w:sz w:val="24"/>
          <w:szCs w:val="24"/>
        </w:rPr>
        <w:t>По состоянию на 1 января 201</w:t>
      </w:r>
      <w:r>
        <w:rPr>
          <w:sz w:val="24"/>
          <w:szCs w:val="24"/>
        </w:rPr>
        <w:t>6</w:t>
      </w:r>
      <w:r w:rsidRPr="000E32BD">
        <w:rPr>
          <w:sz w:val="24"/>
          <w:szCs w:val="24"/>
        </w:rPr>
        <w:t xml:space="preserve"> года в стадии ликвидации находятся:</w:t>
      </w:r>
    </w:p>
    <w:p w:rsidR="00635258" w:rsidRDefault="00635258" w:rsidP="00131D2B">
      <w:pPr>
        <w:numPr>
          <w:ilvl w:val="0"/>
          <w:numId w:val="9"/>
        </w:numPr>
        <w:tabs>
          <w:tab w:val="clear" w:pos="1429"/>
          <w:tab w:val="num" w:pos="709"/>
          <w:tab w:val="num" w:pos="786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СЗАО «Банк Ламинат» по решению А</w:t>
      </w:r>
      <w:r w:rsidRPr="000E32BD">
        <w:rPr>
          <w:sz w:val="24"/>
          <w:szCs w:val="24"/>
        </w:rPr>
        <w:t xml:space="preserve">рбитражного суда ПМР от 4 июня 2013 года (дело </w:t>
      </w:r>
      <w:r>
        <w:rPr>
          <w:sz w:val="24"/>
          <w:szCs w:val="24"/>
        </w:rPr>
        <w:t>№</w:t>
      </w:r>
      <w:r w:rsidRPr="000E32BD">
        <w:rPr>
          <w:sz w:val="24"/>
          <w:szCs w:val="24"/>
        </w:rPr>
        <w:t xml:space="preserve"> 357/13-2);</w:t>
      </w:r>
    </w:p>
    <w:p w:rsidR="00635258" w:rsidRDefault="00635258" w:rsidP="00131D2B">
      <w:pPr>
        <w:numPr>
          <w:ilvl w:val="0"/>
          <w:numId w:val="9"/>
        </w:numPr>
        <w:tabs>
          <w:tab w:val="clear" w:pos="1429"/>
          <w:tab w:val="num" w:pos="709"/>
          <w:tab w:val="num" w:pos="786"/>
        </w:tabs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0E32BD">
        <w:rPr>
          <w:sz w:val="24"/>
          <w:szCs w:val="24"/>
        </w:rPr>
        <w:t>ОАО «Бендерысоцбанк»</w:t>
      </w:r>
      <w:r w:rsidRPr="000E32BD">
        <w:rPr>
          <w:color w:val="333333"/>
          <w:sz w:val="24"/>
          <w:szCs w:val="24"/>
        </w:rPr>
        <w:t xml:space="preserve"> </w:t>
      </w:r>
      <w:r w:rsidRPr="00E23216">
        <w:rPr>
          <w:sz w:val="24"/>
          <w:szCs w:val="24"/>
        </w:rPr>
        <w:t>по решению</w:t>
      </w:r>
      <w:r w:rsidRPr="000E32BD">
        <w:rPr>
          <w:color w:val="333333"/>
          <w:sz w:val="24"/>
          <w:szCs w:val="24"/>
        </w:rPr>
        <w:t xml:space="preserve"> </w:t>
      </w:r>
      <w:r w:rsidRPr="000E32BD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>ПМР от 30 июня 2014 года (дело №</w:t>
      </w:r>
      <w:r w:rsidRPr="000E32BD">
        <w:rPr>
          <w:sz w:val="24"/>
          <w:szCs w:val="24"/>
        </w:rPr>
        <w:t xml:space="preserve"> 424/14-06);</w:t>
      </w:r>
    </w:p>
    <w:p w:rsidR="00635258" w:rsidRPr="000E32BD" w:rsidRDefault="00635258" w:rsidP="00131D2B">
      <w:pPr>
        <w:numPr>
          <w:ilvl w:val="0"/>
          <w:numId w:val="9"/>
        </w:numPr>
        <w:tabs>
          <w:tab w:val="clear" w:pos="1429"/>
          <w:tab w:val="num" w:pos="709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0E32BD">
        <w:rPr>
          <w:sz w:val="24"/>
          <w:szCs w:val="24"/>
        </w:rPr>
        <w:t xml:space="preserve">ООО «КО Гаштан» по решению Арбитражного суда ПМР от 1 июня 2012 года (дело </w:t>
      </w:r>
      <w:r w:rsidRPr="000E32BD">
        <w:rPr>
          <w:sz w:val="24"/>
          <w:szCs w:val="24"/>
        </w:rPr>
        <w:br/>
      </w:r>
      <w:r>
        <w:rPr>
          <w:sz w:val="24"/>
          <w:szCs w:val="24"/>
        </w:rPr>
        <w:t>№</w:t>
      </w:r>
      <w:r w:rsidRPr="000E32BD">
        <w:rPr>
          <w:sz w:val="24"/>
          <w:szCs w:val="24"/>
        </w:rPr>
        <w:t xml:space="preserve"> 275/12-03).</w:t>
      </w:r>
    </w:p>
    <w:p w:rsidR="00635258" w:rsidRPr="0072532B" w:rsidRDefault="00635258" w:rsidP="00131D2B">
      <w:pPr>
        <w:ind w:firstLine="425"/>
        <w:jc w:val="both"/>
        <w:rPr>
          <w:sz w:val="24"/>
          <w:szCs w:val="24"/>
        </w:rPr>
      </w:pPr>
      <w:r w:rsidRPr="000E32BD">
        <w:rPr>
          <w:sz w:val="24"/>
          <w:szCs w:val="24"/>
        </w:rPr>
        <w:t>Суммарная величина зарегистрированного уставного капитала действующих банков</w:t>
      </w:r>
      <w:r>
        <w:rPr>
          <w:sz w:val="24"/>
          <w:szCs w:val="24"/>
        </w:rPr>
        <w:t xml:space="preserve"> за отчётный год не изменилась и</w:t>
      </w:r>
      <w:r w:rsidRPr="000E32BD">
        <w:rPr>
          <w:sz w:val="24"/>
          <w:szCs w:val="24"/>
        </w:rPr>
        <w:t xml:space="preserve"> по состоянию на 1 ян</w:t>
      </w:r>
      <w:r>
        <w:rPr>
          <w:sz w:val="24"/>
          <w:szCs w:val="24"/>
        </w:rPr>
        <w:t xml:space="preserve">варя 2016 года составила </w:t>
      </w:r>
      <w:r>
        <w:rPr>
          <w:sz w:val="24"/>
          <w:szCs w:val="24"/>
        </w:rPr>
        <w:br/>
        <w:t>1 043,2</w:t>
      </w:r>
      <w:r w:rsidRPr="000E32BD">
        <w:rPr>
          <w:sz w:val="24"/>
          <w:szCs w:val="24"/>
        </w:rPr>
        <w:t xml:space="preserve"> млн руб</w:t>
      </w:r>
      <w:r>
        <w:rPr>
          <w:sz w:val="24"/>
          <w:szCs w:val="24"/>
        </w:rPr>
        <w:t xml:space="preserve">., тогда как </w:t>
      </w:r>
      <w:r w:rsidRPr="0072532B">
        <w:rPr>
          <w:sz w:val="24"/>
          <w:szCs w:val="24"/>
        </w:rPr>
        <w:t xml:space="preserve">небанковских кредитных организаций </w:t>
      </w:r>
      <w:r>
        <w:rPr>
          <w:sz w:val="24"/>
          <w:szCs w:val="24"/>
        </w:rPr>
        <w:t>возросла на 1,5 млн руб. до</w:t>
      </w:r>
      <w:r>
        <w:rPr>
          <w:sz w:val="24"/>
          <w:szCs w:val="24"/>
        </w:rPr>
        <w:br/>
      </w:r>
      <w:r w:rsidRPr="0072532B">
        <w:rPr>
          <w:sz w:val="24"/>
          <w:szCs w:val="24"/>
        </w:rPr>
        <w:t>13,</w:t>
      </w:r>
      <w:r>
        <w:rPr>
          <w:sz w:val="24"/>
          <w:szCs w:val="24"/>
        </w:rPr>
        <w:t>7</w:t>
      </w:r>
      <w:r w:rsidRPr="0072532B">
        <w:rPr>
          <w:sz w:val="24"/>
          <w:szCs w:val="24"/>
        </w:rPr>
        <w:t xml:space="preserve"> млн руб. Данн</w:t>
      </w:r>
      <w:r>
        <w:rPr>
          <w:sz w:val="24"/>
          <w:szCs w:val="24"/>
        </w:rPr>
        <w:t>ый</w:t>
      </w:r>
      <w:r w:rsidRPr="00725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рост обусловлен </w:t>
      </w:r>
      <w:r w:rsidRPr="0072532B">
        <w:rPr>
          <w:sz w:val="24"/>
          <w:szCs w:val="24"/>
        </w:rPr>
        <w:t xml:space="preserve">увеличением уставного капитала </w:t>
      </w:r>
      <w:r>
        <w:rPr>
          <w:sz w:val="24"/>
          <w:szCs w:val="24"/>
        </w:rPr>
        <w:t>кредитной организации II категории</w:t>
      </w:r>
      <w:r w:rsidRPr="0072532B">
        <w:rPr>
          <w:sz w:val="24"/>
          <w:szCs w:val="24"/>
        </w:rPr>
        <w:t xml:space="preserve"> за сч</w:t>
      </w:r>
      <w:r>
        <w:rPr>
          <w:sz w:val="24"/>
          <w:szCs w:val="24"/>
        </w:rPr>
        <w:t>ё</w:t>
      </w:r>
      <w:r w:rsidRPr="0072532B">
        <w:rPr>
          <w:sz w:val="24"/>
          <w:szCs w:val="24"/>
        </w:rPr>
        <w:t xml:space="preserve">т дополнительных вкладов </w:t>
      </w:r>
      <w:r>
        <w:rPr>
          <w:sz w:val="24"/>
          <w:szCs w:val="24"/>
        </w:rPr>
        <w:t>участников физических лиц - резидентов</w:t>
      </w:r>
      <w:r w:rsidRPr="0072532B">
        <w:rPr>
          <w:sz w:val="24"/>
          <w:szCs w:val="24"/>
        </w:rPr>
        <w:t xml:space="preserve"> в сумме 136 000 долл</w:t>
      </w:r>
      <w:r>
        <w:rPr>
          <w:sz w:val="24"/>
          <w:szCs w:val="24"/>
        </w:rPr>
        <w:t>. США</w:t>
      </w:r>
      <w:r w:rsidRPr="0072532B">
        <w:rPr>
          <w:sz w:val="24"/>
          <w:szCs w:val="24"/>
        </w:rPr>
        <w:t>.</w:t>
      </w:r>
    </w:p>
    <w:p w:rsidR="00635258" w:rsidRPr="006870F6" w:rsidRDefault="00635258" w:rsidP="00131D2B">
      <w:pPr>
        <w:ind w:firstLine="425"/>
        <w:jc w:val="both"/>
        <w:rPr>
          <w:sz w:val="24"/>
          <w:szCs w:val="24"/>
        </w:rPr>
      </w:pPr>
      <w:r w:rsidRPr="009067F8">
        <w:rPr>
          <w:sz w:val="24"/>
          <w:szCs w:val="24"/>
        </w:rPr>
        <w:t xml:space="preserve">Общая </w:t>
      </w:r>
      <w:r>
        <w:rPr>
          <w:sz w:val="24"/>
          <w:szCs w:val="24"/>
        </w:rPr>
        <w:t>величина иностранных инвестиций</w:t>
      </w:r>
      <w:r w:rsidRPr="009067F8">
        <w:rPr>
          <w:sz w:val="24"/>
          <w:szCs w:val="24"/>
        </w:rPr>
        <w:t xml:space="preserve"> в уставные капиталы действующих кредит</w:t>
      </w:r>
      <w:r>
        <w:rPr>
          <w:sz w:val="24"/>
          <w:szCs w:val="24"/>
        </w:rPr>
        <w:t>ных организаций на 1 января 2016</w:t>
      </w:r>
      <w:r w:rsidRPr="009067F8">
        <w:rPr>
          <w:sz w:val="24"/>
          <w:szCs w:val="24"/>
        </w:rPr>
        <w:t xml:space="preserve"> года не изменилась и составила в эквиваленте </w:t>
      </w:r>
      <w:r w:rsidRPr="009067F8">
        <w:rPr>
          <w:sz w:val="24"/>
          <w:szCs w:val="24"/>
        </w:rPr>
        <w:br/>
        <w:t>80 450 долл</w:t>
      </w:r>
      <w:r>
        <w:rPr>
          <w:sz w:val="24"/>
          <w:szCs w:val="24"/>
        </w:rPr>
        <w:t>. США</w:t>
      </w:r>
      <w:r w:rsidRPr="00462CA0">
        <w:rPr>
          <w:sz w:val="24"/>
          <w:szCs w:val="24"/>
        </w:rPr>
        <w:t>, что соответствует 0,1% совокупного показателя.</w:t>
      </w:r>
    </w:p>
    <w:p w:rsidR="00635258" w:rsidRPr="006870F6" w:rsidRDefault="00635258" w:rsidP="00131D2B">
      <w:pPr>
        <w:ind w:firstLine="425"/>
        <w:jc w:val="both"/>
        <w:rPr>
          <w:sz w:val="24"/>
          <w:szCs w:val="24"/>
        </w:rPr>
      </w:pPr>
      <w:r w:rsidRPr="006F3BAF">
        <w:rPr>
          <w:sz w:val="24"/>
          <w:szCs w:val="24"/>
        </w:rPr>
        <w:t xml:space="preserve">Всего в республике функционирует один банк (ЗАО «Тираспромстройбанк») и одна небанковская кредитная организация </w:t>
      </w:r>
      <w:r w:rsidRPr="006F3BAF">
        <w:rPr>
          <w:sz w:val="24"/>
          <w:szCs w:val="24"/>
          <w:lang w:val="en-US"/>
        </w:rPr>
        <w:t>III</w:t>
      </w:r>
      <w:r w:rsidRPr="006F3BAF">
        <w:rPr>
          <w:sz w:val="24"/>
          <w:szCs w:val="24"/>
        </w:rPr>
        <w:t xml:space="preserve"> категории (ООО КО «Владора») с участием иностранных инвесторов в уставном капитале.</w:t>
      </w:r>
    </w:p>
    <w:p w:rsidR="00635258" w:rsidRPr="006F3BAF" w:rsidRDefault="00635258" w:rsidP="00131D2B">
      <w:pPr>
        <w:ind w:firstLine="425"/>
        <w:jc w:val="both"/>
        <w:rPr>
          <w:sz w:val="24"/>
          <w:szCs w:val="24"/>
        </w:rPr>
      </w:pPr>
      <w:r w:rsidRPr="00042448">
        <w:rPr>
          <w:sz w:val="24"/>
          <w:szCs w:val="24"/>
        </w:rPr>
        <w:t>В 201</w:t>
      </w:r>
      <w:r>
        <w:rPr>
          <w:sz w:val="24"/>
          <w:szCs w:val="24"/>
        </w:rPr>
        <w:t>5</w:t>
      </w:r>
      <w:r w:rsidRPr="00042448">
        <w:rPr>
          <w:sz w:val="24"/>
          <w:szCs w:val="24"/>
        </w:rPr>
        <w:t xml:space="preserve"> году коммерческими банками было открыто </w:t>
      </w:r>
      <w:r>
        <w:rPr>
          <w:sz w:val="24"/>
          <w:szCs w:val="24"/>
        </w:rPr>
        <w:t>73</w:t>
      </w:r>
      <w:r w:rsidRPr="00042448">
        <w:rPr>
          <w:sz w:val="24"/>
          <w:szCs w:val="24"/>
        </w:rPr>
        <w:t xml:space="preserve"> отд</w:t>
      </w:r>
      <w:r>
        <w:rPr>
          <w:sz w:val="24"/>
          <w:szCs w:val="24"/>
        </w:rPr>
        <w:t>еления, закрыто – 33,</w:t>
      </w:r>
      <w:r w:rsidRPr="0004244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42448">
        <w:rPr>
          <w:sz w:val="24"/>
          <w:szCs w:val="24"/>
        </w:rPr>
        <w:t>роцедуру перерегистрации прошло 34</w:t>
      </w:r>
      <w:r>
        <w:rPr>
          <w:sz w:val="24"/>
          <w:szCs w:val="24"/>
        </w:rPr>
        <w:t>5</w:t>
      </w:r>
      <w:r w:rsidRPr="00042448">
        <w:rPr>
          <w:sz w:val="24"/>
          <w:szCs w:val="24"/>
        </w:rPr>
        <w:t xml:space="preserve"> отделений. </w:t>
      </w:r>
      <w:r>
        <w:rPr>
          <w:sz w:val="24"/>
          <w:szCs w:val="24"/>
        </w:rPr>
        <w:t>Таким образом,</w:t>
      </w:r>
      <w:r w:rsidRPr="00042448">
        <w:rPr>
          <w:sz w:val="24"/>
          <w:szCs w:val="24"/>
        </w:rPr>
        <w:t xml:space="preserve"> по состоянию на </w:t>
      </w:r>
      <w:r>
        <w:rPr>
          <w:sz w:val="24"/>
          <w:szCs w:val="24"/>
        </w:rPr>
        <w:br/>
        <w:t>0</w:t>
      </w:r>
      <w:r w:rsidRPr="00042448">
        <w:rPr>
          <w:sz w:val="24"/>
          <w:szCs w:val="24"/>
        </w:rPr>
        <w:t>1</w:t>
      </w:r>
      <w:r>
        <w:rPr>
          <w:sz w:val="24"/>
          <w:szCs w:val="24"/>
        </w:rPr>
        <w:t>.01.</w:t>
      </w:r>
      <w:r w:rsidRPr="00042448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042448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042448">
        <w:rPr>
          <w:sz w:val="24"/>
          <w:szCs w:val="24"/>
        </w:rPr>
        <w:t xml:space="preserve"> действ</w:t>
      </w:r>
      <w:r>
        <w:rPr>
          <w:sz w:val="24"/>
          <w:szCs w:val="24"/>
        </w:rPr>
        <w:t>овало</w:t>
      </w:r>
      <w:r w:rsidRPr="00042448">
        <w:rPr>
          <w:sz w:val="24"/>
          <w:szCs w:val="24"/>
        </w:rPr>
        <w:t xml:space="preserve"> 2</w:t>
      </w:r>
      <w:r>
        <w:rPr>
          <w:sz w:val="24"/>
          <w:szCs w:val="24"/>
        </w:rPr>
        <w:t>8</w:t>
      </w:r>
      <w:r w:rsidRPr="00042448">
        <w:rPr>
          <w:sz w:val="24"/>
          <w:szCs w:val="24"/>
        </w:rPr>
        <w:t>7 отделений коммерческих бан</w:t>
      </w:r>
      <w:r>
        <w:rPr>
          <w:sz w:val="24"/>
          <w:szCs w:val="24"/>
        </w:rPr>
        <w:t xml:space="preserve">ков против </w:t>
      </w:r>
      <w:r w:rsidRPr="00042448">
        <w:rPr>
          <w:sz w:val="24"/>
          <w:szCs w:val="24"/>
        </w:rPr>
        <w:t>24</w:t>
      </w:r>
      <w:r>
        <w:rPr>
          <w:sz w:val="24"/>
          <w:szCs w:val="24"/>
        </w:rPr>
        <w:t>7</w:t>
      </w:r>
      <w:r w:rsidRPr="00042448">
        <w:rPr>
          <w:sz w:val="24"/>
          <w:szCs w:val="24"/>
        </w:rPr>
        <w:t xml:space="preserve"> </w:t>
      </w:r>
      <w:r>
        <w:rPr>
          <w:sz w:val="24"/>
          <w:szCs w:val="24"/>
        </w:rPr>
        <w:t>на 01.01.2015 г.</w:t>
      </w:r>
      <w:r w:rsidRPr="006F3BAF">
        <w:rPr>
          <w:sz w:val="24"/>
          <w:szCs w:val="24"/>
        </w:rPr>
        <w:t xml:space="preserve"> </w:t>
      </w:r>
    </w:p>
    <w:p w:rsidR="00635258" w:rsidRPr="006F3BAF" w:rsidRDefault="00635258" w:rsidP="00131D2B">
      <w:pPr>
        <w:ind w:firstLine="425"/>
        <w:jc w:val="both"/>
        <w:rPr>
          <w:sz w:val="24"/>
          <w:szCs w:val="24"/>
        </w:rPr>
      </w:pPr>
      <w:r w:rsidRPr="006F3BAF">
        <w:rPr>
          <w:sz w:val="24"/>
          <w:szCs w:val="24"/>
        </w:rPr>
        <w:t xml:space="preserve">Во исполнение </w:t>
      </w:r>
      <w:r>
        <w:rPr>
          <w:sz w:val="24"/>
          <w:szCs w:val="24"/>
        </w:rPr>
        <w:t xml:space="preserve">законодательно установленных функций в сфере </w:t>
      </w:r>
      <w:r w:rsidRPr="006F3BAF">
        <w:rPr>
          <w:sz w:val="24"/>
          <w:szCs w:val="24"/>
        </w:rPr>
        <w:t xml:space="preserve">регистрации </w:t>
      </w:r>
      <w:r>
        <w:rPr>
          <w:sz w:val="24"/>
          <w:szCs w:val="24"/>
        </w:rPr>
        <w:t xml:space="preserve">и лицензирования в отчётном году Приднестровским республиканским банком </w:t>
      </w:r>
      <w:r w:rsidRPr="006F3BAF">
        <w:rPr>
          <w:sz w:val="24"/>
          <w:szCs w:val="24"/>
        </w:rPr>
        <w:t>был</w:t>
      </w:r>
      <w:r>
        <w:rPr>
          <w:sz w:val="24"/>
          <w:szCs w:val="24"/>
        </w:rPr>
        <w:t>и</w:t>
      </w:r>
      <w:r w:rsidRPr="006F3BAF">
        <w:rPr>
          <w:sz w:val="24"/>
          <w:szCs w:val="24"/>
        </w:rPr>
        <w:t xml:space="preserve"> принят</w:t>
      </w:r>
      <w:r>
        <w:rPr>
          <w:sz w:val="24"/>
          <w:szCs w:val="24"/>
        </w:rPr>
        <w:t>ы</w:t>
      </w:r>
      <w:r w:rsidRPr="006F3BAF">
        <w:rPr>
          <w:sz w:val="24"/>
          <w:szCs w:val="24"/>
        </w:rPr>
        <w:t>:</w:t>
      </w:r>
    </w:p>
    <w:p w:rsidR="00635258" w:rsidRDefault="00635258" w:rsidP="00131D2B">
      <w:pPr>
        <w:numPr>
          <w:ilvl w:val="0"/>
          <w:numId w:val="10"/>
        </w:numPr>
        <w:tabs>
          <w:tab w:val="clear" w:pos="1429"/>
          <w:tab w:val="num" w:pos="0"/>
          <w:tab w:val="num" w:pos="28"/>
          <w:tab w:val="num" w:pos="720"/>
          <w:tab w:val="num" w:pos="786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F3BAF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я</w:t>
      </w:r>
      <w:r w:rsidRPr="006F3BAF">
        <w:rPr>
          <w:sz w:val="24"/>
          <w:szCs w:val="24"/>
        </w:rPr>
        <w:t xml:space="preserve"> о государственной регистрации изменений в учредительных документах кредитных организаций республики;</w:t>
      </w:r>
    </w:p>
    <w:p w:rsidR="00635258" w:rsidRPr="0052037A" w:rsidRDefault="00635258" w:rsidP="00131D2B">
      <w:pPr>
        <w:numPr>
          <w:ilvl w:val="0"/>
          <w:numId w:val="10"/>
        </w:numPr>
        <w:tabs>
          <w:tab w:val="clear" w:pos="1429"/>
          <w:tab w:val="num" w:pos="0"/>
          <w:tab w:val="num" w:pos="28"/>
          <w:tab w:val="num" w:pos="720"/>
          <w:tab w:val="num" w:pos="786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C95612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C95612">
        <w:rPr>
          <w:sz w:val="24"/>
          <w:szCs w:val="24"/>
        </w:rPr>
        <w:t xml:space="preserve"> решений о согласовании в должности руководителей кредитных организаций</w:t>
      </w:r>
      <w:r>
        <w:rPr>
          <w:sz w:val="24"/>
          <w:szCs w:val="24"/>
        </w:rPr>
        <w:t>.</w:t>
      </w:r>
    </w:p>
    <w:p w:rsidR="00635258" w:rsidRPr="00C65836" w:rsidRDefault="00635258" w:rsidP="00131D2B">
      <w:pPr>
        <w:ind w:firstLine="426"/>
        <w:jc w:val="both"/>
        <w:rPr>
          <w:snapToGrid w:val="0"/>
          <w:sz w:val="24"/>
          <w:szCs w:val="24"/>
        </w:rPr>
      </w:pPr>
      <w:r w:rsidRPr="00C65836">
        <w:rPr>
          <w:snapToGrid w:val="0"/>
          <w:sz w:val="24"/>
          <w:szCs w:val="24"/>
        </w:rPr>
        <w:t xml:space="preserve">Осуществлена </w:t>
      </w:r>
      <w:r w:rsidRPr="00C65836">
        <w:rPr>
          <w:snapToGrid w:val="0"/>
          <w:spacing w:val="-4"/>
          <w:sz w:val="24"/>
          <w:szCs w:val="24"/>
        </w:rPr>
        <w:t>регистрация (постановка на уч</w:t>
      </w:r>
      <w:r>
        <w:rPr>
          <w:snapToGrid w:val="0"/>
          <w:spacing w:val="-4"/>
          <w:sz w:val="24"/>
          <w:szCs w:val="24"/>
        </w:rPr>
        <w:t>ё</w:t>
      </w:r>
      <w:r w:rsidRPr="00C65836">
        <w:rPr>
          <w:snapToGrid w:val="0"/>
          <w:spacing w:val="-4"/>
          <w:sz w:val="24"/>
          <w:szCs w:val="24"/>
        </w:rPr>
        <w:t>т</w:t>
      </w:r>
      <w:r w:rsidRPr="00C65836">
        <w:rPr>
          <w:spacing w:val="-4"/>
          <w:sz w:val="24"/>
          <w:szCs w:val="24"/>
        </w:rPr>
        <w:t xml:space="preserve">) и </w:t>
      </w:r>
      <w:r>
        <w:rPr>
          <w:snapToGrid w:val="0"/>
          <w:sz w:val="24"/>
          <w:szCs w:val="24"/>
        </w:rPr>
        <w:t>запись в Реестр банков-</w:t>
      </w:r>
      <w:r w:rsidRPr="00C65836">
        <w:rPr>
          <w:snapToGrid w:val="0"/>
          <w:sz w:val="24"/>
          <w:szCs w:val="24"/>
        </w:rPr>
        <w:t>эмитентов и банков</w:t>
      </w:r>
      <w:r>
        <w:rPr>
          <w:snapToGrid w:val="0"/>
          <w:sz w:val="24"/>
          <w:szCs w:val="24"/>
        </w:rPr>
        <w:t>-</w:t>
      </w:r>
      <w:r w:rsidRPr="00C65836">
        <w:rPr>
          <w:snapToGrid w:val="0"/>
          <w:sz w:val="24"/>
          <w:szCs w:val="24"/>
        </w:rPr>
        <w:t>эквайеров</w:t>
      </w:r>
      <w:r>
        <w:rPr>
          <w:snapToGrid w:val="0"/>
          <w:sz w:val="24"/>
          <w:szCs w:val="24"/>
        </w:rPr>
        <w:t xml:space="preserve"> банковских карт</w:t>
      </w:r>
      <w:r w:rsidRPr="00C65836">
        <w:rPr>
          <w:snapToGrid w:val="0"/>
          <w:sz w:val="24"/>
          <w:szCs w:val="24"/>
        </w:rPr>
        <w:t>:</w:t>
      </w:r>
    </w:p>
    <w:p w:rsidR="00635258" w:rsidRPr="00C65836" w:rsidRDefault="00635258" w:rsidP="00131D2B">
      <w:pPr>
        <w:ind w:firstLine="425"/>
        <w:jc w:val="both"/>
        <w:rPr>
          <w:spacing w:val="-4"/>
          <w:sz w:val="24"/>
          <w:szCs w:val="24"/>
        </w:rPr>
      </w:pPr>
      <w:r w:rsidRPr="00C65836">
        <w:rPr>
          <w:spacing w:val="-4"/>
          <w:sz w:val="24"/>
          <w:szCs w:val="24"/>
        </w:rPr>
        <w:t>1) ЗАО «Агропромбанк» в качестве:</w:t>
      </w:r>
    </w:p>
    <w:p w:rsidR="00635258" w:rsidRPr="00C65836" w:rsidRDefault="00635258" w:rsidP="00131D2B">
      <w:pPr>
        <w:numPr>
          <w:ilvl w:val="0"/>
          <w:numId w:val="9"/>
        </w:numPr>
        <w:tabs>
          <w:tab w:val="clear" w:pos="1429"/>
          <w:tab w:val="num" w:pos="709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банка-эмитента и банка-эквайера банковских карт собственной платёжной системы «Радуга»;</w:t>
      </w:r>
    </w:p>
    <w:p w:rsidR="00635258" w:rsidRPr="00C65836" w:rsidRDefault="00635258" w:rsidP="00131D2B">
      <w:pPr>
        <w:numPr>
          <w:ilvl w:val="0"/>
          <w:numId w:val="9"/>
        </w:numPr>
        <w:tabs>
          <w:tab w:val="clear" w:pos="1429"/>
          <w:tab w:val="num" w:pos="720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банка-эмитента и банка-эквайера банковских карт международн</w:t>
      </w:r>
      <w:r>
        <w:rPr>
          <w:sz w:val="24"/>
          <w:szCs w:val="24"/>
        </w:rPr>
        <w:t>ых</w:t>
      </w:r>
      <w:r w:rsidRPr="00C65836">
        <w:rPr>
          <w:sz w:val="24"/>
          <w:szCs w:val="24"/>
        </w:rPr>
        <w:t xml:space="preserve"> плат</w:t>
      </w:r>
      <w:r>
        <w:rPr>
          <w:sz w:val="24"/>
          <w:szCs w:val="24"/>
        </w:rPr>
        <w:t>ёжных</w:t>
      </w:r>
      <w:r w:rsidRPr="00C65836">
        <w:rPr>
          <w:sz w:val="24"/>
          <w:szCs w:val="24"/>
        </w:rPr>
        <w:t xml:space="preserve"> систем «VISA»</w:t>
      </w:r>
      <w:r>
        <w:rPr>
          <w:sz w:val="24"/>
          <w:szCs w:val="24"/>
        </w:rPr>
        <w:t xml:space="preserve"> и </w:t>
      </w:r>
      <w:r w:rsidRPr="00C65836">
        <w:rPr>
          <w:sz w:val="24"/>
          <w:szCs w:val="24"/>
        </w:rPr>
        <w:t>«MasterCard»;</w:t>
      </w:r>
    </w:p>
    <w:p w:rsidR="00635258" w:rsidRPr="00C65836" w:rsidRDefault="00635258" w:rsidP="00131D2B">
      <w:pPr>
        <w:numPr>
          <w:ilvl w:val="0"/>
          <w:numId w:val="9"/>
        </w:numPr>
        <w:tabs>
          <w:tab w:val="clear" w:pos="1429"/>
          <w:tab w:val="num" w:pos="720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банка-эквайера банковских карт международной плат</w:t>
      </w:r>
      <w:r>
        <w:rPr>
          <w:sz w:val="24"/>
          <w:szCs w:val="24"/>
        </w:rPr>
        <w:t>ё</w:t>
      </w:r>
      <w:r w:rsidRPr="00C65836">
        <w:rPr>
          <w:sz w:val="24"/>
          <w:szCs w:val="24"/>
        </w:rPr>
        <w:t>жной системы Diners Club International.</w:t>
      </w:r>
    </w:p>
    <w:p w:rsidR="00635258" w:rsidRPr="00C65836" w:rsidRDefault="00635258" w:rsidP="00131D2B">
      <w:pPr>
        <w:tabs>
          <w:tab w:val="num" w:pos="786"/>
        </w:tabs>
        <w:autoSpaceDE w:val="0"/>
        <w:autoSpaceDN w:val="0"/>
        <w:adjustRightInd w:val="0"/>
        <w:ind w:left="425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2) ЗАО «Приднестровский Сбербанк» в качестве:</w:t>
      </w:r>
    </w:p>
    <w:p w:rsidR="00635258" w:rsidRPr="00C65836" w:rsidRDefault="00635258" w:rsidP="00131D2B">
      <w:pPr>
        <w:numPr>
          <w:ilvl w:val="0"/>
          <w:numId w:val="9"/>
        </w:numPr>
        <w:tabs>
          <w:tab w:val="clear" w:pos="1429"/>
          <w:tab w:val="num" w:pos="720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банка - эмитента и банка - эквайера банковских карт международн</w:t>
      </w:r>
      <w:r>
        <w:rPr>
          <w:sz w:val="24"/>
          <w:szCs w:val="24"/>
        </w:rPr>
        <w:t>ых</w:t>
      </w:r>
      <w:r w:rsidRPr="00C65836">
        <w:rPr>
          <w:sz w:val="24"/>
          <w:szCs w:val="24"/>
        </w:rPr>
        <w:t xml:space="preserve"> плат</w:t>
      </w:r>
      <w:r>
        <w:rPr>
          <w:sz w:val="24"/>
          <w:szCs w:val="24"/>
        </w:rPr>
        <w:t>ё</w:t>
      </w:r>
      <w:r w:rsidRPr="00C65836">
        <w:rPr>
          <w:sz w:val="24"/>
          <w:szCs w:val="24"/>
        </w:rPr>
        <w:t>жн</w:t>
      </w:r>
      <w:r>
        <w:rPr>
          <w:sz w:val="24"/>
          <w:szCs w:val="24"/>
        </w:rPr>
        <w:t>ых</w:t>
      </w:r>
      <w:r w:rsidRPr="00C65836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 xml:space="preserve"> </w:t>
      </w:r>
      <w:r w:rsidRPr="00C65836">
        <w:rPr>
          <w:sz w:val="24"/>
          <w:szCs w:val="24"/>
        </w:rPr>
        <w:t>«VISA»</w:t>
      </w:r>
      <w:r>
        <w:rPr>
          <w:sz w:val="24"/>
          <w:szCs w:val="24"/>
        </w:rPr>
        <w:t xml:space="preserve"> и </w:t>
      </w:r>
      <w:r w:rsidRPr="00C65836">
        <w:rPr>
          <w:sz w:val="24"/>
          <w:szCs w:val="24"/>
        </w:rPr>
        <w:t>«MasterCard»;</w:t>
      </w:r>
    </w:p>
    <w:p w:rsidR="00635258" w:rsidRPr="00C65836" w:rsidRDefault="00635258" w:rsidP="00131D2B">
      <w:pPr>
        <w:numPr>
          <w:ilvl w:val="0"/>
          <w:numId w:val="9"/>
        </w:numPr>
        <w:tabs>
          <w:tab w:val="clear" w:pos="1429"/>
          <w:tab w:val="num" w:pos="720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банка-эмитента и банка-эквайера банковских карт Национальной плат</w:t>
      </w:r>
      <w:r>
        <w:rPr>
          <w:sz w:val="24"/>
          <w:szCs w:val="24"/>
        </w:rPr>
        <w:t>ё</w:t>
      </w:r>
      <w:r w:rsidRPr="00C65836">
        <w:rPr>
          <w:sz w:val="24"/>
          <w:szCs w:val="24"/>
        </w:rPr>
        <w:t>жной системы.</w:t>
      </w:r>
    </w:p>
    <w:p w:rsidR="00635258" w:rsidRPr="00C65836" w:rsidRDefault="00635258" w:rsidP="00131D2B">
      <w:pPr>
        <w:tabs>
          <w:tab w:val="num" w:pos="786"/>
        </w:tabs>
        <w:autoSpaceDE w:val="0"/>
        <w:autoSpaceDN w:val="0"/>
        <w:adjustRightInd w:val="0"/>
        <w:ind w:left="425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3) ЗАО АКБ «Ипотечный» в качестве:</w:t>
      </w:r>
    </w:p>
    <w:p w:rsidR="00635258" w:rsidRPr="00C65836" w:rsidRDefault="00635258" w:rsidP="00131D2B">
      <w:pPr>
        <w:numPr>
          <w:ilvl w:val="0"/>
          <w:numId w:val="9"/>
        </w:numPr>
        <w:tabs>
          <w:tab w:val="clear" w:pos="1429"/>
          <w:tab w:val="num" w:pos="720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банка-эмитента и банка-эквайера банковских карт собственной плат</w:t>
      </w:r>
      <w:r>
        <w:rPr>
          <w:sz w:val="24"/>
          <w:szCs w:val="24"/>
        </w:rPr>
        <w:t>ё</w:t>
      </w:r>
      <w:r w:rsidRPr="00C65836">
        <w:rPr>
          <w:sz w:val="24"/>
          <w:szCs w:val="24"/>
        </w:rPr>
        <w:t>жной системы «Моя Карта»;</w:t>
      </w:r>
    </w:p>
    <w:p w:rsidR="00635258" w:rsidRPr="00C65836" w:rsidRDefault="00635258" w:rsidP="00131D2B">
      <w:pPr>
        <w:numPr>
          <w:ilvl w:val="0"/>
          <w:numId w:val="9"/>
        </w:numPr>
        <w:tabs>
          <w:tab w:val="clear" w:pos="1429"/>
          <w:tab w:val="num" w:pos="720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банка-эмитента и банка-эквайера банковских карт международн</w:t>
      </w:r>
      <w:r>
        <w:rPr>
          <w:sz w:val="24"/>
          <w:szCs w:val="24"/>
        </w:rPr>
        <w:t>ых</w:t>
      </w:r>
      <w:r w:rsidRPr="00C65836">
        <w:rPr>
          <w:sz w:val="24"/>
          <w:szCs w:val="24"/>
        </w:rPr>
        <w:t xml:space="preserve"> плат</w:t>
      </w:r>
      <w:r>
        <w:rPr>
          <w:sz w:val="24"/>
          <w:szCs w:val="24"/>
        </w:rPr>
        <w:t>ёжных</w:t>
      </w:r>
      <w:r w:rsidRPr="00C65836">
        <w:rPr>
          <w:sz w:val="24"/>
          <w:szCs w:val="24"/>
        </w:rPr>
        <w:t xml:space="preserve"> систем «VISA»</w:t>
      </w:r>
      <w:r>
        <w:rPr>
          <w:sz w:val="24"/>
          <w:szCs w:val="24"/>
        </w:rPr>
        <w:t xml:space="preserve"> и </w:t>
      </w:r>
      <w:r w:rsidRPr="00C65836">
        <w:rPr>
          <w:sz w:val="24"/>
          <w:szCs w:val="24"/>
        </w:rPr>
        <w:t>«MasterCard»;</w:t>
      </w:r>
    </w:p>
    <w:p w:rsidR="00635258" w:rsidRPr="00C65836" w:rsidRDefault="00635258" w:rsidP="00131D2B">
      <w:pPr>
        <w:numPr>
          <w:ilvl w:val="0"/>
          <w:numId w:val="9"/>
        </w:numPr>
        <w:tabs>
          <w:tab w:val="clear" w:pos="1429"/>
          <w:tab w:val="num" w:pos="720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банка - эквайера банковских карт плат</w:t>
      </w:r>
      <w:r>
        <w:rPr>
          <w:sz w:val="24"/>
          <w:szCs w:val="24"/>
        </w:rPr>
        <w:t>ё</w:t>
      </w:r>
      <w:r w:rsidRPr="00C65836">
        <w:rPr>
          <w:sz w:val="24"/>
          <w:szCs w:val="24"/>
        </w:rPr>
        <w:t>жной системы «Золотая Корона».</w:t>
      </w:r>
    </w:p>
    <w:p w:rsidR="00635258" w:rsidRPr="00C65836" w:rsidRDefault="00635258" w:rsidP="00131D2B">
      <w:pPr>
        <w:tabs>
          <w:tab w:val="num" w:pos="786"/>
        </w:tabs>
        <w:autoSpaceDE w:val="0"/>
        <w:autoSpaceDN w:val="0"/>
        <w:adjustRightInd w:val="0"/>
        <w:ind w:left="425"/>
        <w:jc w:val="both"/>
        <w:rPr>
          <w:sz w:val="24"/>
          <w:szCs w:val="24"/>
        </w:rPr>
      </w:pPr>
      <w:r w:rsidRPr="00C65836">
        <w:rPr>
          <w:sz w:val="24"/>
          <w:szCs w:val="24"/>
        </w:rPr>
        <w:t xml:space="preserve">4) ОАО «Эксимбанк» в качестве: </w:t>
      </w:r>
    </w:p>
    <w:p w:rsidR="00635258" w:rsidRPr="00C65836" w:rsidRDefault="00635258" w:rsidP="00131D2B">
      <w:pPr>
        <w:numPr>
          <w:ilvl w:val="0"/>
          <w:numId w:val="9"/>
        </w:numPr>
        <w:tabs>
          <w:tab w:val="clear" w:pos="1429"/>
          <w:tab w:val="num" w:pos="720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банка-эмитента и банка-эквайера банковских карт собственной плат</w:t>
      </w:r>
      <w:r>
        <w:rPr>
          <w:sz w:val="24"/>
          <w:szCs w:val="24"/>
        </w:rPr>
        <w:t>ё</w:t>
      </w:r>
      <w:r w:rsidRPr="00C65836">
        <w:rPr>
          <w:sz w:val="24"/>
          <w:szCs w:val="24"/>
        </w:rPr>
        <w:t>жной системы «ПАРТН</w:t>
      </w:r>
      <w:r>
        <w:rPr>
          <w:sz w:val="24"/>
          <w:szCs w:val="24"/>
        </w:rPr>
        <w:t>Ё</w:t>
      </w:r>
      <w:r w:rsidRPr="00C65836">
        <w:rPr>
          <w:sz w:val="24"/>
          <w:szCs w:val="24"/>
        </w:rPr>
        <w:t>Р»;</w:t>
      </w:r>
    </w:p>
    <w:p w:rsidR="00635258" w:rsidRPr="00C65836" w:rsidRDefault="00635258" w:rsidP="00131D2B">
      <w:pPr>
        <w:numPr>
          <w:ilvl w:val="0"/>
          <w:numId w:val="9"/>
        </w:numPr>
        <w:tabs>
          <w:tab w:val="clear" w:pos="1429"/>
          <w:tab w:val="num" w:pos="720"/>
          <w:tab w:val="num" w:pos="786"/>
        </w:tabs>
        <w:autoSpaceDE w:val="0"/>
        <w:autoSpaceDN w:val="0"/>
        <w:adjustRightInd w:val="0"/>
        <w:ind w:left="709" w:hanging="284"/>
        <w:jc w:val="both"/>
        <w:rPr>
          <w:sz w:val="24"/>
          <w:szCs w:val="24"/>
        </w:rPr>
      </w:pPr>
      <w:r w:rsidRPr="00C65836">
        <w:rPr>
          <w:sz w:val="24"/>
          <w:szCs w:val="24"/>
        </w:rPr>
        <w:t>банка-эмитента и банка-эквайера банковских карт Национальной плат</w:t>
      </w:r>
      <w:r>
        <w:rPr>
          <w:sz w:val="24"/>
          <w:szCs w:val="24"/>
        </w:rPr>
        <w:t>ё</w:t>
      </w:r>
      <w:r w:rsidRPr="00C65836">
        <w:rPr>
          <w:sz w:val="24"/>
          <w:szCs w:val="24"/>
        </w:rPr>
        <w:t>жной системы.</w:t>
      </w:r>
    </w:p>
    <w:p w:rsidR="00635258" w:rsidRDefault="00635258" w:rsidP="00F04A81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отчётном году </w:t>
      </w:r>
      <w:r w:rsidRPr="00C65836">
        <w:rPr>
          <w:sz w:val="24"/>
          <w:szCs w:val="24"/>
        </w:rPr>
        <w:t xml:space="preserve">в связи с вступлением в силу Указания ПРБ от 26 октября 2014 года </w:t>
      </w:r>
      <w:r>
        <w:rPr>
          <w:sz w:val="24"/>
          <w:szCs w:val="24"/>
        </w:rPr>
        <w:br/>
        <w:t>№</w:t>
      </w:r>
      <w:r w:rsidRPr="00C65836">
        <w:rPr>
          <w:sz w:val="24"/>
          <w:szCs w:val="24"/>
        </w:rPr>
        <w:t xml:space="preserve"> 816-У «О внесении изменений в Положение ПРБ</w:t>
      </w:r>
      <w:r>
        <w:rPr>
          <w:sz w:val="24"/>
          <w:szCs w:val="24"/>
        </w:rPr>
        <w:t xml:space="preserve"> </w:t>
      </w:r>
      <w:r w:rsidRPr="00C65836">
        <w:rPr>
          <w:sz w:val="24"/>
          <w:szCs w:val="24"/>
        </w:rPr>
        <w:t xml:space="preserve">от 9 ноября 2007 года </w:t>
      </w:r>
      <w:r>
        <w:rPr>
          <w:sz w:val="24"/>
          <w:szCs w:val="24"/>
        </w:rPr>
        <w:t>№</w:t>
      </w:r>
      <w:r w:rsidRPr="00C65836">
        <w:rPr>
          <w:sz w:val="24"/>
          <w:szCs w:val="24"/>
        </w:rPr>
        <w:t xml:space="preserve"> 83-П «О кредитных организациях, осуществляющих отдельные банковские операции» и Указания ПРБ от 26 октября 2014 года </w:t>
      </w:r>
      <w:r>
        <w:rPr>
          <w:sz w:val="24"/>
          <w:szCs w:val="24"/>
        </w:rPr>
        <w:t>№</w:t>
      </w:r>
      <w:r w:rsidRPr="00C65836">
        <w:rPr>
          <w:sz w:val="24"/>
          <w:szCs w:val="24"/>
        </w:rPr>
        <w:t xml:space="preserve"> 837-У «О внесении изменений в Положение ПРБ от 9 ноября 2007 года </w:t>
      </w:r>
      <w:r>
        <w:rPr>
          <w:sz w:val="24"/>
          <w:szCs w:val="24"/>
        </w:rPr>
        <w:t>№</w:t>
      </w:r>
      <w:r w:rsidRPr="00C65836">
        <w:rPr>
          <w:sz w:val="24"/>
          <w:szCs w:val="24"/>
        </w:rPr>
        <w:t xml:space="preserve"> 83-П «О кредитных организациях, осуществляющих отдельные банковские операции», согласно которым изменилось содержание банковских операций</w:t>
      </w:r>
      <w:r>
        <w:rPr>
          <w:sz w:val="24"/>
          <w:szCs w:val="24"/>
        </w:rPr>
        <w:t>,</w:t>
      </w:r>
      <w:r w:rsidRPr="00C65836">
        <w:rPr>
          <w:sz w:val="24"/>
          <w:szCs w:val="24"/>
        </w:rPr>
        <w:t xml:space="preserve"> </w:t>
      </w:r>
      <w:r>
        <w:rPr>
          <w:sz w:val="24"/>
          <w:szCs w:val="24"/>
        </w:rPr>
        <w:t>дважды была п</w:t>
      </w:r>
      <w:r w:rsidRPr="00C65836">
        <w:rPr>
          <w:sz w:val="24"/>
          <w:szCs w:val="24"/>
        </w:rPr>
        <w:t xml:space="preserve">ереоформлена лицензия </w:t>
      </w:r>
      <w:r>
        <w:rPr>
          <w:sz w:val="24"/>
          <w:szCs w:val="24"/>
        </w:rPr>
        <w:t>небанковской кредитной организации</w:t>
      </w:r>
      <w:r w:rsidRPr="00644E4D">
        <w:rPr>
          <w:sz w:val="24"/>
          <w:szCs w:val="24"/>
        </w:rPr>
        <w:t xml:space="preserve"> </w:t>
      </w:r>
      <w:r w:rsidRPr="00C65836">
        <w:rPr>
          <w:sz w:val="24"/>
          <w:szCs w:val="24"/>
        </w:rPr>
        <w:t>II категории</w:t>
      </w:r>
      <w:r>
        <w:rPr>
          <w:sz w:val="24"/>
          <w:szCs w:val="24"/>
        </w:rPr>
        <w:t>.</w:t>
      </w:r>
      <w:r w:rsidRPr="00C658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</w:t>
      </w:r>
      <w:r w:rsidRPr="00C65836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</w:t>
      </w:r>
      <w:r w:rsidRPr="00C65836">
        <w:rPr>
          <w:sz w:val="24"/>
          <w:szCs w:val="24"/>
        </w:rPr>
        <w:t xml:space="preserve">увеличением уставного капитала </w:t>
      </w:r>
      <w:r>
        <w:rPr>
          <w:sz w:val="24"/>
          <w:szCs w:val="24"/>
        </w:rPr>
        <w:t>одной небанковской кредитной организации</w:t>
      </w:r>
      <w:r w:rsidRPr="00C65836">
        <w:rPr>
          <w:sz w:val="24"/>
          <w:szCs w:val="24"/>
        </w:rPr>
        <w:t xml:space="preserve"> </w:t>
      </w:r>
      <w:r>
        <w:rPr>
          <w:sz w:val="24"/>
          <w:szCs w:val="24"/>
        </w:rPr>
        <w:t>была о</w:t>
      </w:r>
      <w:r w:rsidRPr="00C65836">
        <w:rPr>
          <w:sz w:val="24"/>
          <w:szCs w:val="24"/>
        </w:rPr>
        <w:t>существлена проверка полноты</w:t>
      </w:r>
      <w:r>
        <w:rPr>
          <w:sz w:val="24"/>
          <w:szCs w:val="24"/>
        </w:rPr>
        <w:t xml:space="preserve"> его</w:t>
      </w:r>
      <w:r w:rsidRPr="00C65836">
        <w:rPr>
          <w:sz w:val="24"/>
          <w:szCs w:val="24"/>
        </w:rPr>
        <w:t xml:space="preserve"> формирования и правомерности оплаты.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 w:rsidRPr="00852E36">
        <w:rPr>
          <w:sz w:val="24"/>
          <w:szCs w:val="24"/>
        </w:rPr>
        <w:t xml:space="preserve">В течение 2015 года </w:t>
      </w:r>
      <w:r>
        <w:rPr>
          <w:sz w:val="24"/>
          <w:szCs w:val="24"/>
        </w:rPr>
        <w:t>в</w:t>
      </w:r>
      <w:r w:rsidRPr="00F92504">
        <w:rPr>
          <w:sz w:val="24"/>
          <w:szCs w:val="24"/>
        </w:rPr>
        <w:t xml:space="preserve"> результате проведения камерального надзора (контроля)</w:t>
      </w:r>
      <w:r>
        <w:rPr>
          <w:sz w:val="24"/>
          <w:szCs w:val="24"/>
        </w:rPr>
        <w:t xml:space="preserve"> в сфере регистрации и лицензирования</w:t>
      </w:r>
      <w:r w:rsidRPr="00F92504">
        <w:rPr>
          <w:sz w:val="24"/>
          <w:szCs w:val="24"/>
        </w:rPr>
        <w:t xml:space="preserve"> были </w:t>
      </w:r>
      <w:r w:rsidRPr="00852E36">
        <w:rPr>
          <w:sz w:val="24"/>
          <w:szCs w:val="24"/>
        </w:rPr>
        <w:t xml:space="preserve">составлены и направлены кредитным </w:t>
      </w:r>
      <w:r w:rsidRPr="00644E4D">
        <w:rPr>
          <w:sz w:val="24"/>
          <w:szCs w:val="24"/>
        </w:rPr>
        <w:t xml:space="preserve">организациям </w:t>
      </w:r>
      <w:r>
        <w:rPr>
          <w:sz w:val="24"/>
          <w:szCs w:val="24"/>
        </w:rPr>
        <w:br/>
      </w:r>
      <w:r w:rsidRPr="00644E4D">
        <w:rPr>
          <w:sz w:val="24"/>
          <w:szCs w:val="24"/>
        </w:rPr>
        <w:t xml:space="preserve">11 актов по фактам нарушения действующего законодательства, в том числе </w:t>
      </w:r>
      <w:r>
        <w:rPr>
          <w:sz w:val="24"/>
          <w:szCs w:val="24"/>
        </w:rPr>
        <w:t>нормативно-правовых актов</w:t>
      </w:r>
      <w:r w:rsidRPr="00852E36">
        <w:rPr>
          <w:sz w:val="24"/>
          <w:szCs w:val="24"/>
        </w:rPr>
        <w:t xml:space="preserve"> Приднестровского республиканского банка. </w:t>
      </w:r>
    </w:p>
    <w:p w:rsidR="00635258" w:rsidRPr="001067DC" w:rsidRDefault="00635258" w:rsidP="00131D2B">
      <w:pPr>
        <w:ind w:left="702"/>
        <w:jc w:val="both"/>
        <w:rPr>
          <w:i/>
          <w:iCs/>
          <w:sz w:val="24"/>
          <w:szCs w:val="24"/>
        </w:rPr>
      </w:pPr>
    </w:p>
    <w:p w:rsidR="00635258" w:rsidRPr="00852E36" w:rsidRDefault="00635258" w:rsidP="00131D2B">
      <w:pPr>
        <w:ind w:left="14" w:firstLine="425"/>
        <w:jc w:val="both"/>
        <w:rPr>
          <w:i/>
          <w:iCs/>
          <w:sz w:val="24"/>
          <w:szCs w:val="24"/>
        </w:rPr>
      </w:pPr>
      <w:r w:rsidRPr="00852E36">
        <w:rPr>
          <w:i/>
          <w:iCs/>
          <w:sz w:val="24"/>
          <w:szCs w:val="24"/>
        </w:rPr>
        <w:t>Дистанционный надзор</w:t>
      </w:r>
    </w:p>
    <w:p w:rsidR="00635258" w:rsidRPr="00854B65" w:rsidRDefault="00635258" w:rsidP="00D0595D">
      <w:pPr>
        <w:spacing w:before="120"/>
        <w:ind w:firstLine="425"/>
        <w:jc w:val="both"/>
        <w:rPr>
          <w:sz w:val="24"/>
          <w:szCs w:val="24"/>
        </w:rPr>
      </w:pPr>
      <w:r w:rsidRPr="008B5F40">
        <w:rPr>
          <w:rFonts w:eastAsia="Times-Roman"/>
          <w:sz w:val="24"/>
          <w:szCs w:val="24"/>
        </w:rPr>
        <w:t xml:space="preserve">Одним из методов надзорной деятельности является </w:t>
      </w:r>
      <w:r w:rsidRPr="008B5F40">
        <w:rPr>
          <w:rFonts w:eastAsia="Times-BoldItalic"/>
          <w:sz w:val="24"/>
          <w:szCs w:val="24"/>
        </w:rPr>
        <w:t xml:space="preserve">дистанционный (документарный) надзор, </w:t>
      </w:r>
      <w:r w:rsidRPr="008B5F40">
        <w:rPr>
          <w:rFonts w:eastAsia="Times-Roman"/>
          <w:sz w:val="24"/>
          <w:szCs w:val="24"/>
        </w:rPr>
        <w:t>основанный на проверке форм отчётности, предоставляемых кредитными организациями на постоянной основе в центральный банк.</w:t>
      </w:r>
      <w:r w:rsidRPr="008B5F40">
        <w:rPr>
          <w:sz w:val="24"/>
          <w:szCs w:val="24"/>
        </w:rPr>
        <w:t xml:space="preserve"> </w:t>
      </w:r>
      <w:r w:rsidRPr="008B5F40">
        <w:rPr>
          <w:rFonts w:eastAsia="Times-Roman"/>
          <w:sz w:val="24"/>
          <w:szCs w:val="24"/>
        </w:rPr>
        <w:t xml:space="preserve">В ходе его осуществления проводится </w:t>
      </w:r>
      <w:r w:rsidRPr="008B5F40">
        <w:rPr>
          <w:sz w:val="24"/>
          <w:szCs w:val="24"/>
        </w:rPr>
        <w:t xml:space="preserve">мониторинг уровня рисков, принятых в конкретном банке, а также соблюдения банком пруденциальных норм деятельности; </w:t>
      </w:r>
      <w:r w:rsidRPr="008B5F40">
        <w:rPr>
          <w:rFonts w:eastAsia="Times-Roman"/>
          <w:sz w:val="24"/>
          <w:szCs w:val="24"/>
        </w:rPr>
        <w:t xml:space="preserve">выявляется адекватность проводимой кредитными организациями политики внешним и внутренним условиям функционирования. </w:t>
      </w:r>
      <w:r w:rsidRPr="008B5F40">
        <w:rPr>
          <w:sz w:val="24"/>
          <w:szCs w:val="24"/>
        </w:rPr>
        <w:t xml:space="preserve">В зависимости от их качества и выполнения определялись меры надзорного реагирования, в </w:t>
      </w:r>
      <w:r w:rsidRPr="00854B65">
        <w:rPr>
          <w:sz w:val="24"/>
          <w:szCs w:val="24"/>
        </w:rPr>
        <w:t>том числе в необходимых случаях принудительные. Несмотря на некоторое ослабление в отчётном году центральным банком регулятивных требований в отношении деятельности банковского сектора с целью поддержки как кредитных организаций, так и их клиентов, надзорные функции реализуются на постоянной основе, эффективно и на должном уровне.</w:t>
      </w:r>
    </w:p>
    <w:p w:rsidR="00635258" w:rsidRPr="00854B65" w:rsidRDefault="00635258" w:rsidP="00BF2587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 xml:space="preserve">В течение 2015 года в деятельности кредитных организаций имели место нарушения действующего законодательства Приднестровской Молдавской Республики, в том числе нормативных актов Приднестровского республиканского банка. Были отмечены нарушения по некачественной оценке активов и неадекватному формированию фонда риска. Большей частью это являлось следствием несовпадения потребностей заёмщиков в финансировании и способности банковского сектора предоставить соответствующий объём ресурсов. </w:t>
      </w:r>
    </w:p>
    <w:p w:rsidR="00635258" w:rsidRPr="00854B65" w:rsidRDefault="00635258" w:rsidP="00BF2587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 xml:space="preserve">По фактам выявленных нарушений банкам были направлены акты и предписания с требованиями устранить данные нарушения в указанный срок. </w:t>
      </w:r>
    </w:p>
    <w:p w:rsidR="00635258" w:rsidRPr="00852E36" w:rsidRDefault="00635258" w:rsidP="00131D2B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>Кроме того, в отчётном периоде банкам и небанковским кредитным организациям было</w:t>
      </w:r>
      <w:r w:rsidRPr="00852E36">
        <w:rPr>
          <w:sz w:val="24"/>
          <w:szCs w:val="24"/>
        </w:rPr>
        <w:t xml:space="preserve"> направлено 138 писем разъяснительного и информационного характера, 45 писем направлено в исполнительные и законодательные органы.</w:t>
      </w:r>
    </w:p>
    <w:p w:rsidR="00635258" w:rsidRPr="00852E36" w:rsidRDefault="00635258" w:rsidP="00131D2B">
      <w:pPr>
        <w:ind w:firstLine="425"/>
        <w:jc w:val="both"/>
        <w:rPr>
          <w:b/>
          <w:bCs/>
          <w:color w:val="000000"/>
          <w:sz w:val="24"/>
          <w:szCs w:val="24"/>
        </w:rPr>
      </w:pPr>
      <w:r w:rsidRPr="00852E36">
        <w:rPr>
          <w:sz w:val="24"/>
          <w:szCs w:val="24"/>
        </w:rPr>
        <w:t xml:space="preserve">В ходе осуществления дистанционного надзора была выявлена необходимость внесения дополнений и изменений в нормативные акты Приднестровского республиканского банка, направленных на совершенствование регулирования банковской деятельности. </w:t>
      </w:r>
    </w:p>
    <w:p w:rsidR="00635258" w:rsidRDefault="00635258" w:rsidP="00131D2B">
      <w:pPr>
        <w:ind w:left="425"/>
        <w:jc w:val="both"/>
        <w:rPr>
          <w:i/>
          <w:iCs/>
          <w:sz w:val="24"/>
          <w:szCs w:val="24"/>
        </w:rPr>
      </w:pPr>
    </w:p>
    <w:p w:rsidR="00635258" w:rsidRDefault="00635258" w:rsidP="00131D2B">
      <w:pPr>
        <w:ind w:left="425"/>
        <w:jc w:val="both"/>
        <w:rPr>
          <w:i/>
          <w:iCs/>
          <w:sz w:val="24"/>
          <w:szCs w:val="24"/>
        </w:rPr>
      </w:pPr>
      <w:r w:rsidRPr="00852E36">
        <w:rPr>
          <w:i/>
          <w:iCs/>
          <w:sz w:val="24"/>
          <w:szCs w:val="24"/>
        </w:rPr>
        <w:t>Банковское регулирование</w:t>
      </w:r>
    </w:p>
    <w:p w:rsidR="00635258" w:rsidRPr="00852E36" w:rsidRDefault="00635258" w:rsidP="00131D2B">
      <w:pPr>
        <w:spacing w:before="120"/>
        <w:ind w:firstLine="425"/>
        <w:jc w:val="both"/>
        <w:rPr>
          <w:sz w:val="24"/>
          <w:szCs w:val="24"/>
        </w:rPr>
      </w:pPr>
      <w:r w:rsidRPr="00852E36">
        <w:rPr>
          <w:sz w:val="24"/>
          <w:szCs w:val="24"/>
        </w:rPr>
        <w:t xml:space="preserve">В 2015 году </w:t>
      </w:r>
      <w:r>
        <w:rPr>
          <w:sz w:val="24"/>
          <w:szCs w:val="24"/>
        </w:rPr>
        <w:t xml:space="preserve">в рамках </w:t>
      </w:r>
      <w:r w:rsidRPr="00852E36">
        <w:rPr>
          <w:sz w:val="24"/>
          <w:szCs w:val="24"/>
        </w:rPr>
        <w:t>повышени</w:t>
      </w:r>
      <w:r>
        <w:rPr>
          <w:sz w:val="24"/>
          <w:szCs w:val="24"/>
        </w:rPr>
        <w:t>я</w:t>
      </w:r>
      <w:r w:rsidRPr="00852E36">
        <w:rPr>
          <w:sz w:val="24"/>
          <w:szCs w:val="24"/>
        </w:rPr>
        <w:t xml:space="preserve"> финансовой устойчивости кредитных организаций и </w:t>
      </w:r>
      <w:r>
        <w:rPr>
          <w:sz w:val="24"/>
          <w:szCs w:val="24"/>
        </w:rPr>
        <w:t>реализации</w:t>
      </w:r>
      <w:r w:rsidRPr="00852E36">
        <w:rPr>
          <w:sz w:val="24"/>
          <w:szCs w:val="24"/>
        </w:rPr>
        <w:t xml:space="preserve"> предусмотренных законодательством целей развития и поддержания стабильности банковского сектора ПМР, защиты интересов кредиторов и вкладчиков</w:t>
      </w:r>
      <w:r>
        <w:rPr>
          <w:sz w:val="24"/>
          <w:szCs w:val="24"/>
        </w:rPr>
        <w:t xml:space="preserve"> была</w:t>
      </w:r>
      <w:r w:rsidRPr="00852E36">
        <w:rPr>
          <w:sz w:val="24"/>
          <w:szCs w:val="24"/>
        </w:rPr>
        <w:t xml:space="preserve"> продолж</w:t>
      </w:r>
      <w:r>
        <w:rPr>
          <w:sz w:val="24"/>
          <w:szCs w:val="24"/>
        </w:rPr>
        <w:t xml:space="preserve">ена </w:t>
      </w:r>
      <w:r w:rsidRPr="00852E36">
        <w:rPr>
          <w:sz w:val="24"/>
          <w:szCs w:val="24"/>
        </w:rPr>
        <w:t>работ</w:t>
      </w:r>
      <w:r>
        <w:rPr>
          <w:sz w:val="24"/>
          <w:szCs w:val="24"/>
        </w:rPr>
        <w:t>а</w:t>
      </w:r>
      <w:r w:rsidRPr="00852E36">
        <w:rPr>
          <w:sz w:val="24"/>
          <w:szCs w:val="24"/>
        </w:rPr>
        <w:t xml:space="preserve"> по совершенство</w:t>
      </w:r>
      <w:r>
        <w:rPr>
          <w:sz w:val="24"/>
          <w:szCs w:val="24"/>
        </w:rPr>
        <w:t>ванию банковского регулирования</w:t>
      </w:r>
      <w:r w:rsidRPr="00852E36">
        <w:rPr>
          <w:sz w:val="24"/>
          <w:szCs w:val="24"/>
        </w:rPr>
        <w:t>.</w:t>
      </w:r>
    </w:p>
    <w:p w:rsidR="00635258" w:rsidRPr="00852E36" w:rsidRDefault="00635258" w:rsidP="00131D2B">
      <w:pPr>
        <w:ind w:firstLine="425"/>
        <w:jc w:val="both"/>
        <w:rPr>
          <w:sz w:val="24"/>
          <w:szCs w:val="24"/>
        </w:rPr>
      </w:pPr>
      <w:r w:rsidRPr="00852E36">
        <w:rPr>
          <w:sz w:val="24"/>
          <w:szCs w:val="24"/>
        </w:rPr>
        <w:t xml:space="preserve">Основным инструментом выполнения задач в сфере банковского регулирования, как и в прежние годы, являлся риск-ориентированный надзор. Так, в течение 2015 года в нормативные акты центрального банка, регулирующие банковские риски, исходя из опыта их практического применения, был внесён ряд изменений и дополнений. Кроме того, </w:t>
      </w:r>
      <w:r>
        <w:rPr>
          <w:sz w:val="24"/>
          <w:szCs w:val="24"/>
        </w:rPr>
        <w:t xml:space="preserve">соответствующие </w:t>
      </w:r>
      <w:r w:rsidRPr="00852E36">
        <w:rPr>
          <w:sz w:val="24"/>
          <w:szCs w:val="24"/>
        </w:rPr>
        <w:t xml:space="preserve">изменения и дополнения </w:t>
      </w:r>
      <w:r>
        <w:rPr>
          <w:sz w:val="24"/>
          <w:szCs w:val="24"/>
        </w:rPr>
        <w:t>были внесены</w:t>
      </w:r>
      <w:r w:rsidRPr="00852E36">
        <w:rPr>
          <w:sz w:val="24"/>
          <w:szCs w:val="24"/>
        </w:rPr>
        <w:t xml:space="preserve"> в связи с вступлением в силу с </w:t>
      </w:r>
      <w:r>
        <w:rPr>
          <w:sz w:val="24"/>
          <w:szCs w:val="24"/>
        </w:rPr>
        <w:br/>
      </w:r>
      <w:r w:rsidRPr="00852E36">
        <w:rPr>
          <w:sz w:val="24"/>
          <w:szCs w:val="24"/>
        </w:rPr>
        <w:t xml:space="preserve">1 января 2016 года Положения Приднестровского республиканского банка от 21 января </w:t>
      </w:r>
      <w:r>
        <w:rPr>
          <w:sz w:val="24"/>
          <w:szCs w:val="24"/>
        </w:rPr>
        <w:br/>
      </w:r>
      <w:r w:rsidRPr="00852E36">
        <w:rPr>
          <w:sz w:val="24"/>
          <w:szCs w:val="24"/>
        </w:rPr>
        <w:t>2015 года № 118-П «О</w:t>
      </w:r>
      <w:r>
        <w:rPr>
          <w:sz w:val="24"/>
          <w:szCs w:val="24"/>
        </w:rPr>
        <w:t xml:space="preserve"> плане счетов бухгалтерского учё</w:t>
      </w:r>
      <w:r w:rsidRPr="00852E36">
        <w:rPr>
          <w:sz w:val="24"/>
          <w:szCs w:val="24"/>
        </w:rPr>
        <w:t>та в кредитных организациях, расположенных на территории ПМР».</w:t>
      </w:r>
    </w:p>
    <w:p w:rsidR="00635258" w:rsidRPr="00852E36" w:rsidRDefault="00635258" w:rsidP="00131D2B">
      <w:pPr>
        <w:ind w:firstLine="425"/>
        <w:jc w:val="both"/>
        <w:rPr>
          <w:sz w:val="24"/>
          <w:szCs w:val="24"/>
        </w:rPr>
      </w:pPr>
      <w:r w:rsidRPr="00852E36">
        <w:rPr>
          <w:sz w:val="24"/>
          <w:szCs w:val="24"/>
        </w:rPr>
        <w:t>В целях выявления проблем в деятельности кредитных организаций на ранних стадиях их возникновения, а также исходя из приоритета экономического содержания над юридической формой оценки активов, Приднестровский республиканский банк продолжил реализацию риск - ориентированных подходов к осуществл</w:t>
      </w:r>
      <w:r>
        <w:rPr>
          <w:sz w:val="24"/>
          <w:szCs w:val="24"/>
        </w:rPr>
        <w:t>ению банковского надзора. В отчё</w:t>
      </w:r>
      <w:r w:rsidRPr="00852E36">
        <w:rPr>
          <w:sz w:val="24"/>
          <w:szCs w:val="24"/>
        </w:rPr>
        <w:t xml:space="preserve">тном году работа была нацелена на повышение оперативности реагирования </w:t>
      </w:r>
      <w:r>
        <w:rPr>
          <w:sz w:val="24"/>
          <w:szCs w:val="24"/>
        </w:rPr>
        <w:t xml:space="preserve">в случае </w:t>
      </w:r>
      <w:r w:rsidRPr="00852E36">
        <w:rPr>
          <w:sz w:val="24"/>
          <w:szCs w:val="24"/>
        </w:rPr>
        <w:t>негативно</w:t>
      </w:r>
      <w:r>
        <w:rPr>
          <w:sz w:val="24"/>
          <w:szCs w:val="24"/>
        </w:rPr>
        <w:t>го</w:t>
      </w:r>
      <w:r w:rsidRPr="00852E36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852E36">
        <w:rPr>
          <w:sz w:val="24"/>
          <w:szCs w:val="24"/>
        </w:rPr>
        <w:t xml:space="preserve"> ситуации в отдельных </w:t>
      </w:r>
      <w:r w:rsidRPr="00E03BBB">
        <w:rPr>
          <w:sz w:val="24"/>
          <w:szCs w:val="24"/>
        </w:rPr>
        <w:t xml:space="preserve">банках. </w:t>
      </w:r>
    </w:p>
    <w:p w:rsidR="00635258" w:rsidRPr="00852E36" w:rsidRDefault="00635258" w:rsidP="00131D2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2015 году</w:t>
      </w:r>
      <w:r w:rsidRPr="00852E36">
        <w:rPr>
          <w:sz w:val="24"/>
          <w:szCs w:val="24"/>
        </w:rPr>
        <w:t xml:space="preserve"> продолжалось совершенствование отч</w:t>
      </w:r>
      <w:r>
        <w:rPr>
          <w:sz w:val="24"/>
          <w:szCs w:val="24"/>
        </w:rPr>
        <w:t>ё</w:t>
      </w:r>
      <w:r w:rsidRPr="00852E36">
        <w:rPr>
          <w:sz w:val="24"/>
          <w:szCs w:val="24"/>
        </w:rPr>
        <w:t xml:space="preserve">тности кредитных организаций в целях получения всей полноты информации о характере и размерах принимаемых рисков и процедурах управления ими, позволяющей осуществлять постоянный мониторинг основных рисков. </w:t>
      </w:r>
      <w:r w:rsidRPr="00E03BBB">
        <w:rPr>
          <w:sz w:val="24"/>
          <w:szCs w:val="24"/>
        </w:rPr>
        <w:t>Наиболее существенными в деятельности банков являются кредитный риск и низкий уровень капитализации.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</w:p>
    <w:p w:rsidR="00635258" w:rsidRDefault="00635258" w:rsidP="00131D2B">
      <w:pPr>
        <w:ind w:left="425"/>
        <w:jc w:val="both"/>
        <w:rPr>
          <w:i/>
          <w:iCs/>
          <w:sz w:val="24"/>
          <w:szCs w:val="24"/>
        </w:rPr>
      </w:pPr>
      <w:r w:rsidRPr="004F283B">
        <w:rPr>
          <w:i/>
          <w:iCs/>
          <w:sz w:val="24"/>
          <w:szCs w:val="24"/>
        </w:rPr>
        <w:t>Инспектирование кредитных организаций</w:t>
      </w:r>
    </w:p>
    <w:p w:rsidR="00635258" w:rsidRPr="00653A33" w:rsidRDefault="00635258" w:rsidP="00131D2B">
      <w:pPr>
        <w:spacing w:before="120"/>
        <w:ind w:firstLine="425"/>
        <w:jc w:val="both"/>
        <w:rPr>
          <w:sz w:val="24"/>
          <w:szCs w:val="24"/>
        </w:rPr>
      </w:pPr>
      <w:r w:rsidRPr="006F3BAF">
        <w:rPr>
          <w:sz w:val="24"/>
          <w:szCs w:val="24"/>
        </w:rPr>
        <w:t>И</w:t>
      </w:r>
      <w:r w:rsidRPr="006F3BAF">
        <w:rPr>
          <w:rFonts w:eastAsia="Times-Roman"/>
          <w:sz w:val="24"/>
          <w:szCs w:val="24"/>
        </w:rPr>
        <w:t xml:space="preserve">нспекционная деятельность центрального банка ориентирована на получение объективной информации о финансовом состоянии кредитных организаций, определение профиля рисков и основных зон их концентрации, проверку соблюдения кредитными организациями требований действующего законодательства ПМР, в том числе нормативных актов </w:t>
      </w:r>
      <w:r w:rsidRPr="00852E36">
        <w:rPr>
          <w:sz w:val="24"/>
          <w:szCs w:val="24"/>
        </w:rPr>
        <w:t>Приднестровского республиканского банка</w:t>
      </w:r>
      <w:r w:rsidRPr="006F3BAF">
        <w:rPr>
          <w:rFonts w:eastAsia="Times-Roman"/>
          <w:sz w:val="24"/>
          <w:szCs w:val="24"/>
        </w:rPr>
        <w:t>, а также на выявление операций, направленных на сокрытие реального качества активов.</w:t>
      </w:r>
      <w:r w:rsidRPr="00653A33">
        <w:rPr>
          <w:rFonts w:eastAsia="Times-Roman"/>
          <w:sz w:val="24"/>
          <w:szCs w:val="24"/>
        </w:rPr>
        <w:t xml:space="preserve"> </w:t>
      </w:r>
    </w:p>
    <w:p w:rsidR="00635258" w:rsidRPr="00020ACA" w:rsidRDefault="00635258" w:rsidP="00131D2B">
      <w:pPr>
        <w:pStyle w:val="Closing"/>
        <w:spacing w:line="240" w:lineRule="auto"/>
        <w:ind w:left="0" w:right="-1" w:firstLine="425"/>
        <w:jc w:val="both"/>
        <w:rPr>
          <w:rFonts w:eastAsia="Times-Roman"/>
          <w:sz w:val="24"/>
          <w:szCs w:val="24"/>
        </w:rPr>
      </w:pPr>
      <w:r w:rsidRPr="00020ACA">
        <w:rPr>
          <w:rFonts w:eastAsia="Times-Roman"/>
          <w:sz w:val="24"/>
          <w:szCs w:val="24"/>
        </w:rPr>
        <w:t>Инспектирование как составная часть банковского надзора обеспечива</w:t>
      </w:r>
      <w:r>
        <w:rPr>
          <w:rFonts w:eastAsia="Times-Roman"/>
          <w:sz w:val="24"/>
          <w:szCs w:val="24"/>
        </w:rPr>
        <w:t>ет</w:t>
      </w:r>
      <w:r w:rsidRPr="00020ACA">
        <w:rPr>
          <w:rFonts w:eastAsia="Times-Roman"/>
          <w:sz w:val="24"/>
          <w:szCs w:val="24"/>
        </w:rPr>
        <w:t xml:space="preserve"> независимую проверку адекватности корпоративного управления в банках и достоверност</w:t>
      </w:r>
      <w:r>
        <w:rPr>
          <w:rFonts w:eastAsia="Times-Roman"/>
          <w:sz w:val="24"/>
          <w:szCs w:val="24"/>
        </w:rPr>
        <w:t>ь</w:t>
      </w:r>
      <w:r w:rsidRPr="00020ACA">
        <w:rPr>
          <w:rFonts w:eastAsia="Times-Roman"/>
          <w:sz w:val="24"/>
          <w:szCs w:val="24"/>
        </w:rPr>
        <w:t xml:space="preserve"> представленной ими отч</w:t>
      </w:r>
      <w:r>
        <w:rPr>
          <w:rFonts w:eastAsia="Times-Roman"/>
          <w:sz w:val="24"/>
          <w:szCs w:val="24"/>
        </w:rPr>
        <w:t>ё</w:t>
      </w:r>
      <w:r w:rsidRPr="00020ACA">
        <w:rPr>
          <w:rFonts w:eastAsia="Times-Roman"/>
          <w:sz w:val="24"/>
          <w:szCs w:val="24"/>
        </w:rPr>
        <w:t xml:space="preserve">тности. </w:t>
      </w:r>
    </w:p>
    <w:p w:rsidR="00635258" w:rsidRPr="00020ACA" w:rsidRDefault="00635258" w:rsidP="00131D2B">
      <w:pPr>
        <w:pStyle w:val="Closing"/>
        <w:spacing w:line="240" w:lineRule="auto"/>
        <w:ind w:left="0" w:right="0" w:firstLine="425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</w:t>
      </w:r>
      <w:r w:rsidRPr="00020ACA">
        <w:rPr>
          <w:rFonts w:eastAsia="Times-Roman"/>
          <w:sz w:val="24"/>
          <w:szCs w:val="24"/>
        </w:rPr>
        <w:t xml:space="preserve"> первом квартале 2015 года</w:t>
      </w:r>
      <w:r>
        <w:rPr>
          <w:rFonts w:eastAsia="Times-Roman"/>
          <w:sz w:val="24"/>
          <w:szCs w:val="24"/>
        </w:rPr>
        <w:t xml:space="preserve"> проверки деятельности кредитных организаций осуществлялись исключительно на внеплановой основе. Всего было реализовано </w:t>
      </w:r>
      <w:r>
        <w:rPr>
          <w:rFonts w:eastAsia="Times-Roman"/>
          <w:sz w:val="24"/>
          <w:szCs w:val="24"/>
        </w:rPr>
        <w:br/>
        <w:t>33 проверки, в том числе</w:t>
      </w:r>
      <w:r w:rsidRPr="00020ACA">
        <w:rPr>
          <w:rFonts w:eastAsia="Times-Roman"/>
          <w:sz w:val="24"/>
          <w:szCs w:val="24"/>
        </w:rPr>
        <w:t>:</w:t>
      </w:r>
    </w:p>
    <w:p w:rsidR="00635258" w:rsidRPr="00020ACA" w:rsidRDefault="00635258" w:rsidP="00131D2B">
      <w:pPr>
        <w:numPr>
          <w:ilvl w:val="0"/>
          <w:numId w:val="26"/>
        </w:numPr>
        <w:tabs>
          <w:tab w:val="clear" w:pos="1429"/>
          <w:tab w:val="num" w:pos="600"/>
          <w:tab w:val="num" w:pos="709"/>
        </w:tabs>
        <w:autoSpaceDE w:val="0"/>
        <w:autoSpaceDN w:val="0"/>
        <w:adjustRightInd w:val="0"/>
        <w:ind w:left="616" w:hanging="190"/>
        <w:jc w:val="both"/>
        <w:rPr>
          <w:rFonts w:eastAsia="Times-Roman"/>
          <w:sz w:val="24"/>
          <w:szCs w:val="24"/>
        </w:rPr>
      </w:pPr>
      <w:r w:rsidRPr="00020ACA">
        <w:rPr>
          <w:rFonts w:eastAsia="Times-Roman"/>
          <w:sz w:val="24"/>
          <w:szCs w:val="24"/>
        </w:rPr>
        <w:t>2 комплексные;</w:t>
      </w:r>
    </w:p>
    <w:p w:rsidR="00635258" w:rsidRPr="00020ACA" w:rsidRDefault="00635258" w:rsidP="00131D2B">
      <w:pPr>
        <w:numPr>
          <w:ilvl w:val="0"/>
          <w:numId w:val="26"/>
        </w:numPr>
        <w:tabs>
          <w:tab w:val="clear" w:pos="1429"/>
          <w:tab w:val="num" w:pos="600"/>
          <w:tab w:val="num" w:pos="709"/>
        </w:tabs>
        <w:autoSpaceDE w:val="0"/>
        <w:autoSpaceDN w:val="0"/>
        <w:adjustRightInd w:val="0"/>
        <w:ind w:left="616" w:hanging="190"/>
        <w:jc w:val="both"/>
        <w:rPr>
          <w:rFonts w:eastAsia="Times-Roman"/>
          <w:sz w:val="24"/>
          <w:szCs w:val="24"/>
        </w:rPr>
      </w:pPr>
      <w:r w:rsidRPr="00020ACA">
        <w:rPr>
          <w:rFonts w:eastAsia="Times-Roman"/>
          <w:sz w:val="24"/>
          <w:szCs w:val="24"/>
        </w:rPr>
        <w:t xml:space="preserve">2 ревизионные </w:t>
      </w:r>
      <w:r>
        <w:rPr>
          <w:rFonts w:eastAsia="Times-Roman"/>
          <w:sz w:val="24"/>
          <w:szCs w:val="24"/>
        </w:rPr>
        <w:t>(</w:t>
      </w:r>
      <w:r w:rsidRPr="00020ACA">
        <w:rPr>
          <w:rFonts w:eastAsia="Times-Roman"/>
          <w:sz w:val="24"/>
          <w:szCs w:val="24"/>
        </w:rPr>
        <w:t>финансово-хозяйственной деятельности банков</w:t>
      </w:r>
      <w:r>
        <w:rPr>
          <w:rFonts w:eastAsia="Times-Roman"/>
          <w:sz w:val="24"/>
          <w:szCs w:val="24"/>
        </w:rPr>
        <w:t>)</w:t>
      </w:r>
      <w:r w:rsidRPr="00020ACA">
        <w:rPr>
          <w:rFonts w:eastAsia="Times-Roman"/>
          <w:sz w:val="24"/>
          <w:szCs w:val="24"/>
        </w:rPr>
        <w:t>;</w:t>
      </w:r>
    </w:p>
    <w:p w:rsidR="00635258" w:rsidRPr="00020ACA" w:rsidRDefault="00635258" w:rsidP="00131D2B">
      <w:pPr>
        <w:numPr>
          <w:ilvl w:val="0"/>
          <w:numId w:val="26"/>
        </w:numPr>
        <w:tabs>
          <w:tab w:val="clear" w:pos="1429"/>
          <w:tab w:val="num" w:pos="600"/>
          <w:tab w:val="num" w:pos="709"/>
        </w:tabs>
        <w:autoSpaceDE w:val="0"/>
        <w:autoSpaceDN w:val="0"/>
        <w:adjustRightInd w:val="0"/>
        <w:ind w:left="616" w:hanging="190"/>
        <w:jc w:val="both"/>
        <w:rPr>
          <w:rFonts w:eastAsia="Times-Roman"/>
          <w:sz w:val="24"/>
          <w:szCs w:val="24"/>
        </w:rPr>
      </w:pPr>
      <w:r w:rsidRPr="00020ACA">
        <w:rPr>
          <w:rFonts w:eastAsia="Times-Roman"/>
          <w:sz w:val="24"/>
          <w:szCs w:val="24"/>
        </w:rPr>
        <w:t>23 проверки деятельности обменных пунктов всех кредитных организаций;</w:t>
      </w:r>
    </w:p>
    <w:p w:rsidR="00635258" w:rsidRPr="00020ACA" w:rsidRDefault="00635258" w:rsidP="00131D2B">
      <w:pPr>
        <w:numPr>
          <w:ilvl w:val="0"/>
          <w:numId w:val="26"/>
        </w:numPr>
        <w:tabs>
          <w:tab w:val="clear" w:pos="1429"/>
          <w:tab w:val="num" w:pos="600"/>
          <w:tab w:val="num" w:pos="709"/>
        </w:tabs>
        <w:autoSpaceDE w:val="0"/>
        <w:autoSpaceDN w:val="0"/>
        <w:adjustRightInd w:val="0"/>
        <w:ind w:left="616" w:hanging="190"/>
        <w:jc w:val="both"/>
        <w:rPr>
          <w:rFonts w:eastAsia="Times-Roman"/>
          <w:sz w:val="24"/>
          <w:szCs w:val="24"/>
        </w:rPr>
      </w:pPr>
      <w:r w:rsidRPr="00020ACA">
        <w:rPr>
          <w:rFonts w:eastAsia="Times-Roman"/>
          <w:sz w:val="24"/>
          <w:szCs w:val="24"/>
        </w:rPr>
        <w:t>6 проверок исполнения банками требований провед</w:t>
      </w:r>
      <w:r>
        <w:rPr>
          <w:rFonts w:eastAsia="Times-Roman"/>
          <w:sz w:val="24"/>
          <w:szCs w:val="24"/>
        </w:rPr>
        <w:t>ё</w:t>
      </w:r>
      <w:r w:rsidRPr="00020ACA">
        <w:rPr>
          <w:rFonts w:eastAsia="Times-Roman"/>
          <w:sz w:val="24"/>
          <w:szCs w:val="24"/>
        </w:rPr>
        <w:t xml:space="preserve">нных мероприятий по </w:t>
      </w:r>
      <w:r>
        <w:rPr>
          <w:rFonts w:eastAsia="Times-Roman"/>
          <w:sz w:val="24"/>
          <w:szCs w:val="24"/>
        </w:rPr>
        <w:t>осуществлённым</w:t>
      </w:r>
      <w:r w:rsidRPr="00020ACA">
        <w:rPr>
          <w:rFonts w:eastAsia="Times-Roman"/>
          <w:sz w:val="24"/>
          <w:szCs w:val="24"/>
        </w:rPr>
        <w:t xml:space="preserve"> валютны</w:t>
      </w:r>
      <w:r>
        <w:rPr>
          <w:rFonts w:eastAsia="Times-Roman"/>
          <w:sz w:val="24"/>
          <w:szCs w:val="24"/>
        </w:rPr>
        <w:t>м</w:t>
      </w:r>
      <w:r w:rsidRPr="00020ACA">
        <w:rPr>
          <w:rFonts w:eastAsia="Times-Roman"/>
          <w:sz w:val="24"/>
          <w:szCs w:val="24"/>
        </w:rPr>
        <w:t xml:space="preserve"> интервенци</w:t>
      </w:r>
      <w:r>
        <w:rPr>
          <w:rFonts w:eastAsia="Times-Roman"/>
          <w:sz w:val="24"/>
          <w:szCs w:val="24"/>
        </w:rPr>
        <w:t>ям</w:t>
      </w:r>
      <w:r w:rsidRPr="00020ACA">
        <w:rPr>
          <w:rFonts w:eastAsia="Times-Roman"/>
          <w:sz w:val="24"/>
          <w:szCs w:val="24"/>
        </w:rPr>
        <w:t>.</w:t>
      </w:r>
    </w:p>
    <w:p w:rsidR="00635258" w:rsidRPr="00020ACA" w:rsidRDefault="00635258" w:rsidP="00131D2B">
      <w:pPr>
        <w:pStyle w:val="Closing"/>
        <w:spacing w:line="240" w:lineRule="auto"/>
        <w:ind w:left="0" w:right="0" w:firstLine="425"/>
        <w:jc w:val="both"/>
        <w:rPr>
          <w:rFonts w:eastAsia="Times-Roman"/>
          <w:sz w:val="24"/>
          <w:szCs w:val="24"/>
        </w:rPr>
      </w:pPr>
      <w:r w:rsidRPr="00020ACA">
        <w:rPr>
          <w:rFonts w:eastAsia="Times-Roman"/>
          <w:sz w:val="24"/>
          <w:szCs w:val="24"/>
        </w:rPr>
        <w:t xml:space="preserve">Во втором квартале 2015 года была проведена плановая тематическая проверка </w:t>
      </w:r>
      <w:r>
        <w:rPr>
          <w:rFonts w:eastAsia="Times-Roman"/>
          <w:sz w:val="24"/>
          <w:szCs w:val="24"/>
        </w:rPr>
        <w:br/>
        <w:t>коммерческого банка</w:t>
      </w:r>
      <w:r w:rsidRPr="00020ACA">
        <w:rPr>
          <w:rFonts w:eastAsia="Times-Roman"/>
          <w:sz w:val="24"/>
          <w:szCs w:val="24"/>
        </w:rPr>
        <w:t xml:space="preserve"> на предмет соответствия расч</w:t>
      </w:r>
      <w:r>
        <w:rPr>
          <w:rFonts w:eastAsia="Times-Roman"/>
          <w:sz w:val="24"/>
          <w:szCs w:val="24"/>
        </w:rPr>
        <w:t>ё</w:t>
      </w:r>
      <w:r w:rsidRPr="00020ACA">
        <w:rPr>
          <w:rFonts w:eastAsia="Times-Roman"/>
          <w:sz w:val="24"/>
          <w:szCs w:val="24"/>
        </w:rPr>
        <w:t xml:space="preserve">та фонда риска, собственного капитала и обязательных нормативов деятельности банка требованиям </w:t>
      </w:r>
      <w:r>
        <w:rPr>
          <w:rFonts w:eastAsia="Times-Roman"/>
          <w:sz w:val="24"/>
          <w:szCs w:val="24"/>
        </w:rPr>
        <w:t xml:space="preserve">действующего </w:t>
      </w:r>
      <w:r w:rsidRPr="00020ACA">
        <w:rPr>
          <w:rFonts w:eastAsia="Times-Roman"/>
          <w:sz w:val="24"/>
          <w:szCs w:val="24"/>
        </w:rPr>
        <w:t xml:space="preserve">законодательства, в том числе нормативных актов </w:t>
      </w:r>
      <w:r w:rsidRPr="00852E36">
        <w:rPr>
          <w:sz w:val="24"/>
          <w:szCs w:val="24"/>
        </w:rPr>
        <w:t>Приднестровского республиканского банка</w:t>
      </w:r>
      <w:r w:rsidRPr="00020ACA">
        <w:rPr>
          <w:rFonts w:eastAsia="Times-Roman"/>
          <w:sz w:val="24"/>
          <w:szCs w:val="24"/>
        </w:rPr>
        <w:t>. По результатам проверки составлены и направлены в адрес кредитной организации акт и предписание с требованием об устранении выявленных нарушений.</w:t>
      </w:r>
    </w:p>
    <w:p w:rsidR="00635258" w:rsidRPr="00020ACA" w:rsidRDefault="00635258" w:rsidP="00131D2B">
      <w:pPr>
        <w:pStyle w:val="Closing"/>
        <w:spacing w:line="240" w:lineRule="auto"/>
        <w:ind w:left="0" w:right="0" w:firstLine="425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Кроме того, были</w:t>
      </w:r>
      <w:r w:rsidRPr="00020ACA">
        <w:rPr>
          <w:rFonts w:eastAsia="Times-Roman"/>
          <w:sz w:val="24"/>
          <w:szCs w:val="24"/>
        </w:rPr>
        <w:t xml:space="preserve"> проведены 11 тематических проверок деятельности обменных пунктов банков и небанковских кредитных организаций республики. </w:t>
      </w:r>
    </w:p>
    <w:p w:rsidR="00635258" w:rsidRPr="00020ACA" w:rsidRDefault="00635258" w:rsidP="00131D2B">
      <w:pPr>
        <w:pStyle w:val="Closing"/>
        <w:spacing w:line="240" w:lineRule="auto"/>
        <w:ind w:left="0" w:right="-1" w:firstLine="425"/>
        <w:jc w:val="both"/>
        <w:rPr>
          <w:rFonts w:eastAsia="Times-Roman"/>
          <w:sz w:val="24"/>
          <w:szCs w:val="24"/>
        </w:rPr>
      </w:pPr>
      <w:r w:rsidRPr="00020ACA">
        <w:rPr>
          <w:rFonts w:eastAsia="Times-Roman"/>
          <w:sz w:val="24"/>
          <w:szCs w:val="24"/>
        </w:rPr>
        <w:t xml:space="preserve">Во </w:t>
      </w:r>
      <w:r>
        <w:rPr>
          <w:rFonts w:eastAsia="Times-Roman"/>
          <w:sz w:val="24"/>
          <w:szCs w:val="24"/>
          <w:lang w:val="en-US"/>
        </w:rPr>
        <w:t>II</w:t>
      </w:r>
      <w:r w:rsidRPr="00020ACA">
        <w:rPr>
          <w:rFonts w:eastAsia="Times-Roman"/>
          <w:sz w:val="24"/>
          <w:szCs w:val="24"/>
        </w:rPr>
        <w:t xml:space="preserve"> - </w:t>
      </w:r>
      <w:r>
        <w:rPr>
          <w:rFonts w:eastAsia="Times-Roman"/>
          <w:sz w:val="24"/>
          <w:szCs w:val="24"/>
          <w:lang w:val="en-US"/>
        </w:rPr>
        <w:t>III</w:t>
      </w:r>
      <w:r w:rsidRPr="00020ACA">
        <w:rPr>
          <w:rFonts w:eastAsia="Times-Roman"/>
          <w:sz w:val="24"/>
          <w:szCs w:val="24"/>
        </w:rPr>
        <w:t xml:space="preserve"> кварталах 2015 года</w:t>
      </w:r>
      <w:r>
        <w:rPr>
          <w:rFonts w:eastAsia="Times-Roman"/>
          <w:sz w:val="24"/>
          <w:szCs w:val="24"/>
        </w:rPr>
        <w:t xml:space="preserve"> в соответствии с</w:t>
      </w:r>
      <w:r w:rsidRPr="00B71A97">
        <w:rPr>
          <w:rFonts w:eastAsia="Times-Roman"/>
          <w:sz w:val="24"/>
          <w:szCs w:val="24"/>
        </w:rPr>
        <w:t xml:space="preserve"> распоряжени</w:t>
      </w:r>
      <w:r>
        <w:rPr>
          <w:rFonts w:eastAsia="Times-Roman"/>
          <w:sz w:val="24"/>
          <w:szCs w:val="24"/>
        </w:rPr>
        <w:t>ем</w:t>
      </w:r>
      <w:r w:rsidRPr="00B71A97">
        <w:rPr>
          <w:rFonts w:eastAsia="Times-Roman"/>
          <w:sz w:val="24"/>
          <w:szCs w:val="24"/>
        </w:rPr>
        <w:t xml:space="preserve"> Президента ПМР</w:t>
      </w:r>
      <w:r>
        <w:rPr>
          <w:rFonts w:eastAsia="Times-Roman"/>
          <w:sz w:val="24"/>
          <w:szCs w:val="24"/>
        </w:rPr>
        <w:t xml:space="preserve"> специалисты Приднестровского республиканского банка участвовали во</w:t>
      </w:r>
      <w:r w:rsidRPr="00B71A97">
        <w:rPr>
          <w:rFonts w:eastAsia="Times-Roman"/>
          <w:sz w:val="24"/>
          <w:szCs w:val="24"/>
        </w:rPr>
        <w:t xml:space="preserve"> </w:t>
      </w:r>
      <w:r w:rsidRPr="00020ACA">
        <w:rPr>
          <w:rFonts w:eastAsia="Times-Roman"/>
          <w:sz w:val="24"/>
          <w:szCs w:val="24"/>
        </w:rPr>
        <w:t>внепланов</w:t>
      </w:r>
      <w:r>
        <w:rPr>
          <w:rFonts w:eastAsia="Times-Roman"/>
          <w:sz w:val="24"/>
          <w:szCs w:val="24"/>
        </w:rPr>
        <w:t>ой</w:t>
      </w:r>
      <w:r w:rsidRPr="00020ACA">
        <w:rPr>
          <w:rFonts w:eastAsia="Times-Roman"/>
          <w:sz w:val="24"/>
          <w:szCs w:val="24"/>
        </w:rPr>
        <w:t xml:space="preserve"> тематическ</w:t>
      </w:r>
      <w:r>
        <w:rPr>
          <w:rFonts w:eastAsia="Times-Roman"/>
          <w:sz w:val="24"/>
          <w:szCs w:val="24"/>
        </w:rPr>
        <w:t>ой</w:t>
      </w:r>
      <w:r w:rsidRPr="00020ACA">
        <w:rPr>
          <w:rFonts w:eastAsia="Times-Roman"/>
          <w:sz w:val="24"/>
          <w:szCs w:val="24"/>
        </w:rPr>
        <w:t xml:space="preserve"> проверк</w:t>
      </w:r>
      <w:r>
        <w:rPr>
          <w:rFonts w:eastAsia="Times-Roman"/>
          <w:sz w:val="24"/>
          <w:szCs w:val="24"/>
        </w:rPr>
        <w:t>е</w:t>
      </w:r>
      <w:r w:rsidRPr="00020ACA">
        <w:rPr>
          <w:rFonts w:eastAsia="Times-Roman"/>
          <w:sz w:val="24"/>
          <w:szCs w:val="24"/>
        </w:rPr>
        <w:t xml:space="preserve"> деятельности </w:t>
      </w:r>
      <w:r>
        <w:rPr>
          <w:rFonts w:eastAsia="Times-Roman"/>
          <w:sz w:val="24"/>
          <w:szCs w:val="24"/>
        </w:rPr>
        <w:t>коммерческого банка</w:t>
      </w:r>
      <w:r w:rsidRPr="00020ACA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в части</w:t>
      </w:r>
      <w:r w:rsidRPr="00020ACA">
        <w:rPr>
          <w:rFonts w:eastAsia="Times-Roman"/>
          <w:sz w:val="24"/>
          <w:szCs w:val="24"/>
        </w:rPr>
        <w:t xml:space="preserve"> соблюдения обязательных нормативов деятельности и иных обязательных требований в сфере, подконтрольной (подна</w:t>
      </w:r>
      <w:r>
        <w:rPr>
          <w:rFonts w:eastAsia="Times-Roman"/>
          <w:sz w:val="24"/>
          <w:szCs w:val="24"/>
        </w:rPr>
        <w:t>дзорной) центральному банку</w:t>
      </w:r>
      <w:r w:rsidRPr="00020ACA">
        <w:rPr>
          <w:rFonts w:eastAsia="Times-Roman"/>
          <w:sz w:val="24"/>
          <w:szCs w:val="24"/>
        </w:rPr>
        <w:t xml:space="preserve">. </w:t>
      </w:r>
      <w:r>
        <w:rPr>
          <w:rFonts w:eastAsia="Times-Roman"/>
          <w:sz w:val="24"/>
          <w:szCs w:val="24"/>
        </w:rPr>
        <w:t>По итогам в</w:t>
      </w:r>
      <w:r w:rsidRPr="00020ACA">
        <w:rPr>
          <w:rFonts w:eastAsia="Times-Roman"/>
          <w:sz w:val="24"/>
          <w:szCs w:val="24"/>
        </w:rPr>
        <w:t xml:space="preserve"> адрес </w:t>
      </w:r>
      <w:r>
        <w:rPr>
          <w:rFonts w:eastAsia="Times-Roman"/>
          <w:sz w:val="24"/>
          <w:szCs w:val="24"/>
        </w:rPr>
        <w:t>банка были</w:t>
      </w:r>
      <w:r w:rsidRPr="00020ACA">
        <w:rPr>
          <w:rFonts w:eastAsia="Times-Roman"/>
          <w:sz w:val="24"/>
          <w:szCs w:val="24"/>
        </w:rPr>
        <w:t xml:space="preserve"> направлены акт проверки и предписание об устранении выявленных нарушений.</w:t>
      </w:r>
    </w:p>
    <w:p w:rsidR="00635258" w:rsidRPr="00020ACA" w:rsidRDefault="00635258" w:rsidP="00131D2B">
      <w:pPr>
        <w:pStyle w:val="Closing"/>
        <w:spacing w:line="240" w:lineRule="auto"/>
        <w:ind w:left="0" w:right="0" w:firstLine="425"/>
        <w:jc w:val="both"/>
        <w:rPr>
          <w:rFonts w:eastAsia="Times-Roman"/>
          <w:sz w:val="24"/>
          <w:szCs w:val="24"/>
        </w:rPr>
      </w:pPr>
      <w:r w:rsidRPr="00020ACA">
        <w:rPr>
          <w:rFonts w:eastAsia="Times-Roman"/>
          <w:sz w:val="24"/>
          <w:szCs w:val="24"/>
        </w:rPr>
        <w:t>Согласно графику проведения плановых проверок деятельности кредитных организаций</w:t>
      </w:r>
      <w:r>
        <w:rPr>
          <w:rFonts w:eastAsia="Times-Roman"/>
          <w:sz w:val="24"/>
          <w:szCs w:val="24"/>
        </w:rPr>
        <w:t>,</w:t>
      </w:r>
      <w:r w:rsidRPr="00020ACA">
        <w:rPr>
          <w:rFonts w:eastAsia="Times-Roman"/>
          <w:sz w:val="24"/>
          <w:szCs w:val="24"/>
        </w:rPr>
        <w:t xml:space="preserve"> в третьем квартале 2015 года проведены две плановые комплексные проверки деятельности небанковских кредитных организац</w:t>
      </w:r>
      <w:r>
        <w:rPr>
          <w:rFonts w:eastAsia="Times-Roman"/>
          <w:sz w:val="24"/>
          <w:szCs w:val="24"/>
        </w:rPr>
        <w:t>ий III категории</w:t>
      </w:r>
      <w:r w:rsidRPr="00020ACA">
        <w:rPr>
          <w:rFonts w:eastAsia="Times-Roman"/>
          <w:sz w:val="24"/>
          <w:szCs w:val="24"/>
        </w:rPr>
        <w:t>. По</w:t>
      </w:r>
      <w:r>
        <w:rPr>
          <w:rFonts w:eastAsia="Times-Roman"/>
          <w:sz w:val="24"/>
          <w:szCs w:val="24"/>
        </w:rPr>
        <w:t xml:space="preserve"> их</w:t>
      </w:r>
      <w:r w:rsidRPr="00020ACA">
        <w:rPr>
          <w:rFonts w:eastAsia="Times-Roman"/>
          <w:sz w:val="24"/>
          <w:szCs w:val="24"/>
        </w:rPr>
        <w:t xml:space="preserve"> результатам </w:t>
      </w:r>
      <w:r>
        <w:rPr>
          <w:rFonts w:eastAsia="Times-Roman"/>
          <w:sz w:val="24"/>
          <w:szCs w:val="24"/>
        </w:rPr>
        <w:t>были</w:t>
      </w:r>
      <w:r w:rsidRPr="00020ACA">
        <w:rPr>
          <w:rFonts w:eastAsia="Times-Roman"/>
          <w:sz w:val="24"/>
          <w:szCs w:val="24"/>
        </w:rPr>
        <w:t xml:space="preserve"> составлены акты и предписания об </w:t>
      </w:r>
      <w:r>
        <w:rPr>
          <w:rFonts w:eastAsia="Times-Roman"/>
          <w:sz w:val="24"/>
          <w:szCs w:val="24"/>
        </w:rPr>
        <w:t>устранении выявленных нарушений</w:t>
      </w:r>
      <w:r w:rsidRPr="00020ACA">
        <w:rPr>
          <w:rFonts w:eastAsia="Times-Roman"/>
          <w:sz w:val="24"/>
          <w:szCs w:val="24"/>
        </w:rPr>
        <w:t>.</w:t>
      </w:r>
    </w:p>
    <w:p w:rsidR="00635258" w:rsidRPr="00020ACA" w:rsidRDefault="00635258" w:rsidP="00131D2B">
      <w:pPr>
        <w:pStyle w:val="Closing"/>
        <w:spacing w:line="240" w:lineRule="auto"/>
        <w:ind w:left="0" w:right="0" w:firstLine="425"/>
        <w:jc w:val="both"/>
        <w:rPr>
          <w:rFonts w:eastAsia="Times-Roman"/>
          <w:sz w:val="24"/>
          <w:szCs w:val="24"/>
        </w:rPr>
      </w:pPr>
      <w:r w:rsidRPr="00020ACA">
        <w:rPr>
          <w:rFonts w:eastAsia="Times-Roman"/>
          <w:sz w:val="24"/>
          <w:szCs w:val="24"/>
        </w:rPr>
        <w:t>В четв</w:t>
      </w:r>
      <w:r>
        <w:rPr>
          <w:rFonts w:eastAsia="Times-Roman"/>
          <w:sz w:val="24"/>
          <w:szCs w:val="24"/>
        </w:rPr>
        <w:t>ё</w:t>
      </w:r>
      <w:r w:rsidRPr="00020ACA">
        <w:rPr>
          <w:rFonts w:eastAsia="Times-Roman"/>
          <w:sz w:val="24"/>
          <w:szCs w:val="24"/>
        </w:rPr>
        <w:t xml:space="preserve">ртом квартале 2015 года </w:t>
      </w:r>
      <w:r>
        <w:rPr>
          <w:rFonts w:eastAsia="Times-Roman"/>
          <w:sz w:val="24"/>
          <w:szCs w:val="24"/>
        </w:rPr>
        <w:t xml:space="preserve">была осуществлена 1 </w:t>
      </w:r>
      <w:r w:rsidRPr="00020ACA">
        <w:rPr>
          <w:rFonts w:eastAsia="Times-Roman"/>
          <w:sz w:val="24"/>
          <w:szCs w:val="24"/>
        </w:rPr>
        <w:t>планов</w:t>
      </w:r>
      <w:r>
        <w:rPr>
          <w:rFonts w:eastAsia="Times-Roman"/>
          <w:sz w:val="24"/>
          <w:szCs w:val="24"/>
        </w:rPr>
        <w:t>ая</w:t>
      </w:r>
      <w:r w:rsidRPr="00020ACA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 xml:space="preserve">и начата 1 внеплановая </w:t>
      </w:r>
      <w:r w:rsidRPr="00020ACA">
        <w:rPr>
          <w:rFonts w:eastAsia="Times-Roman"/>
          <w:sz w:val="24"/>
          <w:szCs w:val="24"/>
        </w:rPr>
        <w:t>тематическ</w:t>
      </w:r>
      <w:r>
        <w:rPr>
          <w:rFonts w:eastAsia="Times-Roman"/>
          <w:sz w:val="24"/>
          <w:szCs w:val="24"/>
        </w:rPr>
        <w:t>ие</w:t>
      </w:r>
      <w:r w:rsidRPr="00020ACA">
        <w:rPr>
          <w:rFonts w:eastAsia="Times-Roman"/>
          <w:sz w:val="24"/>
          <w:szCs w:val="24"/>
        </w:rPr>
        <w:t xml:space="preserve"> проверк</w:t>
      </w:r>
      <w:r>
        <w:rPr>
          <w:rFonts w:eastAsia="Times-Roman"/>
          <w:sz w:val="24"/>
          <w:szCs w:val="24"/>
        </w:rPr>
        <w:t>и коммерческих банков.</w:t>
      </w:r>
      <w:r w:rsidRPr="00020ACA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П</w:t>
      </w:r>
      <w:r w:rsidRPr="00020ACA">
        <w:rPr>
          <w:rFonts w:eastAsia="Times-Roman"/>
          <w:sz w:val="24"/>
          <w:szCs w:val="24"/>
        </w:rPr>
        <w:t>о результатам</w:t>
      </w:r>
      <w:r>
        <w:rPr>
          <w:rFonts w:eastAsia="Times-Roman"/>
          <w:sz w:val="24"/>
          <w:szCs w:val="24"/>
        </w:rPr>
        <w:t xml:space="preserve"> плановых мероприятий</w:t>
      </w:r>
      <w:r w:rsidRPr="00020ACA">
        <w:rPr>
          <w:rFonts w:eastAsia="Times-Roman"/>
          <w:sz w:val="24"/>
          <w:szCs w:val="24"/>
        </w:rPr>
        <w:t xml:space="preserve"> составлены и направлены в адрес банка акт и предписание об устранении выявленных нарушений</w:t>
      </w:r>
      <w:r>
        <w:rPr>
          <w:rFonts w:eastAsia="Times-Roman"/>
          <w:sz w:val="24"/>
          <w:szCs w:val="24"/>
        </w:rPr>
        <w:t>.</w:t>
      </w:r>
      <w:r w:rsidRPr="00020ACA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Кроме того, были</w:t>
      </w:r>
      <w:r w:rsidRPr="00020ACA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реализованы</w:t>
      </w:r>
      <w:r w:rsidRPr="00020ACA">
        <w:rPr>
          <w:rFonts w:eastAsia="Times-Roman"/>
          <w:sz w:val="24"/>
          <w:szCs w:val="24"/>
        </w:rPr>
        <w:t xml:space="preserve"> три внеплановые проверки деятельности обменных пунктов </w:t>
      </w:r>
      <w:r>
        <w:rPr>
          <w:rFonts w:eastAsia="Times-Roman"/>
          <w:sz w:val="24"/>
          <w:szCs w:val="24"/>
        </w:rPr>
        <w:t>трёх коммерческих банков</w:t>
      </w:r>
      <w:r w:rsidRPr="00020ACA">
        <w:rPr>
          <w:rFonts w:eastAsia="Times-Roman"/>
          <w:sz w:val="24"/>
          <w:szCs w:val="24"/>
        </w:rPr>
        <w:t xml:space="preserve"> в рамках проведения валютн</w:t>
      </w:r>
      <w:r>
        <w:rPr>
          <w:rFonts w:eastAsia="Times-Roman"/>
          <w:sz w:val="24"/>
          <w:szCs w:val="24"/>
        </w:rPr>
        <w:t xml:space="preserve">ых </w:t>
      </w:r>
      <w:r w:rsidRPr="00020ACA">
        <w:rPr>
          <w:rFonts w:eastAsia="Times-Roman"/>
          <w:sz w:val="24"/>
          <w:szCs w:val="24"/>
        </w:rPr>
        <w:t>интервенци</w:t>
      </w:r>
      <w:r>
        <w:rPr>
          <w:rFonts w:eastAsia="Times-Roman"/>
          <w:sz w:val="24"/>
          <w:szCs w:val="24"/>
        </w:rPr>
        <w:t>й на наличном рынке</w:t>
      </w:r>
      <w:r w:rsidRPr="00020ACA">
        <w:rPr>
          <w:rFonts w:eastAsia="Times-Roman"/>
          <w:sz w:val="24"/>
          <w:szCs w:val="24"/>
        </w:rPr>
        <w:t>. По завершении проверок обменных пунктов составлены и направлены в адрес банков акты проверок. В отношении одного банка составлен протокол об административном правонарушении.</w:t>
      </w:r>
    </w:p>
    <w:p w:rsidR="00635258" w:rsidRPr="00854B65" w:rsidRDefault="00635258" w:rsidP="00AA1869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>В ходе проведения инспекционных проверок правильности и адекватности оценки кредитных рисков банков и формирования резервов по ним банкам были направлены предписания с требованием, в том числе, доформировать необходимый размер фонда риска по кредитам и приравненной к ним задолженности.</w:t>
      </w:r>
    </w:p>
    <w:p w:rsidR="00635258" w:rsidRPr="00AA1869" w:rsidRDefault="00635258" w:rsidP="00AA1869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 xml:space="preserve">Сроки устранения нарушений устанавливались для банков с учётом обозримого времени, необходимого для выравнивания их финансового положения как минимум до точки безубыточности, выполнения объёмов реализуемых государственных программ, способности исправить ситуацию без ущерба для кредиторов и вкладчиков, не создавая критической ситуации с платёжеспособностью и ликвидностью. Установление реалистичных сроков экономического стимулирования банков обусловлено необходимостью предотвратить критическое накопление дефицита собственного капитала в банковском секторе, имеющего существенные негативные последствия, в том числе для социальной сферы. </w:t>
      </w:r>
    </w:p>
    <w:p w:rsidR="00635258" w:rsidRDefault="00635258" w:rsidP="00A95CDA">
      <w:pPr>
        <w:pStyle w:val="Closing"/>
        <w:spacing w:line="240" w:lineRule="auto"/>
        <w:ind w:left="0" w:right="0" w:firstLine="425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 целом</w:t>
      </w:r>
      <w:r w:rsidRPr="00020ACA">
        <w:rPr>
          <w:rFonts w:eastAsia="Times-Roman"/>
          <w:sz w:val="24"/>
          <w:szCs w:val="24"/>
        </w:rPr>
        <w:t xml:space="preserve"> в течение 2015 года </w:t>
      </w:r>
      <w:r w:rsidRPr="007C7EF3">
        <w:rPr>
          <w:rFonts w:eastAsia="Times-Roman"/>
          <w:sz w:val="24"/>
          <w:szCs w:val="24"/>
        </w:rPr>
        <w:t>проведены 53 инспекционны</w:t>
      </w:r>
      <w:r>
        <w:rPr>
          <w:rFonts w:eastAsia="Times-Roman"/>
          <w:sz w:val="24"/>
          <w:szCs w:val="24"/>
        </w:rPr>
        <w:t>е</w:t>
      </w:r>
      <w:r w:rsidRPr="00020ACA">
        <w:rPr>
          <w:rFonts w:eastAsia="Times-Roman"/>
          <w:sz w:val="24"/>
          <w:szCs w:val="24"/>
        </w:rPr>
        <w:t xml:space="preserve"> (план</w:t>
      </w:r>
      <w:r>
        <w:rPr>
          <w:rFonts w:eastAsia="Times-Roman"/>
          <w:sz w:val="24"/>
          <w:szCs w:val="24"/>
        </w:rPr>
        <w:t>овые и внеплановые) проверки</w:t>
      </w:r>
      <w:r w:rsidRPr="00020ACA">
        <w:rPr>
          <w:rFonts w:eastAsia="Times-Roman"/>
          <w:sz w:val="24"/>
          <w:szCs w:val="24"/>
        </w:rPr>
        <w:t xml:space="preserve"> банков и небанковских кредитных организаций ПМР.</w:t>
      </w:r>
      <w:r>
        <w:rPr>
          <w:rFonts w:eastAsia="Times-Roman"/>
          <w:sz w:val="24"/>
          <w:szCs w:val="24"/>
        </w:rPr>
        <w:t xml:space="preserve"> </w:t>
      </w:r>
    </w:p>
    <w:p w:rsidR="00635258" w:rsidRPr="00990157" w:rsidRDefault="00635258" w:rsidP="00990157">
      <w:pPr>
        <w:pStyle w:val="Closing"/>
        <w:ind w:left="0" w:right="-1" w:firstLine="425"/>
        <w:jc w:val="both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 совокупности с мерами дистанционного надзора</w:t>
      </w:r>
      <w:r w:rsidRPr="00990157">
        <w:rPr>
          <w:rFonts w:eastAsia="Times-Roman"/>
          <w:sz w:val="24"/>
          <w:szCs w:val="24"/>
        </w:rPr>
        <w:t xml:space="preserve"> в банки и </w:t>
      </w:r>
      <w:r>
        <w:rPr>
          <w:rFonts w:eastAsia="Times-Roman"/>
          <w:sz w:val="24"/>
          <w:szCs w:val="24"/>
        </w:rPr>
        <w:t>кредитные организации</w:t>
      </w:r>
      <w:r w:rsidRPr="00990157">
        <w:rPr>
          <w:rFonts w:eastAsia="Times-Roman"/>
          <w:sz w:val="24"/>
          <w:szCs w:val="24"/>
        </w:rPr>
        <w:t xml:space="preserve"> </w:t>
      </w:r>
      <w:r w:rsidRPr="00AA518A">
        <w:rPr>
          <w:rFonts w:eastAsia="Times-Roman"/>
          <w:sz w:val="24"/>
          <w:szCs w:val="24"/>
        </w:rPr>
        <w:t xml:space="preserve">направлено 86 актов и 32 предписания, из которых </w:t>
      </w:r>
      <w:r w:rsidRPr="00AA518A">
        <w:rPr>
          <w:sz w:val="24"/>
          <w:szCs w:val="24"/>
        </w:rPr>
        <w:t>практически 85% к концу года были исполнены</w:t>
      </w:r>
      <w:r w:rsidRPr="00AA518A">
        <w:rPr>
          <w:rFonts w:eastAsia="Times-Roman"/>
          <w:sz w:val="24"/>
          <w:szCs w:val="24"/>
        </w:rPr>
        <w:t>.</w:t>
      </w:r>
    </w:p>
    <w:p w:rsidR="00635258" w:rsidRDefault="00635258" w:rsidP="00AA1869">
      <w:pPr>
        <w:pStyle w:val="Closing"/>
        <w:spacing w:line="240" w:lineRule="auto"/>
        <w:ind w:left="0" w:right="0" w:firstLine="425"/>
        <w:jc w:val="both"/>
        <w:rPr>
          <w:sz w:val="24"/>
          <w:szCs w:val="24"/>
        </w:rPr>
      </w:pPr>
      <w:r>
        <w:rPr>
          <w:rFonts w:eastAsia="Times-Roman"/>
          <w:sz w:val="24"/>
          <w:szCs w:val="24"/>
        </w:rPr>
        <w:t>На регулярной основе</w:t>
      </w:r>
      <w:r w:rsidRPr="00AA1869">
        <w:rPr>
          <w:rFonts w:eastAsia="Times-Roman"/>
          <w:sz w:val="24"/>
          <w:szCs w:val="24"/>
        </w:rPr>
        <w:t xml:space="preserve"> </w:t>
      </w:r>
      <w:r w:rsidRPr="00AA1869">
        <w:rPr>
          <w:sz w:val="24"/>
          <w:szCs w:val="24"/>
        </w:rPr>
        <w:t>осуществлялась</w:t>
      </w:r>
      <w:r>
        <w:rPr>
          <w:sz w:val="24"/>
          <w:szCs w:val="24"/>
        </w:rPr>
        <w:t xml:space="preserve"> </w:t>
      </w:r>
      <w:r w:rsidRPr="00020ACA">
        <w:rPr>
          <w:rFonts w:eastAsia="Times-Roman"/>
          <w:sz w:val="24"/>
          <w:szCs w:val="24"/>
        </w:rPr>
        <w:t xml:space="preserve">работа по проверке </w:t>
      </w:r>
      <w:r>
        <w:rPr>
          <w:sz w:val="24"/>
          <w:szCs w:val="24"/>
        </w:rPr>
        <w:t>годовых отчё</w:t>
      </w:r>
      <w:r w:rsidRPr="006F3BAF">
        <w:rPr>
          <w:sz w:val="24"/>
          <w:szCs w:val="24"/>
        </w:rPr>
        <w:t>тов кредитных организаций, а также квартальной отч</w:t>
      </w:r>
      <w:r>
        <w:rPr>
          <w:sz w:val="24"/>
          <w:szCs w:val="24"/>
        </w:rPr>
        <w:t>ё</w:t>
      </w:r>
      <w:r w:rsidRPr="006F3BAF">
        <w:rPr>
          <w:sz w:val="24"/>
          <w:szCs w:val="24"/>
        </w:rPr>
        <w:t>тности банков, опубликованн</w:t>
      </w:r>
      <w:r>
        <w:rPr>
          <w:sz w:val="24"/>
          <w:szCs w:val="24"/>
        </w:rPr>
        <w:t>ой</w:t>
      </w:r>
      <w:r w:rsidRPr="006F3BAF">
        <w:rPr>
          <w:sz w:val="24"/>
          <w:szCs w:val="24"/>
        </w:rPr>
        <w:t xml:space="preserve"> на их официальных сайтах в сети Интернет.</w:t>
      </w:r>
      <w:r>
        <w:rPr>
          <w:sz w:val="24"/>
          <w:szCs w:val="24"/>
        </w:rPr>
        <w:t xml:space="preserve"> 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</w:p>
    <w:p w:rsidR="00635258" w:rsidRPr="00E1099B" w:rsidRDefault="00635258" w:rsidP="00131D2B">
      <w:pPr>
        <w:numPr>
          <w:ilvl w:val="1"/>
          <w:numId w:val="3"/>
        </w:numPr>
        <w:jc w:val="both"/>
        <w:rPr>
          <w:b/>
          <w:bCs/>
          <w:noProof/>
          <w:sz w:val="24"/>
          <w:szCs w:val="24"/>
        </w:rPr>
      </w:pPr>
      <w:r w:rsidRPr="00DB0565">
        <w:rPr>
          <w:b/>
          <w:bCs/>
          <w:noProof/>
          <w:sz w:val="24"/>
          <w:szCs w:val="24"/>
        </w:rPr>
        <w:t xml:space="preserve"> </w:t>
      </w:r>
      <w:r w:rsidRPr="00E1099B">
        <w:rPr>
          <w:b/>
          <w:bCs/>
          <w:noProof/>
          <w:sz w:val="24"/>
          <w:szCs w:val="24"/>
        </w:rPr>
        <w:t>ВАЛЮТНОЕ РЕГУЛИРОВАНИЕ И ВАЛЮТНЫЙ КОНТРОЛЬ</w:t>
      </w:r>
    </w:p>
    <w:p w:rsidR="00635258" w:rsidRPr="007429E7" w:rsidRDefault="00635258" w:rsidP="00A314BF">
      <w:pPr>
        <w:widowControl w:val="0"/>
        <w:spacing w:before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инструментов в сфере валютного регулирования и контроля является механизм обязательной продажи </w:t>
      </w:r>
      <w:r w:rsidRPr="007429E7">
        <w:rPr>
          <w:sz w:val="24"/>
          <w:szCs w:val="24"/>
        </w:rPr>
        <w:t>хозяйствующими субъектами части валютной выручки</w:t>
      </w:r>
      <w:r>
        <w:rPr>
          <w:sz w:val="24"/>
          <w:szCs w:val="24"/>
        </w:rPr>
        <w:t xml:space="preserve">. Начиная с 1 октября 2012 года, по экспортной выручке приднестровских хозяйствующих субъектов её норма установлена в размере 0%. При этом экономические агенты, получающие валютную выручку от </w:t>
      </w:r>
      <w:r w:rsidRPr="007429E7">
        <w:rPr>
          <w:sz w:val="24"/>
          <w:szCs w:val="24"/>
        </w:rPr>
        <w:t>реализации товаров, работ, услуг на территории Приднестровской Молдавской Республики за наличную иностранную валюту на основании лицензий, выданных Приднестровским республиканским банком</w:t>
      </w:r>
      <w:r>
        <w:rPr>
          <w:sz w:val="24"/>
          <w:szCs w:val="24"/>
        </w:rPr>
        <w:t xml:space="preserve">, обязаны конвертировать её часть: </w:t>
      </w:r>
      <w:r>
        <w:rPr>
          <w:sz w:val="24"/>
          <w:szCs w:val="24"/>
        </w:rPr>
        <w:br/>
        <w:t xml:space="preserve">с </w:t>
      </w:r>
      <w:r w:rsidRPr="007429E7">
        <w:rPr>
          <w:sz w:val="24"/>
          <w:szCs w:val="24"/>
        </w:rPr>
        <w:t xml:space="preserve">1 января по </w:t>
      </w:r>
      <w:r>
        <w:rPr>
          <w:sz w:val="24"/>
          <w:szCs w:val="24"/>
        </w:rPr>
        <w:t>9</w:t>
      </w:r>
      <w:r w:rsidRPr="007429E7">
        <w:rPr>
          <w:sz w:val="24"/>
          <w:szCs w:val="24"/>
        </w:rPr>
        <w:t xml:space="preserve"> февраля 201</w:t>
      </w:r>
      <w:r>
        <w:rPr>
          <w:sz w:val="24"/>
          <w:szCs w:val="24"/>
        </w:rPr>
        <w:t>5</w:t>
      </w:r>
      <w:r w:rsidRPr="007429E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–</w:t>
      </w:r>
      <w:r w:rsidRPr="007429E7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5</w:t>
      </w:r>
      <w:r w:rsidRPr="007429E7">
        <w:rPr>
          <w:sz w:val="24"/>
          <w:szCs w:val="24"/>
        </w:rPr>
        <w:t xml:space="preserve">0%, с </w:t>
      </w:r>
      <w:r>
        <w:rPr>
          <w:sz w:val="24"/>
          <w:szCs w:val="24"/>
        </w:rPr>
        <w:t>10</w:t>
      </w:r>
      <w:r w:rsidRPr="007429E7">
        <w:rPr>
          <w:sz w:val="24"/>
          <w:szCs w:val="24"/>
        </w:rPr>
        <w:t xml:space="preserve"> февраля по 31 декабря 201</w:t>
      </w:r>
      <w:r>
        <w:rPr>
          <w:sz w:val="24"/>
          <w:szCs w:val="24"/>
        </w:rPr>
        <w:t>5</w:t>
      </w:r>
      <w:r w:rsidRPr="007429E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–</w:t>
      </w:r>
      <w:r w:rsidRPr="007429E7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1</w:t>
      </w:r>
      <w:r w:rsidRPr="007429E7">
        <w:rPr>
          <w:sz w:val="24"/>
          <w:szCs w:val="24"/>
        </w:rPr>
        <w:t xml:space="preserve">0%. </w:t>
      </w:r>
      <w:r>
        <w:rPr>
          <w:sz w:val="24"/>
          <w:szCs w:val="24"/>
        </w:rPr>
        <w:t>В совокупности за год</w:t>
      </w:r>
      <w:r w:rsidRPr="007429E7">
        <w:rPr>
          <w:sz w:val="24"/>
          <w:szCs w:val="24"/>
        </w:rPr>
        <w:t xml:space="preserve"> объ</w:t>
      </w:r>
      <w:r>
        <w:rPr>
          <w:sz w:val="24"/>
          <w:szCs w:val="24"/>
        </w:rPr>
        <w:t>ё</w:t>
      </w:r>
      <w:r w:rsidRPr="007429E7">
        <w:rPr>
          <w:sz w:val="24"/>
          <w:szCs w:val="24"/>
        </w:rPr>
        <w:t xml:space="preserve">м обязательной продажи составил </w:t>
      </w:r>
      <w:r>
        <w:rPr>
          <w:sz w:val="24"/>
          <w:szCs w:val="24"/>
        </w:rPr>
        <w:t>4,7</w:t>
      </w:r>
      <w:r w:rsidRPr="007429E7">
        <w:rPr>
          <w:sz w:val="24"/>
          <w:szCs w:val="24"/>
        </w:rPr>
        <w:t xml:space="preserve"> млн в долларовом эквиваленте.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 w:rsidRPr="00CF0EEE">
        <w:rPr>
          <w:sz w:val="24"/>
          <w:szCs w:val="24"/>
        </w:rPr>
        <w:t>В отч</w:t>
      </w:r>
      <w:r>
        <w:rPr>
          <w:sz w:val="24"/>
          <w:szCs w:val="24"/>
        </w:rPr>
        <w:t>ё</w:t>
      </w:r>
      <w:r w:rsidRPr="00CF0EEE">
        <w:rPr>
          <w:sz w:val="24"/>
          <w:szCs w:val="24"/>
        </w:rPr>
        <w:t xml:space="preserve">тном году на валютном аукционе Приднестровского республиканского банка коммерческими банками по поручению клиентов было куплено </w:t>
      </w:r>
      <w:r>
        <w:rPr>
          <w:sz w:val="24"/>
          <w:szCs w:val="24"/>
        </w:rPr>
        <w:t>103,8</w:t>
      </w:r>
      <w:r w:rsidRPr="00CF0EEE">
        <w:rPr>
          <w:sz w:val="24"/>
          <w:szCs w:val="24"/>
        </w:rPr>
        <w:t xml:space="preserve"> млн долл., при этом от своего имени ими было продано </w:t>
      </w:r>
      <w:r>
        <w:rPr>
          <w:sz w:val="24"/>
          <w:szCs w:val="24"/>
        </w:rPr>
        <w:t>5,0</w:t>
      </w:r>
      <w:r w:rsidRPr="00CF0EEE">
        <w:rPr>
          <w:sz w:val="24"/>
          <w:szCs w:val="24"/>
        </w:rPr>
        <w:t xml:space="preserve"> млн в долларовом эквиваленте.</w:t>
      </w:r>
      <w:r>
        <w:rPr>
          <w:sz w:val="24"/>
          <w:szCs w:val="24"/>
        </w:rPr>
        <w:t xml:space="preserve"> Во избежание спекулятивных банковских операций продажа иностранной валюты на валютном аукционе производилась по заявкам юридических лиц только под импортные контракты (договоры), предметом которых являлись товароматериальные ценности. </w:t>
      </w:r>
    </w:p>
    <w:p w:rsidR="00635258" w:rsidRPr="007429E7" w:rsidRDefault="00635258" w:rsidP="00131D2B">
      <w:pPr>
        <w:ind w:firstLine="425"/>
        <w:jc w:val="both"/>
        <w:rPr>
          <w:sz w:val="24"/>
          <w:szCs w:val="24"/>
        </w:rPr>
      </w:pPr>
      <w:r w:rsidRPr="007429E7">
        <w:rPr>
          <w:sz w:val="24"/>
          <w:szCs w:val="24"/>
        </w:rPr>
        <w:t>Объ</w:t>
      </w:r>
      <w:r>
        <w:rPr>
          <w:sz w:val="24"/>
          <w:szCs w:val="24"/>
        </w:rPr>
        <w:t>ё</w:t>
      </w:r>
      <w:r w:rsidRPr="007429E7">
        <w:rPr>
          <w:sz w:val="24"/>
          <w:szCs w:val="24"/>
        </w:rPr>
        <w:t>м</w:t>
      </w:r>
      <w:r>
        <w:rPr>
          <w:sz w:val="24"/>
          <w:szCs w:val="24"/>
        </w:rPr>
        <w:t xml:space="preserve"> наличных</w:t>
      </w:r>
      <w:r w:rsidRPr="007429E7">
        <w:rPr>
          <w:sz w:val="24"/>
          <w:szCs w:val="24"/>
        </w:rPr>
        <w:t xml:space="preserve"> валютных интервенций</w:t>
      </w:r>
      <w:r>
        <w:rPr>
          <w:sz w:val="24"/>
          <w:szCs w:val="24"/>
        </w:rPr>
        <w:t xml:space="preserve">, осуществлённых центральным банком посредством заключённых </w:t>
      </w:r>
      <w:r w:rsidRPr="007429E7">
        <w:rPr>
          <w:sz w:val="24"/>
          <w:szCs w:val="24"/>
        </w:rPr>
        <w:t>Агентски</w:t>
      </w:r>
      <w:r>
        <w:rPr>
          <w:sz w:val="24"/>
          <w:szCs w:val="24"/>
        </w:rPr>
        <w:t>х</w:t>
      </w:r>
      <w:r w:rsidRPr="007429E7">
        <w:rPr>
          <w:sz w:val="24"/>
          <w:szCs w:val="24"/>
        </w:rPr>
        <w:t xml:space="preserve"> соглашени</w:t>
      </w:r>
      <w:r>
        <w:rPr>
          <w:sz w:val="24"/>
          <w:szCs w:val="24"/>
        </w:rPr>
        <w:t>й,</w:t>
      </w:r>
      <w:r w:rsidRPr="007429E7">
        <w:rPr>
          <w:sz w:val="24"/>
          <w:szCs w:val="24"/>
        </w:rPr>
        <w:t xml:space="preserve"> составил </w:t>
      </w:r>
      <w:r>
        <w:rPr>
          <w:sz w:val="24"/>
          <w:szCs w:val="24"/>
        </w:rPr>
        <w:t>71,5</w:t>
      </w:r>
      <w:r w:rsidRPr="007429E7">
        <w:rPr>
          <w:sz w:val="24"/>
          <w:szCs w:val="24"/>
        </w:rPr>
        <w:t xml:space="preserve"> млн в долларовом эквиваленте</w:t>
      </w:r>
      <w:r>
        <w:rPr>
          <w:sz w:val="24"/>
          <w:szCs w:val="24"/>
        </w:rPr>
        <w:t>, что более чем на 36% обеспечило совокупный спрос физических лиц на наличную валюту</w:t>
      </w:r>
      <w:r w:rsidRPr="007429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35258" w:rsidRPr="00D05122" w:rsidRDefault="00635258" w:rsidP="00131D2B">
      <w:pPr>
        <w:widowControl w:val="0"/>
        <w:ind w:firstLine="425"/>
        <w:jc w:val="both"/>
        <w:rPr>
          <w:sz w:val="24"/>
          <w:szCs w:val="24"/>
        </w:rPr>
      </w:pPr>
      <w:r w:rsidRPr="007429E7">
        <w:rPr>
          <w:sz w:val="24"/>
          <w:szCs w:val="24"/>
        </w:rPr>
        <w:t>В рамках проведения валютных операций, связанных с движением капитала, Приднестровским республиканским</w:t>
      </w:r>
      <w:r w:rsidRPr="00D05122">
        <w:rPr>
          <w:sz w:val="24"/>
          <w:szCs w:val="24"/>
        </w:rPr>
        <w:t xml:space="preserve"> банком было зарегистрировано получение иностранной валюты на счета хозяйствующих субъектов в объёме около </w:t>
      </w:r>
      <w:r>
        <w:rPr>
          <w:sz w:val="24"/>
          <w:szCs w:val="24"/>
        </w:rPr>
        <w:t>28,0 млн.</w:t>
      </w:r>
      <w:r w:rsidRPr="00D05122">
        <w:rPr>
          <w:sz w:val="24"/>
          <w:szCs w:val="24"/>
        </w:rPr>
        <w:t xml:space="preserve"> </w:t>
      </w:r>
      <w:r>
        <w:rPr>
          <w:sz w:val="24"/>
          <w:szCs w:val="24"/>
        </w:rPr>
        <w:t>в долларовом эквиваленте</w:t>
      </w:r>
      <w:r w:rsidRPr="00D05122">
        <w:rPr>
          <w:sz w:val="24"/>
          <w:szCs w:val="24"/>
        </w:rPr>
        <w:t>.</w:t>
      </w:r>
    </w:p>
    <w:p w:rsidR="00635258" w:rsidRPr="00D05122" w:rsidRDefault="00635258" w:rsidP="00131D2B">
      <w:pPr>
        <w:widowControl w:val="0"/>
        <w:ind w:firstLine="425"/>
        <w:jc w:val="both"/>
        <w:rPr>
          <w:sz w:val="24"/>
          <w:szCs w:val="24"/>
        </w:rPr>
      </w:pPr>
      <w:r w:rsidRPr="00D05122">
        <w:rPr>
          <w:sz w:val="24"/>
          <w:szCs w:val="24"/>
        </w:rPr>
        <w:t>В отч</w:t>
      </w:r>
      <w:r>
        <w:rPr>
          <w:sz w:val="24"/>
          <w:szCs w:val="24"/>
        </w:rPr>
        <w:t>ё</w:t>
      </w:r>
      <w:r w:rsidRPr="00D05122">
        <w:rPr>
          <w:sz w:val="24"/>
          <w:szCs w:val="24"/>
        </w:rPr>
        <w:t xml:space="preserve">тном году Приднестровским республиканским банком были выданы разрешения на проведение валютных операций, связанных с движением капитала, для перечисления со счетов хозяйствующих субъектов в пользу нерезидентов </w:t>
      </w:r>
      <w:r>
        <w:rPr>
          <w:sz w:val="24"/>
          <w:szCs w:val="24"/>
        </w:rPr>
        <w:t>на сумму</w:t>
      </w:r>
      <w:r w:rsidRPr="00D05122">
        <w:rPr>
          <w:sz w:val="24"/>
          <w:szCs w:val="24"/>
        </w:rPr>
        <w:t xml:space="preserve"> </w:t>
      </w:r>
      <w:r>
        <w:rPr>
          <w:sz w:val="24"/>
          <w:szCs w:val="24"/>
        </w:rPr>
        <w:t>97,2 тыс.</w:t>
      </w:r>
      <w:r w:rsidRPr="00D05122">
        <w:rPr>
          <w:sz w:val="24"/>
          <w:szCs w:val="24"/>
        </w:rPr>
        <w:t xml:space="preserve"> </w:t>
      </w:r>
      <w:r>
        <w:rPr>
          <w:sz w:val="24"/>
          <w:szCs w:val="24"/>
        </w:rPr>
        <w:t>в долларовом эквиваленте</w:t>
      </w:r>
      <w:r w:rsidRPr="00D05122">
        <w:rPr>
          <w:sz w:val="24"/>
          <w:szCs w:val="24"/>
        </w:rPr>
        <w:t>.</w:t>
      </w:r>
    </w:p>
    <w:p w:rsidR="00635258" w:rsidRPr="00D05122" w:rsidRDefault="00635258" w:rsidP="00131D2B">
      <w:pPr>
        <w:ind w:firstLine="425"/>
        <w:jc w:val="both"/>
        <w:rPr>
          <w:sz w:val="24"/>
          <w:szCs w:val="24"/>
        </w:rPr>
      </w:pPr>
      <w:r w:rsidRPr="00D05122">
        <w:rPr>
          <w:sz w:val="24"/>
          <w:szCs w:val="24"/>
        </w:rPr>
        <w:t xml:space="preserve">По выданным Приднестровским республиканским банком лицензиям на право реализации товаров, работ, услуг на территории ПМР за наличную иностранную валюту по состоянию на начало года работало </w:t>
      </w:r>
      <w:r>
        <w:rPr>
          <w:sz w:val="24"/>
          <w:szCs w:val="24"/>
        </w:rPr>
        <w:t>14</w:t>
      </w:r>
      <w:r w:rsidRPr="00D05122">
        <w:rPr>
          <w:sz w:val="24"/>
          <w:szCs w:val="24"/>
        </w:rPr>
        <w:t xml:space="preserve"> юридических лиц</w:t>
      </w:r>
      <w:r>
        <w:rPr>
          <w:sz w:val="24"/>
          <w:szCs w:val="24"/>
        </w:rPr>
        <w:t>, п</w:t>
      </w:r>
      <w:r w:rsidRPr="00D05122">
        <w:rPr>
          <w:sz w:val="24"/>
          <w:szCs w:val="24"/>
        </w:rPr>
        <w:t xml:space="preserve">о состоянию на конец года </w:t>
      </w:r>
      <w:r w:rsidRPr="002D7D5E">
        <w:rPr>
          <w:sz w:val="24"/>
          <w:szCs w:val="24"/>
        </w:rPr>
        <w:t>–</w:t>
      </w:r>
      <w:r>
        <w:rPr>
          <w:sz w:val="24"/>
          <w:szCs w:val="24"/>
        </w:rPr>
        <w:t xml:space="preserve"> 18</w:t>
      </w:r>
      <w:r w:rsidRPr="00D05122">
        <w:rPr>
          <w:sz w:val="24"/>
          <w:szCs w:val="24"/>
        </w:rPr>
        <w:t xml:space="preserve">. </w:t>
      </w:r>
    </w:p>
    <w:p w:rsidR="00635258" w:rsidRPr="003A1BAD" w:rsidRDefault="00635258" w:rsidP="00131D2B">
      <w:pPr>
        <w:widowControl w:val="0"/>
        <w:ind w:firstLine="425"/>
        <w:jc w:val="both"/>
        <w:rPr>
          <w:sz w:val="24"/>
          <w:szCs w:val="24"/>
        </w:rPr>
      </w:pPr>
      <w:r w:rsidRPr="003A1BAD">
        <w:rPr>
          <w:sz w:val="24"/>
          <w:szCs w:val="24"/>
        </w:rPr>
        <w:t xml:space="preserve">На основании соответствующих разрешений Приднестровского республиканского банка в течение отчётного года 10 предприятий-резидентов Приднестровской Молдавской Республики проводили операции через открытые ими счета в банках за пределами региона. 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анализируемом периоде было</w:t>
      </w:r>
      <w:r w:rsidRPr="003A1BAD">
        <w:rPr>
          <w:sz w:val="24"/>
          <w:szCs w:val="24"/>
        </w:rPr>
        <w:t xml:space="preserve"> зарегистрировано 87 обменных пунктов. </w:t>
      </w:r>
      <w:r>
        <w:rPr>
          <w:sz w:val="24"/>
          <w:szCs w:val="24"/>
        </w:rPr>
        <w:t xml:space="preserve">По состоянию на </w:t>
      </w:r>
      <w:r w:rsidRPr="003A1BAD">
        <w:rPr>
          <w:sz w:val="24"/>
          <w:szCs w:val="24"/>
        </w:rPr>
        <w:t>31 декабря 2015 года общее число действующих обменных пунктов составило 439, из них 99 обменных пунктов небанковских кредитных организаций. Проверки обменных пунктов проводились Приднестровским республиканским банком с целью контроля соблюдения порядка совершения и уч</w:t>
      </w:r>
      <w:r>
        <w:rPr>
          <w:sz w:val="24"/>
          <w:szCs w:val="24"/>
        </w:rPr>
        <w:t>ё</w:t>
      </w:r>
      <w:r w:rsidRPr="003A1BAD">
        <w:rPr>
          <w:sz w:val="24"/>
          <w:szCs w:val="24"/>
        </w:rPr>
        <w:t>та валютно-обменных операций на территории Приднестровской Молдавской Республики в соответствии с планами проверок.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635258" w:rsidRPr="005A54B0" w:rsidRDefault="00635258" w:rsidP="00131D2B">
      <w:pPr>
        <w:numPr>
          <w:ilvl w:val="1"/>
          <w:numId w:val="3"/>
        </w:numPr>
        <w:tabs>
          <w:tab w:val="clear" w:pos="360"/>
          <w:tab w:val="num" w:pos="0"/>
        </w:tabs>
        <w:ind w:left="0" w:firstLine="0"/>
        <w:jc w:val="both"/>
        <w:rPr>
          <w:b/>
          <w:bCs/>
          <w:noProof/>
          <w:sz w:val="24"/>
          <w:szCs w:val="24"/>
        </w:rPr>
      </w:pPr>
      <w:r w:rsidRPr="005A54B0">
        <w:rPr>
          <w:b/>
          <w:bCs/>
          <w:noProof/>
          <w:sz w:val="24"/>
          <w:szCs w:val="24"/>
        </w:rPr>
        <w:t xml:space="preserve">ДЕЯТЕЛЬНОСТЬ ПРИДНЕСТРОВСКОГО РЕСПУБЛИКАНСКОГО БАНКА В ОБЛАСТИ ПРОТИВОДЕЙСТВИЯ ЛЕГАЛИЗАЦИИ (ОТМЫВАНИЮ) ДОХОДОВ, ПОЛУЧЕННЫХ ПРЕСТУПНЫМ ПУТЁМ, И ФИНАНСИРОВАНИЮ ТЕРРОРИЗМА </w:t>
      </w:r>
    </w:p>
    <w:p w:rsidR="00635258" w:rsidRPr="008A3978" w:rsidRDefault="00635258" w:rsidP="00131D2B">
      <w:pPr>
        <w:widowControl w:val="0"/>
        <w:spacing w:before="120"/>
        <w:ind w:firstLine="425"/>
        <w:jc w:val="both"/>
        <w:rPr>
          <w:sz w:val="24"/>
          <w:szCs w:val="24"/>
        </w:rPr>
      </w:pPr>
      <w:r w:rsidRPr="005A54B0">
        <w:rPr>
          <w:sz w:val="24"/>
          <w:szCs w:val="24"/>
        </w:rPr>
        <w:t>В 2015 году Приднестровским республиканским банком была продолжена работа по</w:t>
      </w:r>
      <w:r w:rsidRPr="008A3978">
        <w:rPr>
          <w:sz w:val="24"/>
          <w:szCs w:val="24"/>
        </w:rPr>
        <w:t xml:space="preserve"> развитию системы противодействия легализации (отмыванию) доходов, полученных преступным путём, и финансированию терроризма (далее – ПОД/ФТ).</w:t>
      </w:r>
    </w:p>
    <w:p w:rsidR="00635258" w:rsidRPr="005A54B0" w:rsidRDefault="00635258" w:rsidP="00131D2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A3978">
        <w:rPr>
          <w:sz w:val="24"/>
          <w:szCs w:val="24"/>
        </w:rPr>
        <w:t xml:space="preserve">еализация функций, предусмотренных статьёй 12 Закона ПМР от 6 апреля 2009 года </w:t>
      </w:r>
      <w:r>
        <w:rPr>
          <w:sz w:val="24"/>
          <w:szCs w:val="24"/>
        </w:rPr>
        <w:br/>
      </w:r>
      <w:r w:rsidRPr="008A3978">
        <w:rPr>
          <w:sz w:val="24"/>
          <w:szCs w:val="24"/>
        </w:rPr>
        <w:t>№ 704-З-IV «О противодействии легализации (отмыванию) доходов, полученных преступным путём, и финансированию терроризма» (далее – Закон)</w:t>
      </w:r>
      <w:r>
        <w:rPr>
          <w:sz w:val="24"/>
          <w:szCs w:val="24"/>
        </w:rPr>
        <w:t>,</w:t>
      </w:r>
      <w:r w:rsidRPr="008A3978">
        <w:rPr>
          <w:sz w:val="24"/>
          <w:szCs w:val="24"/>
        </w:rPr>
        <w:t xml:space="preserve"> </w:t>
      </w:r>
      <w:r>
        <w:rPr>
          <w:sz w:val="24"/>
          <w:szCs w:val="24"/>
        </w:rPr>
        <w:t>Приднестровским республиканским банком</w:t>
      </w:r>
      <w:r w:rsidRPr="008A3978">
        <w:rPr>
          <w:sz w:val="24"/>
          <w:szCs w:val="24"/>
        </w:rPr>
        <w:t xml:space="preserve"> как уполномоченным</w:t>
      </w:r>
      <w:r w:rsidRPr="005A54B0">
        <w:rPr>
          <w:sz w:val="24"/>
          <w:szCs w:val="24"/>
        </w:rPr>
        <w:t xml:space="preserve"> органом в сфере ПОД/ФТ </w:t>
      </w:r>
      <w:r>
        <w:rPr>
          <w:sz w:val="24"/>
          <w:szCs w:val="24"/>
        </w:rPr>
        <w:t>в</w:t>
      </w:r>
      <w:r w:rsidRPr="008A3978">
        <w:rPr>
          <w:sz w:val="24"/>
          <w:szCs w:val="24"/>
        </w:rPr>
        <w:t xml:space="preserve"> 2015 году </w:t>
      </w:r>
      <w:r w:rsidRPr="005A54B0">
        <w:rPr>
          <w:sz w:val="24"/>
          <w:szCs w:val="24"/>
        </w:rPr>
        <w:t>осуществл</w:t>
      </w:r>
      <w:r>
        <w:rPr>
          <w:sz w:val="24"/>
          <w:szCs w:val="24"/>
        </w:rPr>
        <w:t>ялась по следующим направлениям:</w:t>
      </w:r>
    </w:p>
    <w:p w:rsidR="00635258" w:rsidRPr="008A3978" w:rsidRDefault="00635258" w:rsidP="00131D2B">
      <w:pPr>
        <w:numPr>
          <w:ilvl w:val="0"/>
          <w:numId w:val="7"/>
        </w:numPr>
        <w:tabs>
          <w:tab w:val="left" w:pos="72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A3978">
        <w:rPr>
          <w:sz w:val="24"/>
          <w:szCs w:val="24"/>
        </w:rPr>
        <w:t xml:space="preserve">а учёт </w:t>
      </w:r>
      <w:r>
        <w:rPr>
          <w:sz w:val="24"/>
          <w:szCs w:val="24"/>
        </w:rPr>
        <w:t xml:space="preserve">было </w:t>
      </w:r>
      <w:r w:rsidRPr="008A3978">
        <w:rPr>
          <w:sz w:val="24"/>
          <w:szCs w:val="24"/>
        </w:rPr>
        <w:t>поставлено 10 субъектов финансового мониторинга</w:t>
      </w:r>
      <w:r>
        <w:rPr>
          <w:sz w:val="24"/>
          <w:szCs w:val="24"/>
        </w:rPr>
        <w:t xml:space="preserve"> (против 6-ти в </w:t>
      </w:r>
      <w:r>
        <w:rPr>
          <w:sz w:val="24"/>
          <w:szCs w:val="24"/>
        </w:rPr>
        <w:br/>
        <w:t xml:space="preserve">2014 году), </w:t>
      </w:r>
      <w:r w:rsidRPr="008A3978">
        <w:rPr>
          <w:sz w:val="24"/>
          <w:szCs w:val="24"/>
        </w:rPr>
        <w:t>в том числе:</w:t>
      </w:r>
    </w:p>
    <w:p w:rsidR="00635258" w:rsidRPr="008A3978" w:rsidRDefault="00635258" w:rsidP="00131D2B">
      <w:pPr>
        <w:tabs>
          <w:tab w:val="left" w:pos="7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восемь организаций, оказывающи</w:t>
      </w:r>
      <w:r>
        <w:rPr>
          <w:sz w:val="24"/>
          <w:szCs w:val="24"/>
        </w:rPr>
        <w:t>х</w:t>
      </w:r>
      <w:r w:rsidRPr="008A3978">
        <w:rPr>
          <w:sz w:val="24"/>
          <w:szCs w:val="24"/>
        </w:rPr>
        <w:t xml:space="preserve"> посреднические услуги при осуществлении сделок с недвижимым имуществом;</w:t>
      </w:r>
    </w:p>
    <w:p w:rsidR="00635258" w:rsidRPr="008A3978" w:rsidRDefault="00635258" w:rsidP="00131D2B">
      <w:pPr>
        <w:tabs>
          <w:tab w:val="left" w:pos="7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одна организация, оказывающая бухгалтерские услуги;</w:t>
      </w:r>
    </w:p>
    <w:p w:rsidR="00635258" w:rsidRPr="008A3978" w:rsidRDefault="00635258" w:rsidP="00131D2B">
      <w:pPr>
        <w:tabs>
          <w:tab w:val="left" w:pos="7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одна организация, осуществляющая игорную деятельность.</w:t>
      </w:r>
    </w:p>
    <w:p w:rsidR="00635258" w:rsidRPr="008A3978" w:rsidRDefault="00635258" w:rsidP="00131D2B">
      <w:pPr>
        <w:tabs>
          <w:tab w:val="left" w:pos="7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итогам анализируемого года на учёте находилось 178</w:t>
      </w:r>
      <w:r w:rsidRPr="008A3978">
        <w:rPr>
          <w:sz w:val="24"/>
          <w:szCs w:val="24"/>
        </w:rPr>
        <w:t xml:space="preserve"> организаций, осуществляющих операции (сделки) с денежными средствами или иным имуществом</w:t>
      </w:r>
      <w:r>
        <w:rPr>
          <w:sz w:val="24"/>
          <w:szCs w:val="24"/>
        </w:rPr>
        <w:t>,</w:t>
      </w:r>
      <w:r w:rsidRPr="008A3978">
        <w:rPr>
          <w:sz w:val="24"/>
          <w:szCs w:val="24"/>
        </w:rPr>
        <w:t xml:space="preserve"> и иных лиц, в том числе:</w:t>
      </w:r>
    </w:p>
    <w:p w:rsidR="00635258" w:rsidRPr="008A3978" w:rsidRDefault="00635258" w:rsidP="00131D2B">
      <w:pPr>
        <w:tabs>
          <w:tab w:val="left" w:pos="10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кредитные организации – 12;</w:t>
      </w:r>
    </w:p>
    <w:p w:rsidR="00635258" w:rsidRPr="008A3978" w:rsidRDefault="00635258" w:rsidP="00131D2B">
      <w:pPr>
        <w:tabs>
          <w:tab w:val="left" w:pos="10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профессиональные участники рынка ценных бумаг – 5;</w:t>
      </w:r>
    </w:p>
    <w:p w:rsidR="00635258" w:rsidRPr="008A3978" w:rsidRDefault="00635258" w:rsidP="00131D2B">
      <w:pPr>
        <w:tabs>
          <w:tab w:val="left" w:pos="10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лизинговые компании – 3;</w:t>
      </w:r>
    </w:p>
    <w:p w:rsidR="00635258" w:rsidRPr="008A3978" w:rsidRDefault="00635258" w:rsidP="00131D2B">
      <w:pPr>
        <w:tabs>
          <w:tab w:val="left" w:pos="10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страховые организации – 4;</w:t>
      </w:r>
    </w:p>
    <w:p w:rsidR="00635258" w:rsidRPr="008A3978" w:rsidRDefault="00635258" w:rsidP="00131D2B">
      <w:pPr>
        <w:tabs>
          <w:tab w:val="left" w:pos="10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оказывающие</w:t>
      </w:r>
      <w:r w:rsidRPr="008A3978">
        <w:rPr>
          <w:sz w:val="24"/>
          <w:szCs w:val="24"/>
        </w:rPr>
        <w:t xml:space="preserve"> посреднические услуги при осуществлении сделок с недвижимым имуществом, – 48;</w:t>
      </w:r>
    </w:p>
    <w:p w:rsidR="00635258" w:rsidRPr="008A3978" w:rsidRDefault="00635258" w:rsidP="004268D0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организации, содержащие тотализаторы, залы игровых автоматов, казино и букмекерские конторы, а также организующие и проводящие азартные игры </w:t>
      </w:r>
      <w:r>
        <w:rPr>
          <w:sz w:val="24"/>
          <w:szCs w:val="24"/>
        </w:rPr>
        <w:t>(</w:t>
      </w:r>
      <w:r w:rsidRPr="008A3978">
        <w:rPr>
          <w:sz w:val="24"/>
          <w:szCs w:val="24"/>
        </w:rPr>
        <w:t>пари</w:t>
      </w:r>
      <w:r>
        <w:rPr>
          <w:sz w:val="24"/>
          <w:szCs w:val="24"/>
        </w:rPr>
        <w:t>)</w:t>
      </w:r>
      <w:r w:rsidRPr="008A3978">
        <w:rPr>
          <w:sz w:val="24"/>
          <w:szCs w:val="24"/>
        </w:rPr>
        <w:t>, – 19;</w:t>
      </w:r>
    </w:p>
    <w:p w:rsidR="00635258" w:rsidRPr="008A3978" w:rsidRDefault="00635258" w:rsidP="00131D2B">
      <w:pPr>
        <w:tabs>
          <w:tab w:val="left" w:pos="10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ломбарды</w:t>
      </w:r>
      <w:r>
        <w:rPr>
          <w:sz w:val="24"/>
          <w:szCs w:val="24"/>
        </w:rPr>
        <w:t xml:space="preserve"> –</w:t>
      </w:r>
      <w:r w:rsidRPr="008A3978">
        <w:rPr>
          <w:sz w:val="24"/>
          <w:szCs w:val="24"/>
        </w:rPr>
        <w:t xml:space="preserve"> 12;</w:t>
      </w:r>
    </w:p>
    <w:p w:rsidR="00635258" w:rsidRPr="008A3978" w:rsidRDefault="00635258" w:rsidP="00131D2B">
      <w:pPr>
        <w:tabs>
          <w:tab w:val="left" w:pos="10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организации, осуществляющие куплю-продажу драгоценных металлов и драгоценных камней, ювелирных изделий из них и лома таких изделий, – 13;</w:t>
      </w:r>
    </w:p>
    <w:p w:rsidR="00635258" w:rsidRPr="008A3978" w:rsidRDefault="00635258" w:rsidP="00131D2B">
      <w:pPr>
        <w:tabs>
          <w:tab w:val="left" w:pos="10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организации, оказывающие бухгалтерские услуги, – 10;</w:t>
      </w:r>
    </w:p>
    <w:p w:rsidR="00635258" w:rsidRPr="008A3978" w:rsidRDefault="00635258" w:rsidP="00131D2B">
      <w:pPr>
        <w:widowControl w:val="0"/>
        <w:tabs>
          <w:tab w:val="left" w:pos="1080"/>
          <w:tab w:val="num" w:pos="1620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5A54B0">
        <w:rPr>
          <w:sz w:val="24"/>
          <w:szCs w:val="24"/>
        </w:rPr>
        <w:t xml:space="preserve"> нотариусы – 43;</w:t>
      </w:r>
    </w:p>
    <w:p w:rsidR="00635258" w:rsidRPr="005A54B0" w:rsidRDefault="00635258" w:rsidP="00131D2B">
      <w:pPr>
        <w:tabs>
          <w:tab w:val="left" w:pos="1080"/>
          <w:tab w:val="num" w:pos="16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5A54B0">
        <w:rPr>
          <w:sz w:val="24"/>
          <w:szCs w:val="24"/>
        </w:rPr>
        <w:t xml:space="preserve"> организации почтовой связи – 9.</w:t>
      </w:r>
    </w:p>
    <w:p w:rsidR="00635258" w:rsidRPr="008A3978" w:rsidRDefault="00635258" w:rsidP="00131D2B">
      <w:pPr>
        <w:widowControl w:val="0"/>
        <w:numPr>
          <w:ilvl w:val="0"/>
          <w:numId w:val="7"/>
        </w:numPr>
        <w:tabs>
          <w:tab w:val="left" w:pos="720"/>
        </w:tabs>
        <w:ind w:left="0" w:firstLine="425"/>
        <w:jc w:val="both"/>
        <w:rPr>
          <w:sz w:val="24"/>
          <w:szCs w:val="24"/>
        </w:rPr>
      </w:pPr>
      <w:r w:rsidRPr="008A3978">
        <w:rPr>
          <w:sz w:val="24"/>
          <w:szCs w:val="24"/>
        </w:rPr>
        <w:t xml:space="preserve">Рассмотрены и согласованы Правила внутреннего контроля (изменения и (или) дополнения), представленные на согласование </w:t>
      </w:r>
      <w:r w:rsidRPr="007311E5">
        <w:rPr>
          <w:sz w:val="24"/>
          <w:szCs w:val="24"/>
        </w:rPr>
        <w:t>2</w:t>
      </w:r>
      <w:r>
        <w:rPr>
          <w:sz w:val="24"/>
          <w:szCs w:val="24"/>
        </w:rPr>
        <w:t>0-тью</w:t>
      </w:r>
      <w:r w:rsidRPr="007311E5">
        <w:rPr>
          <w:sz w:val="24"/>
          <w:szCs w:val="24"/>
        </w:rPr>
        <w:t xml:space="preserve"> организациями</w:t>
      </w:r>
      <w:r w:rsidRPr="008A3978">
        <w:rPr>
          <w:sz w:val="24"/>
          <w:szCs w:val="24"/>
        </w:rPr>
        <w:t>, осуществляющими операции (сделки) с денежными средствами или иным имуществом.</w:t>
      </w:r>
    </w:p>
    <w:p w:rsidR="00635258" w:rsidRPr="008A3978" w:rsidRDefault="00635258" w:rsidP="003E511B">
      <w:pPr>
        <w:numPr>
          <w:ilvl w:val="0"/>
          <w:numId w:val="7"/>
        </w:numPr>
        <w:tabs>
          <w:tab w:val="clear" w:pos="785"/>
          <w:tab w:val="num" w:pos="709"/>
          <w:tab w:val="left" w:pos="1080"/>
          <w:tab w:val="num" w:pos="162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8A3978">
        <w:rPr>
          <w:sz w:val="24"/>
          <w:szCs w:val="24"/>
        </w:rPr>
        <w:t>Единую информационную систему в сфере ПОД/ФТ поступ</w:t>
      </w:r>
      <w:r>
        <w:rPr>
          <w:sz w:val="24"/>
          <w:szCs w:val="24"/>
        </w:rPr>
        <w:t xml:space="preserve">ило </w:t>
      </w:r>
      <w:r w:rsidRPr="007311E5">
        <w:rPr>
          <w:sz w:val="24"/>
          <w:szCs w:val="24"/>
        </w:rPr>
        <w:t xml:space="preserve">3 364 </w:t>
      </w:r>
      <w:r w:rsidRPr="008A3978">
        <w:rPr>
          <w:sz w:val="24"/>
          <w:szCs w:val="24"/>
        </w:rPr>
        <w:t>сообщения от субъектов первичного мониторинга об операциях (сделках) с денежными</w:t>
      </w:r>
      <w:r>
        <w:rPr>
          <w:sz w:val="24"/>
          <w:szCs w:val="24"/>
        </w:rPr>
        <w:t xml:space="preserve"> средствами или иным имуществом,</w:t>
      </w:r>
      <w:r w:rsidRPr="007311E5">
        <w:rPr>
          <w:sz w:val="24"/>
          <w:szCs w:val="24"/>
        </w:rPr>
        <w:t xml:space="preserve"> что на 116 меньше количества, принятых</w:t>
      </w:r>
      <w:r w:rsidRPr="008A3978">
        <w:rPr>
          <w:sz w:val="24"/>
          <w:szCs w:val="24"/>
        </w:rPr>
        <w:t xml:space="preserve"> системой в 2014 году. </w:t>
      </w:r>
    </w:p>
    <w:p w:rsidR="00635258" w:rsidRPr="008A3978" w:rsidRDefault="00635258" w:rsidP="00FE10D4">
      <w:pPr>
        <w:tabs>
          <w:tab w:val="left" w:pos="720"/>
          <w:tab w:val="left" w:pos="1080"/>
          <w:tab w:val="num" w:pos="1620"/>
        </w:tabs>
        <w:ind w:firstLine="426"/>
        <w:jc w:val="both"/>
        <w:rPr>
          <w:sz w:val="24"/>
          <w:szCs w:val="24"/>
        </w:rPr>
      </w:pPr>
      <w:r w:rsidRPr="008A3978">
        <w:rPr>
          <w:sz w:val="24"/>
          <w:szCs w:val="24"/>
        </w:rPr>
        <w:t xml:space="preserve">Из общего числа: </w:t>
      </w:r>
    </w:p>
    <w:p w:rsidR="00635258" w:rsidRDefault="00635258" w:rsidP="00FE10D4">
      <w:pPr>
        <w:widowControl w:val="0"/>
        <w:tabs>
          <w:tab w:val="left" w:pos="720"/>
          <w:tab w:val="left" w:pos="900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A3978">
        <w:rPr>
          <w:sz w:val="24"/>
          <w:szCs w:val="24"/>
        </w:rPr>
        <w:t>536 сообщени</w:t>
      </w:r>
      <w:r>
        <w:rPr>
          <w:sz w:val="24"/>
          <w:szCs w:val="24"/>
        </w:rPr>
        <w:t>й,</w:t>
      </w:r>
      <w:r w:rsidRPr="008A3978">
        <w:rPr>
          <w:sz w:val="24"/>
          <w:szCs w:val="24"/>
        </w:rPr>
        <w:t xml:space="preserve"> или 15,9%</w:t>
      </w:r>
      <w:r>
        <w:rPr>
          <w:sz w:val="24"/>
          <w:szCs w:val="24"/>
        </w:rPr>
        <w:t xml:space="preserve"> (-3,2 п.п.)</w:t>
      </w:r>
      <w:r w:rsidRPr="008A3978">
        <w:rPr>
          <w:sz w:val="24"/>
          <w:szCs w:val="24"/>
        </w:rPr>
        <w:t xml:space="preserve">, пришлось на сообщения </w:t>
      </w:r>
      <w:r>
        <w:rPr>
          <w:sz w:val="24"/>
          <w:szCs w:val="24"/>
        </w:rPr>
        <w:t>об</w:t>
      </w:r>
      <w:r w:rsidRPr="008A3978">
        <w:rPr>
          <w:sz w:val="24"/>
          <w:szCs w:val="24"/>
        </w:rPr>
        <w:t xml:space="preserve"> операция</w:t>
      </w:r>
      <w:r>
        <w:rPr>
          <w:sz w:val="24"/>
          <w:szCs w:val="24"/>
        </w:rPr>
        <w:t>х</w:t>
      </w:r>
      <w:r w:rsidRPr="008A3978">
        <w:rPr>
          <w:sz w:val="24"/>
          <w:szCs w:val="24"/>
        </w:rPr>
        <w:t xml:space="preserve"> (сделка</w:t>
      </w:r>
      <w:r>
        <w:rPr>
          <w:sz w:val="24"/>
          <w:szCs w:val="24"/>
        </w:rPr>
        <w:t>х</w:t>
      </w:r>
      <w:r w:rsidRPr="008A3978">
        <w:rPr>
          <w:sz w:val="24"/>
          <w:szCs w:val="24"/>
        </w:rPr>
        <w:t>), подлежащи</w:t>
      </w:r>
      <w:r>
        <w:rPr>
          <w:sz w:val="24"/>
          <w:szCs w:val="24"/>
        </w:rPr>
        <w:t>х</w:t>
      </w:r>
      <w:r w:rsidRPr="008A3978">
        <w:rPr>
          <w:sz w:val="24"/>
          <w:szCs w:val="24"/>
        </w:rPr>
        <w:t xml:space="preserve"> государственному контролю, что на </w:t>
      </w:r>
      <w:r>
        <w:rPr>
          <w:sz w:val="24"/>
          <w:szCs w:val="24"/>
        </w:rPr>
        <w:t>19,3</w:t>
      </w:r>
      <w:r w:rsidRPr="008A3978">
        <w:rPr>
          <w:sz w:val="24"/>
          <w:szCs w:val="24"/>
        </w:rPr>
        <w:t xml:space="preserve">% меньше </w:t>
      </w:r>
      <w:r>
        <w:rPr>
          <w:sz w:val="24"/>
          <w:szCs w:val="24"/>
        </w:rPr>
        <w:t>отметки</w:t>
      </w:r>
      <w:r w:rsidRPr="008A3978">
        <w:rPr>
          <w:sz w:val="24"/>
          <w:szCs w:val="24"/>
        </w:rPr>
        <w:t xml:space="preserve"> </w:t>
      </w:r>
      <w:r>
        <w:rPr>
          <w:sz w:val="24"/>
          <w:szCs w:val="24"/>
        </w:rPr>
        <w:t>базисного</w:t>
      </w:r>
      <w:r w:rsidRPr="008A3978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635258" w:rsidRPr="008A3978" w:rsidRDefault="00635258" w:rsidP="00FE10D4">
      <w:pPr>
        <w:widowControl w:val="0"/>
        <w:tabs>
          <w:tab w:val="left" w:pos="720"/>
          <w:tab w:val="left" w:pos="900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8A3978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Pr="008A3978">
        <w:rPr>
          <w:sz w:val="24"/>
          <w:szCs w:val="24"/>
        </w:rPr>
        <w:t>828</w:t>
      </w:r>
      <w:r>
        <w:rPr>
          <w:sz w:val="24"/>
          <w:szCs w:val="24"/>
        </w:rPr>
        <w:t xml:space="preserve"> </w:t>
      </w:r>
      <w:r w:rsidRPr="008A3978">
        <w:rPr>
          <w:sz w:val="24"/>
          <w:szCs w:val="24"/>
        </w:rPr>
        <w:t>сообщений</w:t>
      </w:r>
      <w:r>
        <w:rPr>
          <w:sz w:val="24"/>
          <w:szCs w:val="24"/>
        </w:rPr>
        <w:t>,</w:t>
      </w:r>
      <w:r w:rsidRPr="008A3978">
        <w:rPr>
          <w:sz w:val="24"/>
          <w:szCs w:val="24"/>
        </w:rPr>
        <w:t xml:space="preserve"> или 84</w:t>
      </w:r>
      <w:r>
        <w:rPr>
          <w:sz w:val="24"/>
          <w:szCs w:val="24"/>
        </w:rPr>
        <w:t>,1</w:t>
      </w:r>
      <w:r w:rsidRPr="008A3978">
        <w:rPr>
          <w:sz w:val="24"/>
          <w:szCs w:val="24"/>
        </w:rPr>
        <w:t>% от общего объёма</w:t>
      </w:r>
      <w:r>
        <w:rPr>
          <w:sz w:val="24"/>
          <w:szCs w:val="24"/>
        </w:rPr>
        <w:t>,</w:t>
      </w:r>
      <w:r w:rsidRPr="008A3978">
        <w:rPr>
          <w:sz w:val="24"/>
          <w:szCs w:val="24"/>
        </w:rPr>
        <w:t xml:space="preserve"> было передано в отношении операций (сделок), в отношении которых возникли подозрения, что они связаны с легализацией (отмыванием) доходов, полученных преступным путём, и финансированием терроризма. В </w:t>
      </w:r>
      <w:r>
        <w:rPr>
          <w:sz w:val="24"/>
          <w:szCs w:val="24"/>
        </w:rPr>
        <w:t>предыдущем году</w:t>
      </w:r>
      <w:r w:rsidRPr="008A3978">
        <w:rPr>
          <w:sz w:val="24"/>
          <w:szCs w:val="24"/>
        </w:rPr>
        <w:t xml:space="preserve"> было получено 2</w:t>
      </w:r>
      <w:r>
        <w:rPr>
          <w:sz w:val="24"/>
          <w:szCs w:val="24"/>
        </w:rPr>
        <w:t> </w:t>
      </w:r>
      <w:r w:rsidRPr="008A3978">
        <w:rPr>
          <w:sz w:val="24"/>
          <w:szCs w:val="24"/>
        </w:rPr>
        <w:t>816 подобных сообщений.</w:t>
      </w:r>
    </w:p>
    <w:p w:rsidR="00635258" w:rsidRPr="008A3978" w:rsidRDefault="00635258" w:rsidP="00131D2B">
      <w:pPr>
        <w:tabs>
          <w:tab w:val="left" w:pos="720"/>
          <w:tab w:val="left" w:pos="900"/>
        </w:tabs>
        <w:ind w:firstLine="426"/>
        <w:jc w:val="both"/>
        <w:rPr>
          <w:sz w:val="24"/>
          <w:szCs w:val="24"/>
        </w:rPr>
      </w:pPr>
      <w:r w:rsidRPr="008A3978">
        <w:rPr>
          <w:sz w:val="24"/>
          <w:szCs w:val="24"/>
        </w:rPr>
        <w:t xml:space="preserve">По итогам анализа полученных сообщений, а также иной информации, имеющейся в распоряжении Приднестровского республиканского банка, в правоохранительные органы </w:t>
      </w:r>
      <w:r>
        <w:rPr>
          <w:sz w:val="24"/>
          <w:szCs w:val="24"/>
        </w:rPr>
        <w:t xml:space="preserve">было </w:t>
      </w:r>
      <w:r w:rsidRPr="008A3978">
        <w:rPr>
          <w:sz w:val="24"/>
          <w:szCs w:val="24"/>
        </w:rPr>
        <w:t xml:space="preserve">направлено 16 </w:t>
      </w:r>
      <w:r>
        <w:rPr>
          <w:sz w:val="24"/>
          <w:szCs w:val="24"/>
        </w:rPr>
        <w:t>уведомлений</w:t>
      </w:r>
      <w:r w:rsidRPr="008A3978">
        <w:rPr>
          <w:sz w:val="24"/>
          <w:szCs w:val="24"/>
        </w:rPr>
        <w:t xml:space="preserve"> об операциях с денежными средствами, в отношении которых имелись основания полагать, что они связаны с легализацией (отмыванием) доходов, полученных преступным путём, и финансированием терроризма.</w:t>
      </w:r>
    </w:p>
    <w:p w:rsidR="00635258" w:rsidRPr="008A3978" w:rsidRDefault="00635258" w:rsidP="00131D2B">
      <w:pPr>
        <w:ind w:firstLine="426"/>
        <w:jc w:val="both"/>
        <w:rPr>
          <w:sz w:val="24"/>
          <w:szCs w:val="24"/>
        </w:rPr>
      </w:pPr>
      <w:r w:rsidRPr="008A3978">
        <w:rPr>
          <w:sz w:val="24"/>
          <w:szCs w:val="24"/>
        </w:rPr>
        <w:t>Направленная информация используется в оперативных целях, а также по ряду материалов в настоящее время проводятся оперативно-розыскные мероприятия.</w:t>
      </w:r>
    </w:p>
    <w:p w:rsidR="00635258" w:rsidRPr="008A3978" w:rsidRDefault="00635258" w:rsidP="00131D2B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8A397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8A3978">
        <w:rPr>
          <w:sz w:val="24"/>
          <w:szCs w:val="24"/>
        </w:rPr>
        <w:t xml:space="preserve"> В рамках контроля за выполнением физическими и юридическими лицами законодательства Приднестровской Молдавской Республики в сфере ПОД/ФТ:</w:t>
      </w:r>
    </w:p>
    <w:p w:rsidR="00635258" w:rsidRPr="008A3978" w:rsidRDefault="00635258" w:rsidP="00131D2B">
      <w:pPr>
        <w:tabs>
          <w:tab w:val="left" w:pos="7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проведена 1 выездная проверка кредитной организации на предмет соблюдения требований законодательства о противодействии легализации (отмыванию) доходов, полученных преступным пут</w:t>
      </w:r>
      <w:r>
        <w:rPr>
          <w:sz w:val="24"/>
          <w:szCs w:val="24"/>
        </w:rPr>
        <w:t>ё</w:t>
      </w:r>
      <w:r w:rsidRPr="008A3978">
        <w:rPr>
          <w:sz w:val="24"/>
          <w:szCs w:val="24"/>
        </w:rPr>
        <w:t xml:space="preserve">м, и финансированию терроризма. </w:t>
      </w:r>
    </w:p>
    <w:p w:rsidR="00635258" w:rsidRPr="008A3978" w:rsidRDefault="00635258" w:rsidP="00131D2B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8A3978">
        <w:rPr>
          <w:sz w:val="24"/>
          <w:szCs w:val="24"/>
        </w:rPr>
        <w:t>По результатам проверочного мероприятия подготовлен и направлен кредитной организации акт с предписаниями об устранении выявленных нарушений. За неисполнение требований законодательства в части осуществления в</w:t>
      </w:r>
      <w:r>
        <w:rPr>
          <w:sz w:val="24"/>
          <w:szCs w:val="24"/>
        </w:rPr>
        <w:t xml:space="preserve">нутреннего контроля, повлекшее </w:t>
      </w:r>
      <w:r w:rsidRPr="008A3978">
        <w:rPr>
          <w:sz w:val="24"/>
          <w:szCs w:val="24"/>
        </w:rPr>
        <w:t xml:space="preserve">непредставление в Приднестровский республиканский банк сведений об операциях, подлежащих государственному контролю, возбуждены дела об административных правонарушениях в отношении </w:t>
      </w:r>
      <w:r>
        <w:rPr>
          <w:sz w:val="24"/>
          <w:szCs w:val="24"/>
        </w:rPr>
        <w:t xml:space="preserve">коммерческого банка </w:t>
      </w:r>
      <w:r w:rsidRPr="008A3978">
        <w:rPr>
          <w:sz w:val="24"/>
          <w:szCs w:val="24"/>
        </w:rPr>
        <w:t>и его должностного лица. Материалы находятся на рассмотрении в Арбитражном суде ПМР;</w:t>
      </w:r>
    </w:p>
    <w:p w:rsidR="00635258" w:rsidRPr="008A3978" w:rsidRDefault="00635258" w:rsidP="00131D2B">
      <w:pPr>
        <w:tabs>
          <w:tab w:val="left" w:pos="7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8A3978">
        <w:rPr>
          <w:sz w:val="24"/>
          <w:szCs w:val="24"/>
        </w:rPr>
        <w:t xml:space="preserve"> возбуждено </w:t>
      </w:r>
      <w:r>
        <w:rPr>
          <w:sz w:val="24"/>
          <w:szCs w:val="24"/>
        </w:rPr>
        <w:t>22</w:t>
      </w:r>
      <w:r w:rsidRPr="008A3978">
        <w:rPr>
          <w:sz w:val="24"/>
          <w:szCs w:val="24"/>
        </w:rPr>
        <w:t xml:space="preserve"> дел</w:t>
      </w:r>
      <w:r>
        <w:rPr>
          <w:sz w:val="24"/>
          <w:szCs w:val="24"/>
        </w:rPr>
        <w:t>а</w:t>
      </w:r>
      <w:r w:rsidRPr="008A3978">
        <w:rPr>
          <w:sz w:val="24"/>
          <w:szCs w:val="24"/>
        </w:rPr>
        <w:t xml:space="preserve"> об административных правонарушениях за нарушение требований законодательства о противодействии легализации (отмыванию) доходов, полученных преступным пут</w:t>
      </w:r>
      <w:r>
        <w:rPr>
          <w:sz w:val="24"/>
          <w:szCs w:val="24"/>
        </w:rPr>
        <w:t>ё</w:t>
      </w:r>
      <w:r w:rsidRPr="008A3978">
        <w:rPr>
          <w:sz w:val="24"/>
          <w:szCs w:val="24"/>
        </w:rPr>
        <w:t xml:space="preserve">м, и финансированию терроризма по статье 15.31 Кодекса ПМР об административных правонарушениях, </w:t>
      </w:r>
      <w:r>
        <w:rPr>
          <w:sz w:val="24"/>
          <w:szCs w:val="24"/>
        </w:rPr>
        <w:t>по которым</w:t>
      </w:r>
      <w:r w:rsidRPr="008A3978">
        <w:rPr>
          <w:sz w:val="24"/>
          <w:szCs w:val="24"/>
        </w:rPr>
        <w:t>:</w:t>
      </w:r>
    </w:p>
    <w:p w:rsidR="00635258" w:rsidRPr="008A3978" w:rsidRDefault="00635258" w:rsidP="00131D2B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5A54B0">
        <w:rPr>
          <w:sz w:val="24"/>
          <w:szCs w:val="24"/>
        </w:rPr>
        <w:t>1) на рассмотрение в Арбитражный суд ПМР направлены материалы по 13 делам об административных правонарушениях,</w:t>
      </w:r>
      <w:r w:rsidRPr="008A3978">
        <w:rPr>
          <w:sz w:val="24"/>
          <w:szCs w:val="24"/>
        </w:rPr>
        <w:t xml:space="preserve"> из них:</w:t>
      </w:r>
    </w:p>
    <w:p w:rsidR="00635258" w:rsidRPr="008A3978" w:rsidRDefault="00635258" w:rsidP="003E511B">
      <w:pPr>
        <w:tabs>
          <w:tab w:val="left" w:pos="108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8A3978">
        <w:rPr>
          <w:sz w:val="24"/>
          <w:szCs w:val="24"/>
        </w:rPr>
        <w:t xml:space="preserve">) </w:t>
      </w:r>
      <w:r w:rsidRPr="005A54B0">
        <w:rPr>
          <w:sz w:val="24"/>
          <w:szCs w:val="24"/>
        </w:rPr>
        <w:t>6 дел об административных правонарушениях за нарушение сроков постановки на уч</w:t>
      </w:r>
      <w:r>
        <w:rPr>
          <w:sz w:val="24"/>
          <w:szCs w:val="24"/>
        </w:rPr>
        <w:t>ё</w:t>
      </w:r>
      <w:r w:rsidRPr="005A54B0">
        <w:rPr>
          <w:sz w:val="24"/>
          <w:szCs w:val="24"/>
        </w:rPr>
        <w:t>т и не направление на согласование правил внутреннего контроля</w:t>
      </w:r>
      <w:r>
        <w:rPr>
          <w:sz w:val="24"/>
          <w:szCs w:val="24"/>
        </w:rPr>
        <w:t>;</w:t>
      </w:r>
    </w:p>
    <w:p w:rsidR="00635258" w:rsidRPr="008A3978" w:rsidRDefault="00635258" w:rsidP="003E511B">
      <w:pPr>
        <w:tabs>
          <w:tab w:val="left" w:pos="108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E1078F">
        <w:rPr>
          <w:sz w:val="24"/>
          <w:szCs w:val="24"/>
        </w:rPr>
        <w:t xml:space="preserve">) </w:t>
      </w:r>
      <w:r w:rsidRPr="005A54B0">
        <w:rPr>
          <w:sz w:val="24"/>
          <w:szCs w:val="24"/>
        </w:rPr>
        <w:t>5 дел об административных правонарушениях за неисполнение требований законодательства в части осуществления внутреннего контроля, повлекшее представление сведений об операциях, подлежащих государственному контролю, с нарушением установленного срока</w:t>
      </w:r>
      <w:r>
        <w:rPr>
          <w:sz w:val="24"/>
          <w:szCs w:val="24"/>
        </w:rPr>
        <w:t>;</w:t>
      </w:r>
      <w:r w:rsidRPr="00032409">
        <w:rPr>
          <w:sz w:val="24"/>
          <w:szCs w:val="24"/>
        </w:rPr>
        <w:t xml:space="preserve"> </w:t>
      </w:r>
    </w:p>
    <w:p w:rsidR="00635258" w:rsidRPr="008A3978" w:rsidRDefault="00635258" w:rsidP="003E511B">
      <w:pPr>
        <w:tabs>
          <w:tab w:val="left" w:pos="1080"/>
        </w:tabs>
        <w:ind w:left="567"/>
        <w:jc w:val="both"/>
        <w:rPr>
          <w:sz w:val="24"/>
          <w:szCs w:val="24"/>
        </w:rPr>
      </w:pPr>
      <w:r w:rsidRPr="005A54B0">
        <w:rPr>
          <w:sz w:val="24"/>
          <w:szCs w:val="24"/>
        </w:rPr>
        <w:t>в) 2 дела об административных правонарушениях за неисполнение требований законодательства в части осуществления внутреннего контроля, повлекшее непредставление сведений об операциях, подлежащих государственному контролю</w:t>
      </w:r>
      <w:r>
        <w:rPr>
          <w:sz w:val="24"/>
          <w:szCs w:val="24"/>
        </w:rPr>
        <w:t>;</w:t>
      </w:r>
    </w:p>
    <w:p w:rsidR="00635258" w:rsidRDefault="00635258" w:rsidP="00131D2B">
      <w:pPr>
        <w:tabs>
          <w:tab w:val="left" w:pos="10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A54B0">
        <w:rPr>
          <w:sz w:val="24"/>
          <w:szCs w:val="24"/>
        </w:rPr>
        <w:t>прекращено 9 производств по административным правонарушениям в результате провед</w:t>
      </w:r>
      <w:r>
        <w:rPr>
          <w:sz w:val="24"/>
          <w:szCs w:val="24"/>
        </w:rPr>
        <w:t>ё</w:t>
      </w:r>
      <w:r w:rsidRPr="005A54B0">
        <w:rPr>
          <w:sz w:val="24"/>
          <w:szCs w:val="24"/>
        </w:rPr>
        <w:t xml:space="preserve">нных </w:t>
      </w:r>
      <w:r>
        <w:rPr>
          <w:sz w:val="24"/>
          <w:szCs w:val="24"/>
        </w:rPr>
        <w:t>центральным банком</w:t>
      </w:r>
      <w:r w:rsidRPr="005A54B0">
        <w:rPr>
          <w:sz w:val="24"/>
          <w:szCs w:val="24"/>
        </w:rPr>
        <w:t xml:space="preserve"> административных расследований. </w:t>
      </w:r>
    </w:p>
    <w:p w:rsidR="00635258" w:rsidRPr="005A54B0" w:rsidRDefault="00635258" w:rsidP="00131D2B">
      <w:pPr>
        <w:tabs>
          <w:tab w:val="left" w:pos="1080"/>
        </w:tabs>
        <w:ind w:firstLine="426"/>
        <w:jc w:val="both"/>
        <w:rPr>
          <w:sz w:val="24"/>
          <w:szCs w:val="24"/>
        </w:rPr>
      </w:pPr>
    </w:p>
    <w:p w:rsidR="00635258" w:rsidRPr="007D49D3" w:rsidRDefault="00635258" w:rsidP="00131D2B">
      <w:pPr>
        <w:jc w:val="both"/>
        <w:rPr>
          <w:b/>
          <w:bCs/>
          <w:noProof/>
          <w:sz w:val="24"/>
          <w:szCs w:val="24"/>
        </w:rPr>
      </w:pPr>
      <w:r w:rsidRPr="00C95612">
        <w:rPr>
          <w:b/>
          <w:bCs/>
          <w:noProof/>
          <w:sz w:val="24"/>
          <w:szCs w:val="24"/>
        </w:rPr>
        <w:t>2.6</w:t>
      </w:r>
      <w:r w:rsidRPr="007D49D3">
        <w:rPr>
          <w:b/>
          <w:bCs/>
          <w:noProof/>
          <w:sz w:val="24"/>
          <w:szCs w:val="24"/>
        </w:rPr>
        <w:t>. ФУНКЦИОНИРОВАНИЕ ПЛАТЁЖНОЙ СИСТЕМЫ ПРИДНЕСТРОВСКОГО РЕСПУБЛИКАНСКОГО БАНКА</w:t>
      </w:r>
    </w:p>
    <w:p w:rsidR="00635258" w:rsidRPr="004E76C4" w:rsidRDefault="00635258" w:rsidP="00897612">
      <w:pPr>
        <w:widowControl w:val="0"/>
        <w:spacing w:before="120" w:line="257" w:lineRule="auto"/>
        <w:ind w:firstLine="425"/>
        <w:jc w:val="both"/>
        <w:rPr>
          <w:sz w:val="24"/>
          <w:szCs w:val="24"/>
        </w:rPr>
      </w:pPr>
      <w:r w:rsidRPr="007D49D3">
        <w:rPr>
          <w:sz w:val="24"/>
          <w:szCs w:val="24"/>
        </w:rPr>
        <w:t>В 201</w:t>
      </w:r>
      <w:r>
        <w:rPr>
          <w:sz w:val="24"/>
          <w:szCs w:val="24"/>
        </w:rPr>
        <w:t>5</w:t>
      </w:r>
      <w:r w:rsidRPr="007D49D3">
        <w:rPr>
          <w:sz w:val="24"/>
          <w:szCs w:val="24"/>
        </w:rPr>
        <w:t xml:space="preserve"> году через платёжную систему</w:t>
      </w:r>
      <w:r w:rsidRPr="004E76C4">
        <w:rPr>
          <w:sz w:val="24"/>
          <w:szCs w:val="24"/>
        </w:rPr>
        <w:t xml:space="preserve"> Приднестровского республиканского банка было осуществлено 1</w:t>
      </w:r>
      <w:r>
        <w:rPr>
          <w:sz w:val="24"/>
          <w:szCs w:val="24"/>
        </w:rPr>
        <w:t> 596,2</w:t>
      </w:r>
      <w:r w:rsidRPr="004E76C4">
        <w:rPr>
          <w:sz w:val="24"/>
          <w:szCs w:val="24"/>
        </w:rPr>
        <w:t xml:space="preserve"> тыс. переводов денежных средств на общую сумму </w:t>
      </w:r>
      <w:r>
        <w:rPr>
          <w:sz w:val="24"/>
          <w:szCs w:val="24"/>
        </w:rPr>
        <w:t>68 396,8</w:t>
      </w:r>
      <w:r w:rsidRPr="004E76C4">
        <w:rPr>
          <w:color w:val="FF0000"/>
          <w:sz w:val="24"/>
          <w:szCs w:val="24"/>
        </w:rPr>
        <w:t xml:space="preserve"> </w:t>
      </w:r>
      <w:r w:rsidRPr="004E76C4">
        <w:rPr>
          <w:sz w:val="24"/>
          <w:szCs w:val="24"/>
        </w:rPr>
        <w:t>млн руб. При этом количеств</w:t>
      </w:r>
      <w:r>
        <w:rPr>
          <w:sz w:val="24"/>
          <w:szCs w:val="24"/>
        </w:rPr>
        <w:t>о</w:t>
      </w:r>
      <w:r w:rsidRPr="004E76C4">
        <w:rPr>
          <w:sz w:val="24"/>
          <w:szCs w:val="24"/>
        </w:rPr>
        <w:t xml:space="preserve"> проведённых транзакций </w:t>
      </w:r>
      <w:r>
        <w:rPr>
          <w:sz w:val="24"/>
          <w:szCs w:val="24"/>
        </w:rPr>
        <w:t>росло более быстрыми темпами (+5,7</w:t>
      </w:r>
      <w:r w:rsidRPr="004E76C4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4E76C4">
        <w:rPr>
          <w:sz w:val="24"/>
          <w:szCs w:val="24"/>
        </w:rPr>
        <w:t xml:space="preserve">, </w:t>
      </w:r>
      <w:r>
        <w:rPr>
          <w:sz w:val="24"/>
          <w:szCs w:val="24"/>
        </w:rPr>
        <w:t>чем их объём (+2,4%)</w:t>
      </w:r>
      <w:r w:rsidRPr="00DC7031">
        <w:rPr>
          <w:sz w:val="24"/>
          <w:szCs w:val="24"/>
        </w:rPr>
        <w:t xml:space="preserve"> в денежном выражении</w:t>
      </w:r>
      <w:r>
        <w:rPr>
          <w:sz w:val="24"/>
          <w:szCs w:val="24"/>
        </w:rPr>
        <w:t>.</w:t>
      </w:r>
      <w:r w:rsidRPr="004E76C4">
        <w:rPr>
          <w:sz w:val="24"/>
          <w:szCs w:val="24"/>
        </w:rPr>
        <w:t xml:space="preserve"> Таким образом, в отчётном </w:t>
      </w:r>
      <w:r>
        <w:rPr>
          <w:sz w:val="24"/>
          <w:szCs w:val="24"/>
        </w:rPr>
        <w:t>году</w:t>
      </w:r>
      <w:r w:rsidRPr="004E76C4">
        <w:rPr>
          <w:sz w:val="24"/>
          <w:szCs w:val="24"/>
        </w:rPr>
        <w:t xml:space="preserve"> за один платёж в среднем переводилось </w:t>
      </w:r>
      <w:r>
        <w:rPr>
          <w:sz w:val="24"/>
          <w:szCs w:val="24"/>
        </w:rPr>
        <w:t>42,8</w:t>
      </w:r>
      <w:r w:rsidRPr="004E76C4">
        <w:rPr>
          <w:sz w:val="24"/>
          <w:szCs w:val="24"/>
        </w:rPr>
        <w:t xml:space="preserve"> тыс. руб. против 44,2</w:t>
      </w:r>
      <w:r>
        <w:rPr>
          <w:sz w:val="24"/>
          <w:szCs w:val="24"/>
        </w:rPr>
        <w:t xml:space="preserve"> </w:t>
      </w:r>
      <w:r w:rsidRPr="004E76C4">
        <w:rPr>
          <w:sz w:val="24"/>
          <w:szCs w:val="24"/>
        </w:rPr>
        <w:t xml:space="preserve">тыс. руб. в базисном. Среднедневной показатель переводов денежных средств, осуществлённых через платёжную систему </w:t>
      </w:r>
      <w:r w:rsidRPr="00D823E7">
        <w:rPr>
          <w:sz w:val="24"/>
          <w:szCs w:val="24"/>
        </w:rPr>
        <w:t>Приднестровского</w:t>
      </w:r>
      <w:r w:rsidRPr="004E76C4">
        <w:rPr>
          <w:sz w:val="24"/>
          <w:szCs w:val="24"/>
        </w:rPr>
        <w:t xml:space="preserve"> республиканского банка, в количественном выражении составил </w:t>
      </w:r>
      <w:r>
        <w:rPr>
          <w:sz w:val="24"/>
          <w:szCs w:val="24"/>
        </w:rPr>
        <w:t>4 433,8</w:t>
      </w:r>
      <w:r w:rsidRPr="00D823E7">
        <w:rPr>
          <w:sz w:val="24"/>
          <w:szCs w:val="24"/>
        </w:rPr>
        <w:t xml:space="preserve"> единиц, в суммарном – </w:t>
      </w:r>
      <w:r>
        <w:rPr>
          <w:sz w:val="24"/>
          <w:szCs w:val="24"/>
        </w:rPr>
        <w:t>190,0</w:t>
      </w:r>
      <w:r w:rsidRPr="00D823E7">
        <w:rPr>
          <w:sz w:val="24"/>
          <w:szCs w:val="24"/>
        </w:rPr>
        <w:t xml:space="preserve"> млн руб.</w:t>
      </w:r>
    </w:p>
    <w:p w:rsidR="00635258" w:rsidRPr="004E76C4" w:rsidRDefault="00635258" w:rsidP="00897612">
      <w:pPr>
        <w:widowControl w:val="0"/>
        <w:spacing w:line="257" w:lineRule="auto"/>
        <w:ind w:firstLine="425"/>
        <w:jc w:val="both"/>
        <w:rPr>
          <w:sz w:val="24"/>
          <w:szCs w:val="24"/>
        </w:rPr>
      </w:pPr>
      <w:r w:rsidRPr="004E76C4">
        <w:rPr>
          <w:sz w:val="24"/>
          <w:szCs w:val="24"/>
        </w:rPr>
        <w:t xml:space="preserve">Основной удельный вес в структуре расчётов, проведённых через систему электронных платежей центрального банка, приходится на переводы кредитных организаций, доля которых составила </w:t>
      </w:r>
      <w:r>
        <w:rPr>
          <w:sz w:val="24"/>
          <w:szCs w:val="24"/>
        </w:rPr>
        <w:t>95,9</w:t>
      </w:r>
      <w:r w:rsidRPr="004E76C4">
        <w:rPr>
          <w:sz w:val="24"/>
          <w:szCs w:val="24"/>
        </w:rPr>
        <w:t xml:space="preserve">% по количеству и </w:t>
      </w:r>
      <w:r>
        <w:rPr>
          <w:sz w:val="24"/>
          <w:szCs w:val="24"/>
        </w:rPr>
        <w:t>56,9</w:t>
      </w:r>
      <w:r w:rsidRPr="004E76C4">
        <w:rPr>
          <w:sz w:val="24"/>
          <w:szCs w:val="24"/>
        </w:rPr>
        <w:t>% (-</w:t>
      </w:r>
      <w:r>
        <w:rPr>
          <w:sz w:val="24"/>
          <w:szCs w:val="24"/>
        </w:rPr>
        <w:t>1,1</w:t>
      </w:r>
      <w:r w:rsidRPr="004E76C4">
        <w:rPr>
          <w:sz w:val="24"/>
          <w:szCs w:val="24"/>
        </w:rPr>
        <w:t xml:space="preserve"> п.п.) – по объёму. По собственным операциям Приднестровского республиканского банка (включая клиентские) в отчётном году отмечалось </w:t>
      </w:r>
      <w:r>
        <w:rPr>
          <w:sz w:val="24"/>
          <w:szCs w:val="24"/>
        </w:rPr>
        <w:t xml:space="preserve">сокращение </w:t>
      </w:r>
      <w:r w:rsidRPr="004E76C4">
        <w:rPr>
          <w:sz w:val="24"/>
          <w:szCs w:val="24"/>
        </w:rPr>
        <w:t xml:space="preserve">количества проведённых платежей – на </w:t>
      </w:r>
      <w:r>
        <w:rPr>
          <w:sz w:val="24"/>
          <w:szCs w:val="24"/>
        </w:rPr>
        <w:t>11,4</w:t>
      </w:r>
      <w:r w:rsidRPr="004E76C4">
        <w:rPr>
          <w:sz w:val="24"/>
          <w:szCs w:val="24"/>
        </w:rPr>
        <w:t xml:space="preserve">% до </w:t>
      </w:r>
      <w:r>
        <w:rPr>
          <w:sz w:val="24"/>
          <w:szCs w:val="24"/>
        </w:rPr>
        <w:t>64,7</w:t>
      </w:r>
      <w:r w:rsidRPr="004E76C4">
        <w:rPr>
          <w:sz w:val="24"/>
          <w:szCs w:val="24"/>
        </w:rPr>
        <w:t xml:space="preserve"> тыс. единиц </w:t>
      </w:r>
      <w:r>
        <w:rPr>
          <w:sz w:val="24"/>
          <w:szCs w:val="24"/>
        </w:rPr>
        <w:t xml:space="preserve">на фоне расширения </w:t>
      </w:r>
      <w:r w:rsidRPr="004E76C4">
        <w:rPr>
          <w:sz w:val="24"/>
          <w:szCs w:val="24"/>
        </w:rPr>
        <w:t xml:space="preserve">их объёма на </w:t>
      </w:r>
      <w:r>
        <w:rPr>
          <w:sz w:val="24"/>
          <w:szCs w:val="24"/>
        </w:rPr>
        <w:t>5,0</w:t>
      </w:r>
      <w:r w:rsidRPr="004E76C4">
        <w:rPr>
          <w:sz w:val="24"/>
          <w:szCs w:val="24"/>
        </w:rPr>
        <w:t xml:space="preserve">% до </w:t>
      </w:r>
      <w:r>
        <w:rPr>
          <w:sz w:val="24"/>
          <w:szCs w:val="24"/>
        </w:rPr>
        <w:t xml:space="preserve">29 461,3 </w:t>
      </w:r>
      <w:r w:rsidRPr="004E76C4">
        <w:rPr>
          <w:sz w:val="24"/>
          <w:szCs w:val="24"/>
        </w:rPr>
        <w:t xml:space="preserve">млн руб. </w:t>
      </w:r>
    </w:p>
    <w:p w:rsidR="00635258" w:rsidRDefault="00635258" w:rsidP="00897612">
      <w:pPr>
        <w:widowControl w:val="0"/>
        <w:ind w:firstLine="425"/>
        <w:jc w:val="both"/>
        <w:rPr>
          <w:sz w:val="24"/>
          <w:szCs w:val="24"/>
        </w:rPr>
      </w:pPr>
      <w:r w:rsidRPr="0099174B">
        <w:rPr>
          <w:sz w:val="24"/>
          <w:szCs w:val="24"/>
        </w:rPr>
        <w:t>Приднестровский республиканский банк постоянно развивает корреспондентские отношения с кредитными организациями</w:t>
      </w:r>
      <w:r>
        <w:rPr>
          <w:sz w:val="24"/>
          <w:szCs w:val="24"/>
        </w:rPr>
        <w:t>, в том числе и за пределами республики</w:t>
      </w:r>
      <w:r w:rsidRPr="0099174B">
        <w:rPr>
          <w:sz w:val="24"/>
          <w:szCs w:val="24"/>
        </w:rPr>
        <w:t xml:space="preserve">, которые строятся на договорной основе. </w:t>
      </w:r>
      <w:r>
        <w:rPr>
          <w:sz w:val="24"/>
          <w:szCs w:val="24"/>
        </w:rPr>
        <w:t>На конец отчётного года у центрального банка были</w:t>
      </w:r>
      <w:r w:rsidRPr="00CA771F">
        <w:rPr>
          <w:sz w:val="24"/>
          <w:szCs w:val="24"/>
        </w:rPr>
        <w:t xml:space="preserve"> установ</w:t>
      </w:r>
      <w:r>
        <w:rPr>
          <w:sz w:val="24"/>
          <w:szCs w:val="24"/>
        </w:rPr>
        <w:t>лены</w:t>
      </w:r>
      <w:r w:rsidRPr="00CA771F">
        <w:rPr>
          <w:sz w:val="24"/>
          <w:szCs w:val="24"/>
        </w:rPr>
        <w:t xml:space="preserve"> договорные отношения с 14</w:t>
      </w:r>
      <w:r>
        <w:rPr>
          <w:sz w:val="24"/>
          <w:szCs w:val="24"/>
        </w:rPr>
        <w:t xml:space="preserve"> зарубежными банками – корреспондентами</w:t>
      </w:r>
      <w:r w:rsidRPr="00CA771F">
        <w:rPr>
          <w:sz w:val="24"/>
          <w:szCs w:val="24"/>
        </w:rPr>
        <w:t>. При проведении расч</w:t>
      </w:r>
      <w:r>
        <w:rPr>
          <w:sz w:val="24"/>
          <w:szCs w:val="24"/>
        </w:rPr>
        <w:t>ё</w:t>
      </w:r>
      <w:r w:rsidRPr="00CA771F">
        <w:rPr>
          <w:sz w:val="24"/>
          <w:szCs w:val="24"/>
        </w:rPr>
        <w:t xml:space="preserve">тных операций </w:t>
      </w:r>
      <w:r>
        <w:rPr>
          <w:sz w:val="24"/>
          <w:szCs w:val="24"/>
        </w:rPr>
        <w:t>с ними</w:t>
      </w:r>
      <w:r w:rsidRPr="00CA771F">
        <w:rPr>
          <w:sz w:val="24"/>
          <w:szCs w:val="24"/>
        </w:rPr>
        <w:t xml:space="preserve"> в первую очередь учитывается кредитный рейтинг ба</w:t>
      </w:r>
      <w:r>
        <w:rPr>
          <w:sz w:val="24"/>
          <w:szCs w:val="24"/>
        </w:rPr>
        <w:t>нка, а также условия ведения счё</w:t>
      </w:r>
      <w:r w:rsidRPr="00CA771F">
        <w:rPr>
          <w:sz w:val="24"/>
          <w:szCs w:val="24"/>
        </w:rPr>
        <w:t xml:space="preserve">та, </w:t>
      </w:r>
      <w:r>
        <w:rPr>
          <w:sz w:val="24"/>
          <w:szCs w:val="24"/>
        </w:rPr>
        <w:t xml:space="preserve">стоимость и </w:t>
      </w:r>
      <w:r w:rsidRPr="00CA771F">
        <w:rPr>
          <w:sz w:val="24"/>
          <w:szCs w:val="24"/>
        </w:rPr>
        <w:t xml:space="preserve">скорость проведения операций, обеспечение наиболее оптимального пути </w:t>
      </w:r>
      <w:r>
        <w:rPr>
          <w:sz w:val="24"/>
          <w:szCs w:val="24"/>
        </w:rPr>
        <w:t>прохождения клиентских платежей</w:t>
      </w:r>
      <w:r w:rsidRPr="00CA77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771F">
        <w:rPr>
          <w:sz w:val="24"/>
          <w:szCs w:val="24"/>
        </w:rPr>
        <w:t xml:space="preserve">Банки-корреспонденты обслуживают более </w:t>
      </w:r>
      <w:r>
        <w:rPr>
          <w:sz w:val="24"/>
          <w:szCs w:val="24"/>
        </w:rPr>
        <w:t>3</w:t>
      </w:r>
      <w:r w:rsidRPr="00CA771F">
        <w:rPr>
          <w:sz w:val="24"/>
          <w:szCs w:val="24"/>
        </w:rPr>
        <w:t>0 корреспондентских счетов Приднестровского республиканского банка.</w:t>
      </w:r>
      <w:r w:rsidRPr="0062455E">
        <w:rPr>
          <w:sz w:val="24"/>
          <w:szCs w:val="24"/>
        </w:rPr>
        <w:t xml:space="preserve"> </w:t>
      </w:r>
    </w:p>
    <w:p w:rsidR="00635258" w:rsidRDefault="00635258" w:rsidP="00897612">
      <w:pPr>
        <w:pStyle w:val="HTMLPreformatted"/>
        <w:widowControl w:val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C07DF">
        <w:rPr>
          <w:rFonts w:ascii="Times New Roman" w:hAnsi="Times New Roman" w:cs="Times New Roman"/>
          <w:sz w:val="24"/>
          <w:szCs w:val="24"/>
        </w:rPr>
        <w:t>еждународные расч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C07DF">
        <w:rPr>
          <w:rFonts w:ascii="Times New Roman" w:hAnsi="Times New Roman" w:cs="Times New Roman"/>
          <w:sz w:val="24"/>
          <w:szCs w:val="24"/>
        </w:rPr>
        <w:t>тные операции с банками-корреспондентами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</w:t>
      </w:r>
      <w:r w:rsidRPr="00BC07DF">
        <w:rPr>
          <w:rFonts w:ascii="Times New Roman" w:hAnsi="Times New Roman" w:cs="Times New Roman"/>
          <w:sz w:val="24"/>
          <w:szCs w:val="24"/>
        </w:rPr>
        <w:t xml:space="preserve"> по системам ТЕЛЕКС, </w:t>
      </w:r>
      <w:r>
        <w:rPr>
          <w:rFonts w:ascii="Times New Roman" w:hAnsi="Times New Roman" w:cs="Times New Roman"/>
          <w:sz w:val="24"/>
          <w:szCs w:val="24"/>
        </w:rPr>
        <w:t xml:space="preserve">АСМП Национального банка Молдовы. </w:t>
      </w:r>
    </w:p>
    <w:p w:rsidR="00635258" w:rsidRPr="00672F55" w:rsidRDefault="00635258" w:rsidP="00897612">
      <w:pPr>
        <w:pStyle w:val="HTMLPreformatted"/>
        <w:widowControl w:val="0"/>
        <w:spacing w:before="120" w:after="12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2F55">
        <w:rPr>
          <w:rFonts w:ascii="Times New Roman" w:hAnsi="Times New Roman" w:cs="Times New Roman"/>
          <w:i/>
          <w:iCs/>
          <w:sz w:val="24"/>
          <w:szCs w:val="24"/>
        </w:rPr>
        <w:t>Развитие Национальной платёжной системы</w:t>
      </w:r>
    </w:p>
    <w:p w:rsidR="00635258" w:rsidRPr="002140A7" w:rsidRDefault="00635258" w:rsidP="00897612">
      <w:pPr>
        <w:ind w:firstLine="425"/>
        <w:jc w:val="both"/>
        <w:rPr>
          <w:sz w:val="24"/>
          <w:szCs w:val="24"/>
        </w:rPr>
      </w:pPr>
      <w:r w:rsidRPr="002140A7">
        <w:rPr>
          <w:sz w:val="24"/>
          <w:szCs w:val="24"/>
        </w:rPr>
        <w:t>В 2015 году</w:t>
      </w:r>
      <w:r>
        <w:rPr>
          <w:sz w:val="24"/>
          <w:szCs w:val="24"/>
        </w:rPr>
        <w:t>,</w:t>
      </w:r>
      <w:r w:rsidRPr="002140A7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2140A7">
        <w:rPr>
          <w:sz w:val="24"/>
          <w:szCs w:val="24"/>
        </w:rPr>
        <w:t xml:space="preserve"> соответствии с Законом Приднестровской Молдавской Республики «О центральном банке Приднестровской М</w:t>
      </w:r>
      <w:r>
        <w:rPr>
          <w:sz w:val="24"/>
          <w:szCs w:val="24"/>
        </w:rPr>
        <w:t xml:space="preserve">олдавской Республики» и </w:t>
      </w:r>
      <w:r w:rsidRPr="002140A7">
        <w:rPr>
          <w:sz w:val="24"/>
          <w:szCs w:val="24"/>
        </w:rPr>
        <w:t>Указом Президента Приднестровской Молдавской Республики от 22 мая 2015 года № 202 «Об общих условиях организации и функционирования в Приднестровской Молдавской Республике Национальной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жной системы» (САЗ 15-21)</w:t>
      </w:r>
      <w:r>
        <w:rPr>
          <w:sz w:val="24"/>
          <w:szCs w:val="24"/>
        </w:rPr>
        <w:t>,</w:t>
      </w:r>
      <w:r w:rsidRPr="002140A7">
        <w:rPr>
          <w:sz w:val="24"/>
          <w:szCs w:val="24"/>
        </w:rPr>
        <w:t xml:space="preserve"> осуществлялась работа по созданию Национальной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жной системы с использованием банковских карт (</w:t>
      </w:r>
      <w:r>
        <w:rPr>
          <w:sz w:val="24"/>
          <w:szCs w:val="24"/>
        </w:rPr>
        <w:t xml:space="preserve">далее – </w:t>
      </w:r>
      <w:r w:rsidRPr="002140A7">
        <w:rPr>
          <w:sz w:val="24"/>
          <w:szCs w:val="24"/>
        </w:rPr>
        <w:t>НПС)</w:t>
      </w:r>
      <w:r>
        <w:rPr>
          <w:sz w:val="24"/>
          <w:szCs w:val="24"/>
        </w:rPr>
        <w:t xml:space="preserve">. </w:t>
      </w:r>
      <w:r w:rsidRPr="002140A7">
        <w:rPr>
          <w:sz w:val="24"/>
          <w:szCs w:val="24"/>
        </w:rPr>
        <w:t xml:space="preserve">Приднестровским республиканским банком </w:t>
      </w:r>
      <w:r>
        <w:rPr>
          <w:sz w:val="24"/>
          <w:szCs w:val="24"/>
        </w:rPr>
        <w:t>проводились</w:t>
      </w:r>
      <w:r w:rsidRPr="002140A7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,</w:t>
      </w:r>
      <w:r w:rsidRPr="002140A7">
        <w:rPr>
          <w:sz w:val="24"/>
          <w:szCs w:val="24"/>
        </w:rPr>
        <w:t xml:space="preserve"> направленные на</w:t>
      </w:r>
      <w:r>
        <w:rPr>
          <w:sz w:val="24"/>
          <w:szCs w:val="24"/>
        </w:rPr>
        <w:t xml:space="preserve"> её запуск с 1 июля 2015 года и</w:t>
      </w:r>
      <w:r w:rsidRPr="002140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дальнейшее </w:t>
      </w:r>
      <w:r w:rsidRPr="002140A7">
        <w:rPr>
          <w:sz w:val="24"/>
          <w:szCs w:val="24"/>
        </w:rPr>
        <w:t>эффективное и бесперебойное функционирование,</w:t>
      </w:r>
      <w:r>
        <w:rPr>
          <w:sz w:val="24"/>
          <w:szCs w:val="24"/>
        </w:rPr>
        <w:t xml:space="preserve"> в том числе </w:t>
      </w:r>
      <w:r w:rsidRPr="002140A7">
        <w:rPr>
          <w:sz w:val="24"/>
          <w:szCs w:val="24"/>
        </w:rPr>
        <w:t>взаимодействи</w:t>
      </w:r>
      <w:r>
        <w:rPr>
          <w:sz w:val="24"/>
          <w:szCs w:val="24"/>
        </w:rPr>
        <w:t>е</w:t>
      </w:r>
      <w:r w:rsidRPr="002140A7">
        <w:rPr>
          <w:sz w:val="24"/>
          <w:szCs w:val="24"/>
        </w:rPr>
        <w:t xml:space="preserve"> с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 xml:space="preserve">жными системами других стран. </w:t>
      </w:r>
      <w:r>
        <w:rPr>
          <w:sz w:val="24"/>
          <w:szCs w:val="24"/>
        </w:rPr>
        <w:t>Реализация данного проекта нацелена на содействие</w:t>
      </w:r>
      <w:r w:rsidRPr="002140A7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 xml:space="preserve">ю </w:t>
      </w:r>
      <w:r w:rsidRPr="002140A7">
        <w:rPr>
          <w:sz w:val="24"/>
          <w:szCs w:val="24"/>
        </w:rPr>
        <w:t>новых форм и способов осуществления платежей посредством современных инструментов безналичных расч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тов</w:t>
      </w:r>
      <w:r>
        <w:rPr>
          <w:sz w:val="24"/>
          <w:szCs w:val="24"/>
        </w:rPr>
        <w:t>,</w:t>
      </w:r>
      <w:r w:rsidRPr="006D6308">
        <w:rPr>
          <w:sz w:val="24"/>
          <w:szCs w:val="24"/>
        </w:rPr>
        <w:t xml:space="preserve"> </w:t>
      </w:r>
      <w:r w:rsidRPr="002140A7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их</w:t>
      </w:r>
      <w:r w:rsidRPr="002140A7">
        <w:rPr>
          <w:sz w:val="24"/>
          <w:szCs w:val="24"/>
        </w:rPr>
        <w:t xml:space="preserve"> бесперебойности, эффективности и доступности, создание инфраструктуры и единого процессинга по обработке тран</w:t>
      </w:r>
      <w:r>
        <w:rPr>
          <w:sz w:val="24"/>
          <w:szCs w:val="24"/>
        </w:rPr>
        <w:t>з</w:t>
      </w:r>
      <w:r w:rsidRPr="002140A7">
        <w:rPr>
          <w:sz w:val="24"/>
          <w:szCs w:val="24"/>
        </w:rPr>
        <w:t>акций по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 xml:space="preserve">жным картам на территории </w:t>
      </w:r>
      <w:r>
        <w:rPr>
          <w:sz w:val="24"/>
          <w:szCs w:val="24"/>
        </w:rPr>
        <w:t>всего государства.</w:t>
      </w:r>
    </w:p>
    <w:p w:rsidR="00635258" w:rsidRDefault="00635258" w:rsidP="00897612">
      <w:pPr>
        <w:ind w:firstLine="425"/>
        <w:jc w:val="both"/>
        <w:rPr>
          <w:sz w:val="24"/>
          <w:szCs w:val="24"/>
        </w:rPr>
      </w:pPr>
      <w:r w:rsidRPr="002140A7">
        <w:rPr>
          <w:sz w:val="24"/>
          <w:szCs w:val="24"/>
        </w:rPr>
        <w:t>Приднестровским республиканским банком</w:t>
      </w:r>
      <w:r>
        <w:rPr>
          <w:sz w:val="24"/>
          <w:szCs w:val="24"/>
        </w:rPr>
        <w:t xml:space="preserve"> в отчётном году был</w:t>
      </w:r>
      <w:r w:rsidRPr="002140A7">
        <w:rPr>
          <w:sz w:val="24"/>
          <w:szCs w:val="24"/>
        </w:rPr>
        <w:t xml:space="preserve"> реализован комплекс мероприятий по подготовке технологической основы НПС и осуществлению расч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тов через Придн</w:t>
      </w:r>
      <w:r>
        <w:rPr>
          <w:sz w:val="24"/>
          <w:szCs w:val="24"/>
        </w:rPr>
        <w:t>естровский республиканский банк, в соответствии с фактиче</w:t>
      </w:r>
      <w:r w:rsidRPr="002140A7">
        <w:rPr>
          <w:sz w:val="24"/>
          <w:szCs w:val="24"/>
        </w:rPr>
        <w:t>ски имеющи</w:t>
      </w:r>
      <w:r>
        <w:rPr>
          <w:sz w:val="24"/>
          <w:szCs w:val="24"/>
        </w:rPr>
        <w:t>ми</w:t>
      </w:r>
      <w:r w:rsidRPr="002140A7">
        <w:rPr>
          <w:sz w:val="24"/>
          <w:szCs w:val="24"/>
        </w:rPr>
        <w:t>ся потребност</w:t>
      </w:r>
      <w:r>
        <w:rPr>
          <w:sz w:val="24"/>
          <w:szCs w:val="24"/>
        </w:rPr>
        <w:t>ями</w:t>
      </w:r>
      <w:r w:rsidRPr="002140A7">
        <w:rPr>
          <w:sz w:val="24"/>
          <w:szCs w:val="24"/>
        </w:rPr>
        <w:t xml:space="preserve"> и перспектив</w:t>
      </w:r>
      <w:r>
        <w:rPr>
          <w:sz w:val="24"/>
          <w:szCs w:val="24"/>
        </w:rPr>
        <w:t>ами</w:t>
      </w:r>
      <w:r w:rsidRPr="002140A7">
        <w:rPr>
          <w:sz w:val="24"/>
          <w:szCs w:val="24"/>
        </w:rPr>
        <w:t xml:space="preserve"> развития данной сферы в республике. На базе процессингового центра </w:t>
      </w:r>
      <w:r>
        <w:rPr>
          <w:sz w:val="24"/>
          <w:szCs w:val="24"/>
        </w:rPr>
        <w:t>центрального</w:t>
      </w:r>
      <w:r w:rsidRPr="002140A7">
        <w:rPr>
          <w:sz w:val="24"/>
          <w:szCs w:val="24"/>
        </w:rPr>
        <w:t xml:space="preserve"> банка завершены работы по инсталляции, адаптации и настройке современного программного комплекса международного класса SmartVista для обеспечения эмиссии и эквайринга микропроцессорны</w:t>
      </w:r>
      <w:r>
        <w:rPr>
          <w:sz w:val="24"/>
          <w:szCs w:val="24"/>
        </w:rPr>
        <w:t>х</w:t>
      </w:r>
      <w:r w:rsidRPr="002140A7">
        <w:rPr>
          <w:sz w:val="24"/>
          <w:szCs w:val="24"/>
        </w:rPr>
        <w:t xml:space="preserve"> банковских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жных карт, состоящего из двух основных компонентов: фронтальной (SmartVista Front-End) и бэк-офисной (SmartVista Back-Offis), а также включающ</w:t>
      </w:r>
      <w:r>
        <w:rPr>
          <w:sz w:val="24"/>
          <w:szCs w:val="24"/>
        </w:rPr>
        <w:t>его</w:t>
      </w:r>
      <w:r w:rsidRPr="002140A7">
        <w:rPr>
          <w:sz w:val="24"/>
          <w:szCs w:val="24"/>
        </w:rPr>
        <w:t xml:space="preserve"> подсистему подготовки данных персонализации пластиковых карт (SmartVista CardGen). Посредством данного программного комплекса обеспечивается</w:t>
      </w:r>
      <w:r>
        <w:rPr>
          <w:sz w:val="24"/>
          <w:szCs w:val="24"/>
        </w:rPr>
        <w:t>:</w:t>
      </w:r>
    </w:p>
    <w:p w:rsidR="00635258" w:rsidRDefault="00635258" w:rsidP="00897612">
      <w:pPr>
        <w:numPr>
          <w:ilvl w:val="0"/>
          <w:numId w:val="30"/>
        </w:numPr>
        <w:tabs>
          <w:tab w:val="clear" w:pos="1429"/>
        </w:tabs>
        <w:ind w:left="709" w:hanging="283"/>
        <w:jc w:val="both"/>
        <w:rPr>
          <w:sz w:val="24"/>
          <w:szCs w:val="24"/>
        </w:rPr>
      </w:pPr>
      <w:r w:rsidRPr="002140A7">
        <w:rPr>
          <w:sz w:val="24"/>
          <w:szCs w:val="24"/>
        </w:rPr>
        <w:t>осуществление при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ма и обработки авторизационных запросов от терминалов, банкоматов и иных систем</w:t>
      </w:r>
      <w:r>
        <w:rPr>
          <w:sz w:val="24"/>
          <w:szCs w:val="24"/>
        </w:rPr>
        <w:t>;</w:t>
      </w:r>
      <w:r w:rsidRPr="002140A7">
        <w:rPr>
          <w:sz w:val="24"/>
          <w:szCs w:val="24"/>
        </w:rPr>
        <w:t xml:space="preserve"> </w:t>
      </w:r>
    </w:p>
    <w:p w:rsidR="00635258" w:rsidRDefault="00635258" w:rsidP="00897612">
      <w:pPr>
        <w:numPr>
          <w:ilvl w:val="0"/>
          <w:numId w:val="30"/>
        </w:numPr>
        <w:tabs>
          <w:tab w:val="clear" w:pos="1429"/>
        </w:tabs>
        <w:ind w:left="709" w:hanging="283"/>
        <w:jc w:val="both"/>
        <w:rPr>
          <w:sz w:val="24"/>
          <w:szCs w:val="24"/>
        </w:rPr>
      </w:pPr>
      <w:r w:rsidRPr="002140A7">
        <w:rPr>
          <w:sz w:val="24"/>
          <w:szCs w:val="24"/>
        </w:rPr>
        <w:t xml:space="preserve">проведение маршрутизации авторизационных запросов на </w:t>
      </w:r>
      <w:r>
        <w:rPr>
          <w:sz w:val="24"/>
          <w:szCs w:val="24"/>
        </w:rPr>
        <w:t>соответствующий банковский хост;</w:t>
      </w:r>
      <w:r w:rsidRPr="002140A7">
        <w:rPr>
          <w:sz w:val="24"/>
          <w:szCs w:val="24"/>
        </w:rPr>
        <w:t xml:space="preserve"> </w:t>
      </w:r>
    </w:p>
    <w:p w:rsidR="00635258" w:rsidRDefault="00635258" w:rsidP="00897612">
      <w:pPr>
        <w:numPr>
          <w:ilvl w:val="0"/>
          <w:numId w:val="30"/>
        </w:numPr>
        <w:tabs>
          <w:tab w:val="clear" w:pos="1429"/>
        </w:tabs>
        <w:ind w:left="709" w:hanging="283"/>
        <w:jc w:val="both"/>
        <w:rPr>
          <w:sz w:val="24"/>
          <w:szCs w:val="24"/>
        </w:rPr>
      </w:pPr>
      <w:r w:rsidRPr="002140A7">
        <w:rPr>
          <w:sz w:val="24"/>
          <w:szCs w:val="24"/>
        </w:rPr>
        <w:t>автоматическая обработка финансовых транзакций эмитента и эквайера по мере их поступления через клиринговые интерфейсы для формирования всех необходимых финансовых сообщений, файлов и проводок</w:t>
      </w:r>
      <w:r>
        <w:rPr>
          <w:sz w:val="24"/>
          <w:szCs w:val="24"/>
        </w:rPr>
        <w:t>,</w:t>
      </w:r>
      <w:r w:rsidRPr="002140A7">
        <w:rPr>
          <w:sz w:val="24"/>
          <w:szCs w:val="24"/>
        </w:rPr>
        <w:t xml:space="preserve"> для выполнения расч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тов между уча</w:t>
      </w:r>
      <w:r>
        <w:rPr>
          <w:sz w:val="24"/>
          <w:szCs w:val="24"/>
        </w:rPr>
        <w:t xml:space="preserve">стниками системы, а также для </w:t>
      </w:r>
      <w:r w:rsidRPr="002140A7">
        <w:rPr>
          <w:sz w:val="24"/>
          <w:szCs w:val="24"/>
        </w:rPr>
        <w:t>обработки клиентских заявлений</w:t>
      </w:r>
      <w:r>
        <w:rPr>
          <w:sz w:val="24"/>
          <w:szCs w:val="24"/>
        </w:rPr>
        <w:t>;</w:t>
      </w:r>
    </w:p>
    <w:p w:rsidR="00635258" w:rsidRDefault="00635258" w:rsidP="00897612">
      <w:pPr>
        <w:numPr>
          <w:ilvl w:val="0"/>
          <w:numId w:val="30"/>
        </w:numPr>
        <w:tabs>
          <w:tab w:val="clear" w:pos="142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140A7">
        <w:rPr>
          <w:sz w:val="24"/>
          <w:szCs w:val="24"/>
        </w:rPr>
        <w:t>редоставл</w:t>
      </w:r>
      <w:r>
        <w:rPr>
          <w:sz w:val="24"/>
          <w:szCs w:val="24"/>
        </w:rPr>
        <w:t>ение</w:t>
      </w:r>
      <w:r w:rsidRPr="002140A7">
        <w:rPr>
          <w:sz w:val="24"/>
          <w:szCs w:val="24"/>
        </w:rPr>
        <w:t xml:space="preserve"> механизм</w:t>
      </w:r>
      <w:r>
        <w:rPr>
          <w:sz w:val="24"/>
          <w:szCs w:val="24"/>
        </w:rPr>
        <w:t>а</w:t>
      </w:r>
      <w:r w:rsidRPr="002140A7">
        <w:rPr>
          <w:sz w:val="24"/>
          <w:szCs w:val="24"/>
        </w:rPr>
        <w:t xml:space="preserve"> расч</w:t>
      </w:r>
      <w:r>
        <w:rPr>
          <w:sz w:val="24"/>
          <w:szCs w:val="24"/>
        </w:rPr>
        <w:t>ёта комиссий и процентных ставок;</w:t>
      </w:r>
    </w:p>
    <w:p w:rsidR="00635258" w:rsidRDefault="00635258" w:rsidP="00897612">
      <w:pPr>
        <w:numPr>
          <w:ilvl w:val="0"/>
          <w:numId w:val="30"/>
        </w:numPr>
        <w:tabs>
          <w:tab w:val="clear" w:pos="1429"/>
        </w:tabs>
        <w:ind w:left="709" w:hanging="283"/>
        <w:jc w:val="both"/>
        <w:rPr>
          <w:sz w:val="24"/>
          <w:szCs w:val="24"/>
        </w:rPr>
      </w:pPr>
      <w:r w:rsidRPr="002140A7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Pr="002140A7">
        <w:rPr>
          <w:sz w:val="24"/>
          <w:szCs w:val="24"/>
        </w:rPr>
        <w:t xml:space="preserve"> выписок, внутренних и внешних отч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тов</w:t>
      </w:r>
      <w:r>
        <w:rPr>
          <w:sz w:val="24"/>
          <w:szCs w:val="24"/>
        </w:rPr>
        <w:t>;</w:t>
      </w:r>
      <w:r w:rsidRPr="002140A7">
        <w:rPr>
          <w:sz w:val="24"/>
          <w:szCs w:val="24"/>
        </w:rPr>
        <w:t xml:space="preserve"> </w:t>
      </w:r>
    </w:p>
    <w:p w:rsidR="00635258" w:rsidRDefault="00635258" w:rsidP="00897612">
      <w:pPr>
        <w:numPr>
          <w:ilvl w:val="0"/>
          <w:numId w:val="30"/>
        </w:numPr>
        <w:tabs>
          <w:tab w:val="clear" w:pos="1429"/>
        </w:tabs>
        <w:ind w:left="709" w:hanging="283"/>
        <w:jc w:val="both"/>
        <w:rPr>
          <w:sz w:val="24"/>
          <w:szCs w:val="24"/>
        </w:rPr>
      </w:pPr>
      <w:r w:rsidRPr="002140A7">
        <w:rPr>
          <w:sz w:val="24"/>
          <w:szCs w:val="24"/>
        </w:rPr>
        <w:t xml:space="preserve">другие функциональные решения. </w:t>
      </w:r>
    </w:p>
    <w:p w:rsidR="00635258" w:rsidRDefault="00635258" w:rsidP="00897612">
      <w:pPr>
        <w:ind w:firstLine="425"/>
        <w:jc w:val="both"/>
        <w:rPr>
          <w:sz w:val="24"/>
          <w:szCs w:val="24"/>
        </w:rPr>
      </w:pPr>
      <w:r w:rsidRPr="002140A7">
        <w:rPr>
          <w:sz w:val="24"/>
          <w:szCs w:val="24"/>
        </w:rPr>
        <w:t>Решение SmartVista обладает необходимой функциональностью для обеспечения различных уровней обслуживания банковских карт участников НПС и организации межбанковского взаимодействия, как на уровне проведения «online» авторизаций, так и организации взаиморасч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тов. Данное решение предполагает соответствие стандартам международных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жных систем EMV, возможность сопряжения с внешними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 xml:space="preserve">жными системами. </w:t>
      </w:r>
    </w:p>
    <w:p w:rsidR="00635258" w:rsidRPr="002140A7" w:rsidRDefault="00635258" w:rsidP="00897612">
      <w:pPr>
        <w:ind w:firstLine="425"/>
        <w:jc w:val="both"/>
        <w:rPr>
          <w:sz w:val="24"/>
          <w:szCs w:val="24"/>
        </w:rPr>
      </w:pPr>
      <w:r w:rsidRPr="002140A7">
        <w:rPr>
          <w:sz w:val="24"/>
          <w:szCs w:val="24"/>
        </w:rPr>
        <w:t>В соответствии с поставленными задачами и заключ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 xml:space="preserve">нными договорами </w:t>
      </w:r>
      <w:r>
        <w:rPr>
          <w:sz w:val="24"/>
          <w:szCs w:val="24"/>
        </w:rPr>
        <w:t xml:space="preserve">в 2015 году </w:t>
      </w:r>
      <w:r w:rsidRPr="002140A7">
        <w:rPr>
          <w:sz w:val="24"/>
          <w:szCs w:val="24"/>
        </w:rPr>
        <w:t xml:space="preserve">проведены работы по внедрению и инсталяции </w:t>
      </w:r>
      <w:r>
        <w:rPr>
          <w:sz w:val="24"/>
          <w:szCs w:val="24"/>
        </w:rPr>
        <w:t xml:space="preserve">в </w:t>
      </w:r>
      <w:r w:rsidRPr="002140A7">
        <w:rPr>
          <w:sz w:val="24"/>
          <w:szCs w:val="24"/>
        </w:rPr>
        <w:t>ОАО «Эксимбанк» и ЗАО «Приднестровский Сбербанк»</w:t>
      </w:r>
      <w:r>
        <w:rPr>
          <w:sz w:val="24"/>
          <w:szCs w:val="24"/>
        </w:rPr>
        <w:t xml:space="preserve"> </w:t>
      </w:r>
      <w:r w:rsidRPr="002140A7">
        <w:rPr>
          <w:sz w:val="24"/>
          <w:szCs w:val="24"/>
        </w:rPr>
        <w:t>программного обеспечения</w:t>
      </w:r>
      <w:r>
        <w:rPr>
          <w:sz w:val="24"/>
          <w:szCs w:val="24"/>
        </w:rPr>
        <w:t xml:space="preserve"> </w:t>
      </w:r>
      <w:r w:rsidRPr="002140A7">
        <w:rPr>
          <w:sz w:val="24"/>
          <w:szCs w:val="24"/>
        </w:rPr>
        <w:t>SmartVista, обеспечивающего выполнени</w:t>
      </w:r>
      <w:r>
        <w:rPr>
          <w:sz w:val="24"/>
          <w:szCs w:val="24"/>
        </w:rPr>
        <w:t>е</w:t>
      </w:r>
      <w:r w:rsidRPr="002140A7">
        <w:rPr>
          <w:sz w:val="24"/>
          <w:szCs w:val="24"/>
        </w:rPr>
        <w:t xml:space="preserve"> эквайринга банкоматов, POS</w:t>
      </w:r>
      <w:r>
        <w:rPr>
          <w:sz w:val="24"/>
          <w:szCs w:val="24"/>
        </w:rPr>
        <w:t>-</w:t>
      </w:r>
      <w:r w:rsidRPr="002140A7">
        <w:rPr>
          <w:sz w:val="24"/>
          <w:szCs w:val="24"/>
        </w:rPr>
        <w:t>терминалов, взаимодействие с процессинговым центром НПС для обработки операций по картам НПС</w:t>
      </w:r>
      <w:r>
        <w:rPr>
          <w:sz w:val="24"/>
          <w:szCs w:val="24"/>
        </w:rPr>
        <w:t>, осуществлённых</w:t>
      </w:r>
      <w:r w:rsidRPr="002140A7">
        <w:rPr>
          <w:sz w:val="24"/>
          <w:szCs w:val="24"/>
        </w:rPr>
        <w:t xml:space="preserve"> в терминальной сети банков, взаимодействие с торгово-сервисными организациями. Также </w:t>
      </w:r>
      <w:r>
        <w:rPr>
          <w:sz w:val="24"/>
          <w:szCs w:val="24"/>
        </w:rPr>
        <w:t>была начата</w:t>
      </w:r>
      <w:r w:rsidRPr="002140A7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2140A7">
        <w:rPr>
          <w:sz w:val="24"/>
          <w:szCs w:val="24"/>
        </w:rPr>
        <w:t xml:space="preserve"> по внедрению необходимого программного комплекса в ЗАО АКБ «Ипотечный», завершение котор</w:t>
      </w:r>
      <w:r>
        <w:rPr>
          <w:sz w:val="24"/>
          <w:szCs w:val="24"/>
        </w:rPr>
        <w:t>ой</w:t>
      </w:r>
      <w:r w:rsidRPr="002140A7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планируется</w:t>
      </w:r>
      <w:r w:rsidRPr="002140A7">
        <w:rPr>
          <w:sz w:val="24"/>
          <w:szCs w:val="24"/>
        </w:rPr>
        <w:t xml:space="preserve"> в июне 2016 года.</w:t>
      </w:r>
      <w:r>
        <w:rPr>
          <w:sz w:val="24"/>
          <w:szCs w:val="24"/>
        </w:rPr>
        <w:t xml:space="preserve"> </w:t>
      </w:r>
    </w:p>
    <w:p w:rsidR="00635258" w:rsidRDefault="00635258" w:rsidP="00897612">
      <w:pPr>
        <w:ind w:left="11" w:right="7" w:firstLine="425"/>
        <w:jc w:val="both"/>
        <w:rPr>
          <w:sz w:val="24"/>
          <w:szCs w:val="24"/>
        </w:rPr>
      </w:pPr>
      <w:r w:rsidRPr="002140A7">
        <w:rPr>
          <w:sz w:val="24"/>
          <w:szCs w:val="24"/>
        </w:rPr>
        <w:t xml:space="preserve">В процессе </w:t>
      </w:r>
      <w:r>
        <w:rPr>
          <w:sz w:val="24"/>
          <w:szCs w:val="24"/>
        </w:rPr>
        <w:t>проведения</w:t>
      </w:r>
      <w:r w:rsidRPr="002140A7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 по созданию и развитию</w:t>
      </w:r>
      <w:r w:rsidRPr="002140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Национальной платёжной системы </w:t>
      </w:r>
      <w:r w:rsidRPr="002140A7">
        <w:rPr>
          <w:sz w:val="24"/>
          <w:szCs w:val="24"/>
        </w:rPr>
        <w:t>реализованы технические и организационные задачи по</w:t>
      </w:r>
      <w:r>
        <w:rPr>
          <w:sz w:val="24"/>
          <w:szCs w:val="24"/>
        </w:rPr>
        <w:t xml:space="preserve"> её</w:t>
      </w:r>
      <w:r w:rsidRPr="002140A7">
        <w:rPr>
          <w:sz w:val="24"/>
          <w:szCs w:val="24"/>
        </w:rPr>
        <w:t xml:space="preserve"> интеграции с одной из значимых российских карточных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жных систем</w:t>
      </w:r>
      <w:r>
        <w:rPr>
          <w:sz w:val="24"/>
          <w:szCs w:val="24"/>
        </w:rPr>
        <w:t xml:space="preserve"> –</w:t>
      </w:r>
      <w:r w:rsidRPr="002140A7">
        <w:rPr>
          <w:sz w:val="24"/>
          <w:szCs w:val="24"/>
        </w:rPr>
        <w:t xml:space="preserve"> Единой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жно-сервисной системой «Универсальная электронная карта» (ПРО100) (</w:t>
      </w:r>
      <w:r>
        <w:rPr>
          <w:sz w:val="24"/>
          <w:szCs w:val="24"/>
        </w:rPr>
        <w:t>далее –</w:t>
      </w:r>
      <w:r w:rsidRPr="002140A7">
        <w:rPr>
          <w:sz w:val="24"/>
          <w:szCs w:val="24"/>
        </w:rPr>
        <w:t xml:space="preserve"> ПС «УЭК»). Тем самым реализуется международная функция карты НПС, обеспечивающая</w:t>
      </w:r>
      <w:r>
        <w:rPr>
          <w:sz w:val="24"/>
          <w:szCs w:val="24"/>
        </w:rPr>
        <w:t xml:space="preserve"> </w:t>
      </w:r>
      <w:r w:rsidRPr="002140A7">
        <w:rPr>
          <w:sz w:val="24"/>
          <w:szCs w:val="24"/>
        </w:rPr>
        <w:t xml:space="preserve">возможность </w:t>
      </w:r>
      <w:r>
        <w:rPr>
          <w:sz w:val="24"/>
          <w:szCs w:val="24"/>
        </w:rPr>
        <w:t xml:space="preserve">её </w:t>
      </w:r>
      <w:r w:rsidRPr="002140A7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2140A7">
        <w:rPr>
          <w:sz w:val="24"/>
          <w:szCs w:val="24"/>
        </w:rPr>
        <w:t>как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жного средства и (или) как средства получения наличности в Российской Федерации, а также взаимно</w:t>
      </w:r>
      <w:r>
        <w:rPr>
          <w:sz w:val="24"/>
          <w:szCs w:val="24"/>
        </w:rPr>
        <w:t>го</w:t>
      </w:r>
      <w:r w:rsidRPr="002140A7">
        <w:rPr>
          <w:sz w:val="24"/>
          <w:szCs w:val="24"/>
        </w:rPr>
        <w:t xml:space="preserve"> использова</w:t>
      </w:r>
      <w:r>
        <w:rPr>
          <w:sz w:val="24"/>
          <w:szCs w:val="24"/>
        </w:rPr>
        <w:t>ния</w:t>
      </w:r>
      <w:r w:rsidRPr="002140A7">
        <w:rPr>
          <w:sz w:val="24"/>
          <w:szCs w:val="24"/>
        </w:rPr>
        <w:t xml:space="preserve"> карт</w:t>
      </w:r>
      <w:r>
        <w:rPr>
          <w:sz w:val="24"/>
          <w:szCs w:val="24"/>
        </w:rPr>
        <w:t>ы</w:t>
      </w:r>
      <w:r w:rsidRPr="002140A7">
        <w:rPr>
          <w:sz w:val="24"/>
          <w:szCs w:val="24"/>
        </w:rPr>
        <w:t xml:space="preserve"> ПРО100</w:t>
      </w:r>
      <w:r>
        <w:rPr>
          <w:sz w:val="24"/>
          <w:szCs w:val="24"/>
        </w:rPr>
        <w:t>,</w:t>
      </w:r>
      <w:r w:rsidRPr="002140A7">
        <w:rPr>
          <w:sz w:val="24"/>
          <w:szCs w:val="24"/>
        </w:rPr>
        <w:t xml:space="preserve"> эмитированн</w:t>
      </w:r>
      <w:r>
        <w:rPr>
          <w:sz w:val="24"/>
          <w:szCs w:val="24"/>
        </w:rPr>
        <w:t>ой</w:t>
      </w:r>
      <w:r w:rsidRPr="002140A7">
        <w:rPr>
          <w:sz w:val="24"/>
          <w:szCs w:val="24"/>
        </w:rPr>
        <w:t xml:space="preserve"> в Российской Федерации</w:t>
      </w:r>
      <w:r>
        <w:rPr>
          <w:sz w:val="24"/>
          <w:szCs w:val="24"/>
        </w:rPr>
        <w:t>,</w:t>
      </w:r>
      <w:r w:rsidRPr="002140A7">
        <w:rPr>
          <w:sz w:val="24"/>
          <w:szCs w:val="24"/>
        </w:rPr>
        <w:t xml:space="preserve"> на территории Приднестровской Молдавской Республики. </w:t>
      </w:r>
    </w:p>
    <w:p w:rsidR="00635258" w:rsidRPr="002140A7" w:rsidRDefault="00635258" w:rsidP="00897612">
      <w:pPr>
        <w:ind w:left="11" w:right="7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рамках развития проекта НПС</w:t>
      </w:r>
      <w:r w:rsidRPr="002D22EF">
        <w:rPr>
          <w:sz w:val="24"/>
          <w:szCs w:val="24"/>
        </w:rPr>
        <w:t xml:space="preserve"> в 2015 году</w:t>
      </w:r>
      <w:r>
        <w:rPr>
          <w:sz w:val="24"/>
          <w:szCs w:val="24"/>
        </w:rPr>
        <w:t xml:space="preserve"> </w:t>
      </w:r>
      <w:r w:rsidRPr="002D22EF">
        <w:rPr>
          <w:sz w:val="24"/>
          <w:szCs w:val="24"/>
        </w:rPr>
        <w:t xml:space="preserve">в ПАО </w:t>
      </w:r>
      <w:r>
        <w:rPr>
          <w:sz w:val="24"/>
          <w:szCs w:val="24"/>
        </w:rPr>
        <w:t>«</w:t>
      </w:r>
      <w:r w:rsidRPr="002D22EF">
        <w:rPr>
          <w:sz w:val="24"/>
          <w:szCs w:val="24"/>
        </w:rPr>
        <w:t>Сбербанк</w:t>
      </w:r>
      <w:r>
        <w:rPr>
          <w:sz w:val="24"/>
          <w:szCs w:val="24"/>
        </w:rPr>
        <w:t xml:space="preserve"> России» был</w:t>
      </w:r>
      <w:r w:rsidRPr="002D22EF">
        <w:rPr>
          <w:sz w:val="24"/>
          <w:szCs w:val="24"/>
        </w:rPr>
        <w:t xml:space="preserve"> откры</w:t>
      </w:r>
      <w:r>
        <w:rPr>
          <w:sz w:val="24"/>
          <w:szCs w:val="24"/>
        </w:rPr>
        <w:t>т</w:t>
      </w:r>
      <w:r w:rsidRPr="002D22EF">
        <w:rPr>
          <w:sz w:val="24"/>
          <w:szCs w:val="24"/>
        </w:rPr>
        <w:t xml:space="preserve"> корреспондентский сч</w:t>
      </w:r>
      <w:r>
        <w:rPr>
          <w:sz w:val="24"/>
          <w:szCs w:val="24"/>
        </w:rPr>
        <w:t>ё</w:t>
      </w:r>
      <w:r w:rsidRPr="002D22EF">
        <w:rPr>
          <w:sz w:val="24"/>
          <w:szCs w:val="24"/>
        </w:rPr>
        <w:t>т в российских рублях для осуществления взаиморасч</w:t>
      </w:r>
      <w:r>
        <w:rPr>
          <w:sz w:val="24"/>
          <w:szCs w:val="24"/>
        </w:rPr>
        <w:t>ё</w:t>
      </w:r>
      <w:r w:rsidRPr="002D22EF">
        <w:rPr>
          <w:sz w:val="24"/>
          <w:szCs w:val="24"/>
        </w:rPr>
        <w:t>тов в рамках ПС «</w:t>
      </w:r>
      <w:r>
        <w:rPr>
          <w:sz w:val="24"/>
          <w:szCs w:val="24"/>
        </w:rPr>
        <w:t>УЭК</w:t>
      </w:r>
      <w:r w:rsidRPr="002D22EF">
        <w:rPr>
          <w:sz w:val="24"/>
          <w:szCs w:val="24"/>
        </w:rPr>
        <w:t>»</w:t>
      </w:r>
      <w:r>
        <w:rPr>
          <w:sz w:val="24"/>
          <w:szCs w:val="24"/>
        </w:rPr>
        <w:t xml:space="preserve">. Также в отчётном году </w:t>
      </w:r>
      <w:r w:rsidRPr="002140A7">
        <w:rPr>
          <w:sz w:val="24"/>
          <w:szCs w:val="24"/>
        </w:rPr>
        <w:t>Приднестровским республиканским банком</w:t>
      </w:r>
      <w:r>
        <w:rPr>
          <w:sz w:val="24"/>
          <w:szCs w:val="24"/>
        </w:rPr>
        <w:t xml:space="preserve"> как оператором НПС</w:t>
      </w:r>
      <w:r w:rsidRPr="002140A7">
        <w:rPr>
          <w:sz w:val="24"/>
          <w:szCs w:val="24"/>
        </w:rPr>
        <w:t xml:space="preserve"> заключено Соглашение с Акционерным обществом «Национальная система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жных карт» (НСПК) по взаимодействию в вопросах интеграции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жных систем в целях обеспечения выпуска и обслуживания банковских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 xml:space="preserve">жных карт НСПК на территории Приднестровской Молдавской Республики в инфраструктуре </w:t>
      </w:r>
      <w:r>
        <w:rPr>
          <w:sz w:val="24"/>
          <w:szCs w:val="24"/>
        </w:rPr>
        <w:t xml:space="preserve">отечественных </w:t>
      </w:r>
      <w:r w:rsidRPr="002140A7">
        <w:rPr>
          <w:sz w:val="24"/>
          <w:szCs w:val="24"/>
        </w:rPr>
        <w:t>кредит</w:t>
      </w:r>
      <w:r>
        <w:rPr>
          <w:sz w:val="24"/>
          <w:szCs w:val="24"/>
        </w:rPr>
        <w:t>ных организаций</w:t>
      </w:r>
      <w:r w:rsidRPr="002140A7">
        <w:rPr>
          <w:sz w:val="24"/>
          <w:szCs w:val="24"/>
        </w:rPr>
        <w:t>, а также обслуживани</w:t>
      </w:r>
      <w:r>
        <w:rPr>
          <w:sz w:val="24"/>
          <w:szCs w:val="24"/>
        </w:rPr>
        <w:t>я</w:t>
      </w:r>
      <w:r w:rsidRPr="002140A7">
        <w:rPr>
          <w:sz w:val="24"/>
          <w:szCs w:val="24"/>
        </w:rPr>
        <w:t xml:space="preserve"> карт, эмитированных в рамках НПС</w:t>
      </w:r>
      <w:r>
        <w:rPr>
          <w:sz w:val="24"/>
          <w:szCs w:val="24"/>
        </w:rPr>
        <w:t>,</w:t>
      </w:r>
      <w:r w:rsidRPr="002140A7">
        <w:rPr>
          <w:sz w:val="24"/>
          <w:szCs w:val="24"/>
        </w:rPr>
        <w:t xml:space="preserve"> в инфра</w:t>
      </w:r>
      <w:r>
        <w:rPr>
          <w:sz w:val="24"/>
          <w:szCs w:val="24"/>
        </w:rPr>
        <w:t>структуре кредитных организаций-</w:t>
      </w:r>
      <w:r w:rsidRPr="002140A7">
        <w:rPr>
          <w:sz w:val="24"/>
          <w:szCs w:val="24"/>
        </w:rPr>
        <w:t xml:space="preserve">участников НСПК. </w:t>
      </w:r>
    </w:p>
    <w:p w:rsidR="00635258" w:rsidRDefault="00635258" w:rsidP="00897612">
      <w:pPr>
        <w:ind w:left="11" w:right="7" w:firstLine="425"/>
        <w:jc w:val="both"/>
        <w:rPr>
          <w:sz w:val="24"/>
          <w:szCs w:val="24"/>
        </w:rPr>
      </w:pPr>
      <w:r>
        <w:rPr>
          <w:sz w:val="24"/>
          <w:szCs w:val="24"/>
        </w:rPr>
        <w:t>К концу отчётного года</w:t>
      </w:r>
      <w:r w:rsidRPr="002140A7">
        <w:rPr>
          <w:sz w:val="24"/>
          <w:szCs w:val="24"/>
        </w:rPr>
        <w:t xml:space="preserve"> Национальная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жная система, преодолев стадию становления, перешла в фазу устойчивого роста. Так, на 1 января 2016 года в системе</w:t>
      </w:r>
      <w:r>
        <w:rPr>
          <w:sz w:val="24"/>
          <w:szCs w:val="24"/>
        </w:rPr>
        <w:t xml:space="preserve"> было</w:t>
      </w:r>
      <w:r w:rsidRPr="002140A7">
        <w:rPr>
          <w:sz w:val="24"/>
          <w:szCs w:val="24"/>
        </w:rPr>
        <w:t xml:space="preserve"> выпущено </w:t>
      </w:r>
      <w:r w:rsidRPr="004F0653">
        <w:rPr>
          <w:sz w:val="24"/>
          <w:szCs w:val="24"/>
        </w:rPr>
        <w:t>12 954 карты</w:t>
      </w:r>
      <w:r>
        <w:rPr>
          <w:sz w:val="24"/>
          <w:szCs w:val="24"/>
        </w:rPr>
        <w:t>. О</w:t>
      </w:r>
      <w:r w:rsidRPr="002140A7">
        <w:rPr>
          <w:sz w:val="24"/>
          <w:szCs w:val="24"/>
        </w:rPr>
        <w:t>бщий объ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м операций, соверш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нных по картам</w:t>
      </w:r>
      <w:r>
        <w:rPr>
          <w:sz w:val="24"/>
          <w:szCs w:val="24"/>
        </w:rPr>
        <w:t xml:space="preserve"> НПС, с момента запуска в июле по декабрь 2015 года, достиг 34,9</w:t>
      </w:r>
      <w:r w:rsidRPr="002140A7">
        <w:rPr>
          <w:sz w:val="24"/>
          <w:szCs w:val="24"/>
        </w:rPr>
        <w:t xml:space="preserve"> млн</w:t>
      </w:r>
      <w:r>
        <w:rPr>
          <w:sz w:val="24"/>
          <w:szCs w:val="24"/>
        </w:rPr>
        <w:t xml:space="preserve"> </w:t>
      </w:r>
      <w:r w:rsidRPr="002140A7">
        <w:rPr>
          <w:sz w:val="24"/>
          <w:szCs w:val="24"/>
        </w:rPr>
        <w:t>руб</w:t>
      </w:r>
      <w:r>
        <w:rPr>
          <w:sz w:val="24"/>
          <w:szCs w:val="24"/>
        </w:rPr>
        <w:t xml:space="preserve">., а количество превысило 48 тыс. единиц. 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</w:p>
    <w:p w:rsidR="00635258" w:rsidRPr="00150009" w:rsidRDefault="00635258" w:rsidP="00131D2B">
      <w:pPr>
        <w:numPr>
          <w:ilvl w:val="1"/>
          <w:numId w:val="5"/>
        </w:numPr>
        <w:spacing w:after="120"/>
        <w:ind w:left="357" w:hanging="357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 w:rsidRPr="00150009">
        <w:rPr>
          <w:b/>
          <w:bCs/>
          <w:noProof/>
          <w:sz w:val="24"/>
          <w:szCs w:val="24"/>
        </w:rPr>
        <w:t>ОРГАНИЗАЦИЯ НАЛИЧНОГО ДЕНЕЖНОГО ОБРАЩЕНИЯ</w:t>
      </w:r>
    </w:p>
    <w:p w:rsidR="00635258" w:rsidRPr="00D03B69" w:rsidRDefault="00635258" w:rsidP="00481666">
      <w:pPr>
        <w:widowControl w:val="0"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D03B69">
        <w:rPr>
          <w:sz w:val="24"/>
          <w:szCs w:val="24"/>
        </w:rPr>
        <w:t xml:space="preserve">Одной из важнейших задач </w:t>
      </w:r>
      <w:r>
        <w:rPr>
          <w:sz w:val="24"/>
          <w:szCs w:val="24"/>
        </w:rPr>
        <w:t xml:space="preserve">Приднестровского республиканского банка </w:t>
      </w:r>
      <w:r w:rsidRPr="00D03B69">
        <w:rPr>
          <w:sz w:val="24"/>
          <w:szCs w:val="24"/>
        </w:rPr>
        <w:t>является бесперебойное обеспечение плат</w:t>
      </w:r>
      <w:r>
        <w:rPr>
          <w:sz w:val="24"/>
          <w:szCs w:val="24"/>
        </w:rPr>
        <w:t>ё</w:t>
      </w:r>
      <w:r w:rsidRPr="00D03B69">
        <w:rPr>
          <w:sz w:val="24"/>
          <w:szCs w:val="24"/>
        </w:rPr>
        <w:t>жного оборота</w:t>
      </w:r>
      <w:r>
        <w:rPr>
          <w:sz w:val="24"/>
          <w:szCs w:val="24"/>
        </w:rPr>
        <w:t xml:space="preserve"> </w:t>
      </w:r>
      <w:r w:rsidRPr="00D03B69">
        <w:rPr>
          <w:sz w:val="24"/>
          <w:szCs w:val="24"/>
        </w:rPr>
        <w:t>банкнотами и монетой различных номиналов, минимизация рисков при обработке, хранении и транспортировке денежной наличности, а также эффективное управление потоками наличных денег.</w:t>
      </w:r>
      <w:r>
        <w:rPr>
          <w:sz w:val="24"/>
          <w:szCs w:val="24"/>
        </w:rPr>
        <w:t xml:space="preserve"> </w:t>
      </w:r>
    </w:p>
    <w:p w:rsidR="00635258" w:rsidRDefault="00635258" w:rsidP="00131D2B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денежный оборот, кроме банкнот и разменной монеты, пополнялся также монетами из композитных материалов (номиналом 1, 3, 5, 10 рублей), памятными монетами из недрагоценных металлов (номиналом 1 рубль и 25 рублей) и памятными банкнотами (номиналом 1, 5, 10, 25 рублей). Из драгоценных металлов</w:t>
      </w:r>
      <w:r w:rsidRPr="00C52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71DDA">
        <w:rPr>
          <w:rFonts w:ascii="Times New Roman" w:hAnsi="Times New Roman" w:cs="Times New Roman"/>
          <w:sz w:val="24"/>
          <w:szCs w:val="24"/>
        </w:rPr>
        <w:t xml:space="preserve"> отчётном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Pr="00571DDA">
        <w:rPr>
          <w:rFonts w:ascii="Times New Roman" w:hAnsi="Times New Roman" w:cs="Times New Roman"/>
          <w:sz w:val="24"/>
          <w:szCs w:val="24"/>
        </w:rPr>
        <w:t xml:space="preserve"> в обращение было выпущено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1DDA">
        <w:rPr>
          <w:rFonts w:ascii="Times New Roman" w:hAnsi="Times New Roman" w:cs="Times New Roman"/>
          <w:sz w:val="24"/>
          <w:szCs w:val="24"/>
        </w:rPr>
        <w:t xml:space="preserve">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DDA">
        <w:rPr>
          <w:rFonts w:ascii="Times New Roman" w:hAnsi="Times New Roman" w:cs="Times New Roman"/>
          <w:sz w:val="24"/>
          <w:szCs w:val="24"/>
        </w:rPr>
        <w:t>памятных монет различных серий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258" w:rsidRPr="000803C1" w:rsidRDefault="00635258" w:rsidP="00131D2B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91D80">
        <w:rPr>
          <w:rFonts w:ascii="Times New Roman" w:hAnsi="Times New Roman" w:cs="Times New Roman"/>
          <w:sz w:val="24"/>
          <w:szCs w:val="24"/>
        </w:rPr>
        <w:t>о данным эмиссионного баланса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1D80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1D80">
        <w:rPr>
          <w:rFonts w:ascii="Times New Roman" w:hAnsi="Times New Roman" w:cs="Times New Roman"/>
          <w:sz w:val="24"/>
          <w:szCs w:val="24"/>
        </w:rPr>
        <w:t xml:space="preserve"> год в платёжный оборот было выпущено наличных денежных средств на сумму </w:t>
      </w:r>
      <w:r>
        <w:rPr>
          <w:rFonts w:ascii="Times New Roman" w:hAnsi="Times New Roman" w:cs="Times New Roman"/>
          <w:sz w:val="24"/>
          <w:szCs w:val="24"/>
        </w:rPr>
        <w:t xml:space="preserve">532,8 </w:t>
      </w:r>
      <w:r w:rsidRPr="00991D80">
        <w:rPr>
          <w:rFonts w:ascii="Times New Roman" w:hAnsi="Times New Roman" w:cs="Times New Roman"/>
          <w:sz w:val="24"/>
          <w:szCs w:val="24"/>
        </w:rPr>
        <w:t xml:space="preserve">млн руб., изъято из обращения – </w:t>
      </w:r>
      <w:r>
        <w:rPr>
          <w:rFonts w:ascii="Times New Roman" w:hAnsi="Times New Roman" w:cs="Times New Roman"/>
          <w:sz w:val="24"/>
          <w:szCs w:val="24"/>
        </w:rPr>
        <w:t xml:space="preserve">375,5 </w:t>
      </w:r>
      <w:r w:rsidRPr="00991D80">
        <w:rPr>
          <w:rFonts w:ascii="Times New Roman" w:hAnsi="Times New Roman" w:cs="Times New Roman"/>
          <w:sz w:val="24"/>
          <w:szCs w:val="24"/>
        </w:rPr>
        <w:t xml:space="preserve">млн руб. </w:t>
      </w:r>
      <w:r>
        <w:rPr>
          <w:rFonts w:ascii="Times New Roman" w:hAnsi="Times New Roman" w:cs="Times New Roman"/>
          <w:sz w:val="24"/>
          <w:szCs w:val="24"/>
        </w:rPr>
        <w:t>Превышение о</w:t>
      </w:r>
      <w:r w:rsidRPr="00991D80">
        <w:rPr>
          <w:rFonts w:ascii="Times New Roman" w:hAnsi="Times New Roman" w:cs="Times New Roman"/>
          <w:sz w:val="24"/>
          <w:szCs w:val="24"/>
        </w:rPr>
        <w:t>бъём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1D80">
        <w:rPr>
          <w:rFonts w:ascii="Times New Roman" w:hAnsi="Times New Roman" w:cs="Times New Roman"/>
          <w:sz w:val="24"/>
          <w:szCs w:val="24"/>
        </w:rPr>
        <w:t xml:space="preserve"> выпущенных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91D80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1D80">
        <w:rPr>
          <w:rFonts w:ascii="Times New Roman" w:hAnsi="Times New Roman" w:cs="Times New Roman"/>
          <w:sz w:val="24"/>
          <w:szCs w:val="24"/>
        </w:rPr>
        <w:t xml:space="preserve"> денежных знаков </w:t>
      </w:r>
      <w:r>
        <w:rPr>
          <w:rFonts w:ascii="Times New Roman" w:hAnsi="Times New Roman" w:cs="Times New Roman"/>
          <w:sz w:val="24"/>
          <w:szCs w:val="24"/>
        </w:rPr>
        <w:t>над величиной</w:t>
      </w:r>
      <w:r w:rsidRPr="00991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изъятых достигло 157,3 млн руб., что стало следствием</w:t>
      </w:r>
      <w:r w:rsidRPr="000803C1">
        <w:rPr>
          <w:rFonts w:ascii="Times New Roman" w:hAnsi="Times New Roman" w:cs="Times New Roman"/>
          <w:sz w:val="24"/>
          <w:szCs w:val="24"/>
        </w:rPr>
        <w:t xml:space="preserve"> возросшей в декабре 2015 года потребности в денежной наличности вследствие погашения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Pr="000803C1">
        <w:rPr>
          <w:rFonts w:ascii="Times New Roman" w:hAnsi="Times New Roman" w:cs="Times New Roman"/>
          <w:sz w:val="24"/>
          <w:szCs w:val="24"/>
        </w:rPr>
        <w:t xml:space="preserve"> по социальным выплатам.</w:t>
      </w:r>
    </w:p>
    <w:p w:rsidR="00635258" w:rsidRPr="000803C1" w:rsidRDefault="00635258" w:rsidP="00131D2B">
      <w:pPr>
        <w:pStyle w:val="BodyText"/>
        <w:spacing w:before="0" w:after="0"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отчётном году</w:t>
      </w:r>
      <w:r w:rsidRPr="00080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803C1">
        <w:rPr>
          <w:rFonts w:ascii="Times New Roman" w:hAnsi="Times New Roman" w:cs="Times New Roman"/>
          <w:sz w:val="24"/>
          <w:szCs w:val="24"/>
        </w:rPr>
        <w:t xml:space="preserve"> объёме изъятых из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3C1">
        <w:rPr>
          <w:rFonts w:ascii="Times New Roman" w:hAnsi="Times New Roman" w:cs="Times New Roman"/>
          <w:sz w:val="24"/>
          <w:szCs w:val="24"/>
        </w:rPr>
        <w:t xml:space="preserve">сумма ветхих банкнот составила </w:t>
      </w:r>
      <w:r>
        <w:rPr>
          <w:rFonts w:ascii="Times New Roman" w:hAnsi="Times New Roman" w:cs="Times New Roman"/>
          <w:sz w:val="24"/>
          <w:szCs w:val="24"/>
        </w:rPr>
        <w:br/>
      </w:r>
      <w:r w:rsidRPr="000803C1">
        <w:rPr>
          <w:rFonts w:ascii="Times New Roman" w:hAnsi="Times New Roman" w:cs="Times New Roman"/>
          <w:sz w:val="24"/>
          <w:szCs w:val="24"/>
        </w:rPr>
        <w:t>101,9 млн руб. (3,4 млн штук)</w:t>
      </w:r>
      <w:r>
        <w:rPr>
          <w:rFonts w:ascii="Times New Roman" w:hAnsi="Times New Roman" w:cs="Times New Roman"/>
          <w:sz w:val="24"/>
          <w:szCs w:val="24"/>
        </w:rPr>
        <w:t xml:space="preserve"> против</w:t>
      </w:r>
      <w:r w:rsidRPr="000803C1">
        <w:rPr>
          <w:rFonts w:ascii="Times New Roman" w:hAnsi="Times New Roman" w:cs="Times New Roman"/>
          <w:sz w:val="24"/>
          <w:szCs w:val="24"/>
        </w:rPr>
        <w:t xml:space="preserve"> 101,7 млн руб. (3,7 млн штук)</w:t>
      </w:r>
      <w:r w:rsidRPr="00241206">
        <w:rPr>
          <w:rFonts w:ascii="Times New Roman" w:hAnsi="Times New Roman" w:cs="Times New Roman"/>
          <w:sz w:val="24"/>
          <w:szCs w:val="24"/>
        </w:rPr>
        <w:t xml:space="preserve"> </w:t>
      </w:r>
      <w:r w:rsidRPr="000803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3C1">
        <w:rPr>
          <w:rFonts w:ascii="Times New Roman" w:hAnsi="Times New Roman" w:cs="Times New Roman"/>
          <w:sz w:val="24"/>
          <w:szCs w:val="24"/>
        </w:rPr>
        <w:t>в 2014 году.</w:t>
      </w:r>
    </w:p>
    <w:p w:rsidR="00635258" w:rsidRPr="000803C1" w:rsidRDefault="00635258" w:rsidP="00131D2B">
      <w:pPr>
        <w:pStyle w:val="BodyText3"/>
        <w:spacing w:after="0"/>
        <w:ind w:firstLine="425"/>
        <w:jc w:val="both"/>
        <w:rPr>
          <w:sz w:val="24"/>
          <w:szCs w:val="24"/>
        </w:rPr>
      </w:pPr>
      <w:r w:rsidRPr="000803C1">
        <w:rPr>
          <w:sz w:val="24"/>
          <w:szCs w:val="24"/>
        </w:rPr>
        <w:t xml:space="preserve">Таким образом, по состоянию на 1 января 2016 года в обращении, включая остатки в кассах банков, находилось денежных знаков Приднестровского республиканского банка на сумму </w:t>
      </w:r>
      <w:r w:rsidRPr="000D529E">
        <w:rPr>
          <w:sz w:val="24"/>
          <w:szCs w:val="24"/>
        </w:rPr>
        <w:t>1 266,5 млн</w:t>
      </w:r>
      <w:r w:rsidRPr="000803C1">
        <w:rPr>
          <w:sz w:val="24"/>
          <w:szCs w:val="24"/>
        </w:rPr>
        <w:t xml:space="preserve"> руб., в том числе банкнот – на сумму 1 235,8 млн руб. (19,2 млн штук), разменной монеты – на сумму 16,7 млн руб. (103,5 млн штук), юбилейных, памятных монет и банкнот – на сумму 7,4 млн руб. (0,9 млн штук), монет из композитных материалов – на сумму 6,6 млн руб. (1,6 млн штук).</w:t>
      </w:r>
    </w:p>
    <w:p w:rsidR="00635258" w:rsidRPr="00BB05A3" w:rsidRDefault="00635258" w:rsidP="00131D2B">
      <w:pPr>
        <w:pStyle w:val="BodyText3"/>
        <w:spacing w:after="0"/>
        <w:ind w:firstLine="425"/>
        <w:jc w:val="both"/>
        <w:rPr>
          <w:sz w:val="24"/>
          <w:szCs w:val="24"/>
        </w:rPr>
      </w:pPr>
      <w:r w:rsidRPr="000803C1">
        <w:rPr>
          <w:sz w:val="24"/>
          <w:szCs w:val="24"/>
        </w:rPr>
        <w:t>В общей сумме наличных денег банкноты составляли 97,6%, разменная</w:t>
      </w:r>
      <w:r w:rsidRPr="00094A2A">
        <w:rPr>
          <w:sz w:val="24"/>
          <w:szCs w:val="24"/>
        </w:rPr>
        <w:t xml:space="preserve"> монета </w:t>
      </w:r>
      <w:r>
        <w:rPr>
          <w:sz w:val="24"/>
          <w:szCs w:val="24"/>
        </w:rPr>
        <w:t xml:space="preserve">– </w:t>
      </w:r>
      <w:r w:rsidRPr="00094A2A">
        <w:rPr>
          <w:sz w:val="24"/>
          <w:szCs w:val="24"/>
        </w:rPr>
        <w:t>1,</w:t>
      </w:r>
      <w:r>
        <w:rPr>
          <w:sz w:val="24"/>
          <w:szCs w:val="24"/>
        </w:rPr>
        <w:t>3</w:t>
      </w:r>
      <w:r w:rsidRPr="00094A2A">
        <w:rPr>
          <w:sz w:val="24"/>
          <w:szCs w:val="24"/>
        </w:rPr>
        <w:t>%, юбилейные, памятные монеты</w:t>
      </w:r>
      <w:r>
        <w:rPr>
          <w:sz w:val="24"/>
          <w:szCs w:val="24"/>
        </w:rPr>
        <w:t xml:space="preserve"> и банкноты</w:t>
      </w:r>
      <w:r w:rsidRPr="00094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094A2A">
        <w:rPr>
          <w:sz w:val="24"/>
          <w:szCs w:val="24"/>
        </w:rPr>
        <w:t>0,</w:t>
      </w:r>
      <w:r>
        <w:rPr>
          <w:sz w:val="24"/>
          <w:szCs w:val="24"/>
        </w:rPr>
        <w:t>6</w:t>
      </w:r>
      <w:r w:rsidRPr="00094A2A">
        <w:rPr>
          <w:sz w:val="24"/>
          <w:szCs w:val="24"/>
        </w:rPr>
        <w:t>%,</w:t>
      </w:r>
      <w:r w:rsidRPr="00A5693F">
        <w:rPr>
          <w:sz w:val="24"/>
          <w:szCs w:val="24"/>
        </w:rPr>
        <w:t xml:space="preserve"> монеты из композитных материалов </w:t>
      </w:r>
      <w:r>
        <w:rPr>
          <w:sz w:val="24"/>
          <w:szCs w:val="24"/>
        </w:rPr>
        <w:t>–</w:t>
      </w:r>
      <w:r w:rsidRPr="00A5693F">
        <w:rPr>
          <w:sz w:val="24"/>
          <w:szCs w:val="24"/>
        </w:rPr>
        <w:t xml:space="preserve"> 0,</w:t>
      </w:r>
      <w:r>
        <w:rPr>
          <w:sz w:val="24"/>
          <w:szCs w:val="24"/>
        </w:rPr>
        <w:t>5</w:t>
      </w:r>
      <w:r w:rsidRPr="00A5693F">
        <w:rPr>
          <w:sz w:val="24"/>
          <w:szCs w:val="24"/>
        </w:rPr>
        <w:t>%</w:t>
      </w:r>
      <w:r>
        <w:rPr>
          <w:sz w:val="24"/>
          <w:szCs w:val="24"/>
        </w:rPr>
        <w:t>. В</w:t>
      </w:r>
      <w:r w:rsidRPr="00BB0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совокупном </w:t>
      </w:r>
      <w:r w:rsidRPr="00BB05A3">
        <w:rPr>
          <w:sz w:val="24"/>
          <w:szCs w:val="24"/>
        </w:rPr>
        <w:t>количестве денежных знаков на банкноты пришлось 15,3%, разменную монету – 82,7%, юбилейные, памятные монеты и банкноты – 0,</w:t>
      </w:r>
      <w:r>
        <w:rPr>
          <w:sz w:val="24"/>
          <w:szCs w:val="24"/>
        </w:rPr>
        <w:t>7</w:t>
      </w:r>
      <w:r w:rsidRPr="00BB05A3">
        <w:rPr>
          <w:sz w:val="24"/>
          <w:szCs w:val="24"/>
        </w:rPr>
        <w:t>%, монеты из композитных материалов – 1,3% .</w:t>
      </w:r>
    </w:p>
    <w:p w:rsidR="00635258" w:rsidRPr="00094A2A" w:rsidRDefault="00635258" w:rsidP="00131D2B">
      <w:pPr>
        <w:pStyle w:val="BodyText3"/>
        <w:spacing w:after="0"/>
        <w:ind w:firstLine="425"/>
        <w:jc w:val="both"/>
        <w:rPr>
          <w:sz w:val="24"/>
          <w:szCs w:val="24"/>
        </w:rPr>
      </w:pPr>
      <w:r w:rsidRPr="00D03B69">
        <w:rPr>
          <w:sz w:val="24"/>
          <w:szCs w:val="24"/>
        </w:rPr>
        <w:t>В 201</w:t>
      </w:r>
      <w:r>
        <w:rPr>
          <w:sz w:val="24"/>
          <w:szCs w:val="24"/>
        </w:rPr>
        <w:t>5</w:t>
      </w:r>
      <w:r w:rsidRPr="00D03B69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удовлетворение платёжного оборота банкнотами, разменной монетой и другими видами денежных знаков Приднестровского республиканского банка производилось своевременно и в полном объёме. </w:t>
      </w:r>
    </w:p>
    <w:p w:rsidR="00635258" w:rsidRDefault="00635258" w:rsidP="00131D2B">
      <w:pPr>
        <w:jc w:val="both"/>
        <w:rPr>
          <w:b/>
          <w:bCs/>
          <w:noProof/>
          <w:sz w:val="24"/>
          <w:szCs w:val="24"/>
        </w:rPr>
      </w:pPr>
    </w:p>
    <w:p w:rsidR="00635258" w:rsidRPr="00C95612" w:rsidRDefault="00635258" w:rsidP="00131D2B">
      <w:pPr>
        <w:numPr>
          <w:ilvl w:val="1"/>
          <w:numId w:val="5"/>
        </w:numPr>
        <w:tabs>
          <w:tab w:val="clear" w:pos="360"/>
          <w:tab w:val="num" w:pos="0"/>
        </w:tabs>
        <w:ind w:left="0" w:firstLine="0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 w:rsidRPr="00C95612">
        <w:rPr>
          <w:b/>
          <w:bCs/>
          <w:noProof/>
          <w:sz w:val="24"/>
          <w:szCs w:val="24"/>
        </w:rPr>
        <w:t>ДЕЯТЕЛЬНОСТЬ ПРИДНЕСТРОВСКОГО РЕСПУБЛИКАНСКОГО БАНКА В СФЕРЕ ГОСУДАРСТВЕННЫХ ФИНАНСОВ</w:t>
      </w:r>
    </w:p>
    <w:p w:rsidR="00635258" w:rsidRPr="00CA6373" w:rsidRDefault="00635258" w:rsidP="00131D2B">
      <w:pPr>
        <w:pStyle w:val="BodyText"/>
        <w:spacing w:before="12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CA6373">
        <w:rPr>
          <w:rFonts w:ascii="Times New Roman" w:hAnsi="Times New Roman" w:cs="Times New Roman"/>
          <w:sz w:val="24"/>
          <w:szCs w:val="24"/>
        </w:rPr>
        <w:t xml:space="preserve">В 2015 году Приднестровский республиканский банк не осуществлял кредитование республиканского бюджета и не проводил операции с государственными ценными бумагами. </w:t>
      </w: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Pr="00CA6373">
        <w:rPr>
          <w:rFonts w:ascii="Times New Roman" w:hAnsi="Times New Roman" w:cs="Times New Roman"/>
          <w:sz w:val="24"/>
          <w:szCs w:val="24"/>
        </w:rPr>
        <w:t xml:space="preserve"> задолженность государства по кредитам перед Приднестровским республиканским банком </w:t>
      </w:r>
      <w:r>
        <w:rPr>
          <w:rFonts w:ascii="Times New Roman" w:hAnsi="Times New Roman" w:cs="Times New Roman"/>
          <w:sz w:val="24"/>
          <w:szCs w:val="24"/>
        </w:rPr>
        <w:t>сохранилась на</w:t>
      </w:r>
      <w:r w:rsidRPr="00CA6373">
        <w:rPr>
          <w:rFonts w:ascii="Times New Roman" w:hAnsi="Times New Roman" w:cs="Times New Roman"/>
          <w:sz w:val="24"/>
          <w:szCs w:val="24"/>
        </w:rPr>
        <w:t xml:space="preserve"> уровне 119,8 млн руб. </w:t>
      </w:r>
    </w:p>
    <w:p w:rsidR="00635258" w:rsidRPr="00CA6373" w:rsidRDefault="00635258" w:rsidP="00131D2B">
      <w:pPr>
        <w:pStyle w:val="BodyText"/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CA6373">
        <w:rPr>
          <w:rFonts w:ascii="Times New Roman" w:hAnsi="Times New Roman" w:cs="Times New Roman"/>
          <w:sz w:val="24"/>
          <w:szCs w:val="24"/>
        </w:rPr>
        <w:t>По состоянию на 1 января 2016 года в портфеле ПРБ находятся три долгосрочные государственные облигации, выпущенные в документарной форме Министерством финансов ПМР в 2012 и 2014 годах, общей номинальной стоимостью 296,6 млн руб., сроком обращения 15 лет с процентным доходом 0,01% годовых, выплачиваемым при погашении облигаций.</w:t>
      </w:r>
    </w:p>
    <w:p w:rsidR="00635258" w:rsidRDefault="00635258" w:rsidP="00131D2B">
      <w:pPr>
        <w:tabs>
          <w:tab w:val="left" w:pos="1080"/>
        </w:tabs>
        <w:ind w:firstLine="425"/>
        <w:jc w:val="both"/>
        <w:rPr>
          <w:sz w:val="24"/>
          <w:szCs w:val="24"/>
        </w:rPr>
      </w:pPr>
      <w:r w:rsidRPr="001B7B2B">
        <w:rPr>
          <w:sz w:val="24"/>
          <w:szCs w:val="24"/>
        </w:rPr>
        <w:t>В отч</w:t>
      </w:r>
      <w:r>
        <w:rPr>
          <w:sz w:val="24"/>
          <w:szCs w:val="24"/>
        </w:rPr>
        <w:t>ё</w:t>
      </w:r>
      <w:r w:rsidRPr="001B7B2B">
        <w:rPr>
          <w:sz w:val="24"/>
          <w:szCs w:val="24"/>
        </w:rPr>
        <w:t>тном году в сфере государственных финансов центральный банк осуществлял хранение средств</w:t>
      </w:r>
      <w:r>
        <w:rPr>
          <w:sz w:val="24"/>
          <w:szCs w:val="24"/>
        </w:rPr>
        <w:t xml:space="preserve"> и</w:t>
      </w:r>
      <w:r w:rsidRPr="001B7B2B">
        <w:rPr>
          <w:sz w:val="24"/>
          <w:szCs w:val="24"/>
        </w:rPr>
        <w:t xml:space="preserve"> обслуживание счетов республиканского бюджета и государственных внебюджетных фондов, а также кассовое исполнение республиканского бюджета, предусмотренное действующим законодательством</w:t>
      </w:r>
      <w:r>
        <w:rPr>
          <w:sz w:val="24"/>
          <w:szCs w:val="24"/>
        </w:rPr>
        <w:t xml:space="preserve"> Приднестровской Молдавской Республики</w:t>
      </w:r>
      <w:r w:rsidRPr="001B7B2B">
        <w:rPr>
          <w:sz w:val="24"/>
          <w:szCs w:val="24"/>
        </w:rPr>
        <w:t>.</w:t>
      </w:r>
    </w:p>
    <w:p w:rsidR="00635258" w:rsidRPr="009A00D8" w:rsidRDefault="00635258" w:rsidP="00131D2B">
      <w:pPr>
        <w:ind w:firstLine="425"/>
        <w:jc w:val="both"/>
        <w:rPr>
          <w:sz w:val="24"/>
          <w:szCs w:val="24"/>
        </w:rPr>
      </w:pPr>
      <w:r w:rsidRPr="009A00D8">
        <w:rPr>
          <w:sz w:val="24"/>
          <w:szCs w:val="24"/>
        </w:rPr>
        <w:t>Согласно отч</w:t>
      </w:r>
      <w:r>
        <w:rPr>
          <w:sz w:val="24"/>
          <w:szCs w:val="24"/>
        </w:rPr>
        <w:t>ё</w:t>
      </w:r>
      <w:r w:rsidRPr="009A00D8">
        <w:rPr>
          <w:sz w:val="24"/>
          <w:szCs w:val="24"/>
        </w:rPr>
        <w:t>ту Приднестровского республиканского банка «О кассовом исполнении республиканского бюджета Приднестровской Молдавской Республики» за 2015 год</w:t>
      </w:r>
      <w:r>
        <w:rPr>
          <w:sz w:val="24"/>
          <w:szCs w:val="24"/>
        </w:rPr>
        <w:t>,</w:t>
      </w:r>
      <w:r w:rsidRPr="009A00D8">
        <w:rPr>
          <w:sz w:val="24"/>
          <w:szCs w:val="24"/>
        </w:rPr>
        <w:t xml:space="preserve"> фактическое поступление </w:t>
      </w:r>
      <w:r w:rsidRPr="00F83505">
        <w:rPr>
          <w:sz w:val="24"/>
          <w:szCs w:val="24"/>
        </w:rPr>
        <w:t>доходов</w:t>
      </w:r>
      <w:r w:rsidRPr="00F83505">
        <w:rPr>
          <w:rStyle w:val="FootnoteReference"/>
          <w:sz w:val="24"/>
          <w:szCs w:val="24"/>
        </w:rPr>
        <w:footnoteReference w:id="14"/>
      </w:r>
      <w:r w:rsidRPr="00F83505">
        <w:rPr>
          <w:sz w:val="24"/>
          <w:szCs w:val="24"/>
        </w:rPr>
        <w:t xml:space="preserve"> составило</w:t>
      </w:r>
      <w:r w:rsidRPr="009A00D8">
        <w:rPr>
          <w:sz w:val="24"/>
          <w:szCs w:val="24"/>
        </w:rPr>
        <w:t xml:space="preserve"> 1</w:t>
      </w:r>
      <w:r>
        <w:rPr>
          <w:sz w:val="24"/>
          <w:szCs w:val="24"/>
        </w:rPr>
        <w:t> </w:t>
      </w:r>
      <w:r w:rsidRPr="009A00D8">
        <w:rPr>
          <w:sz w:val="24"/>
          <w:szCs w:val="24"/>
        </w:rPr>
        <w:t>47</w:t>
      </w:r>
      <w:r>
        <w:rPr>
          <w:sz w:val="24"/>
          <w:szCs w:val="24"/>
        </w:rPr>
        <w:t>2,0</w:t>
      </w:r>
      <w:r w:rsidRPr="009A00D8">
        <w:rPr>
          <w:sz w:val="24"/>
          <w:szCs w:val="24"/>
        </w:rPr>
        <w:t xml:space="preserve"> млн руб.</w:t>
      </w:r>
      <w:r>
        <w:rPr>
          <w:sz w:val="24"/>
          <w:szCs w:val="24"/>
        </w:rPr>
        <w:t>,</w:t>
      </w:r>
      <w:r w:rsidRPr="009A00D8">
        <w:rPr>
          <w:sz w:val="24"/>
          <w:szCs w:val="24"/>
        </w:rPr>
        <w:t xml:space="preserve"> что ниже уровня 2014 года на 520,8</w:t>
      </w:r>
      <w:r>
        <w:rPr>
          <w:rStyle w:val="FootnoteReference"/>
          <w:sz w:val="24"/>
          <w:szCs w:val="24"/>
        </w:rPr>
        <w:footnoteReference w:id="15"/>
      </w:r>
      <w:r w:rsidRPr="009A00D8">
        <w:rPr>
          <w:sz w:val="24"/>
          <w:szCs w:val="24"/>
        </w:rPr>
        <w:t xml:space="preserve"> млн руб., или на 26,1%. </w:t>
      </w:r>
      <w:r>
        <w:rPr>
          <w:sz w:val="24"/>
          <w:szCs w:val="24"/>
        </w:rPr>
        <w:t>При этом р</w:t>
      </w:r>
      <w:r w:rsidRPr="009A00D8">
        <w:rPr>
          <w:sz w:val="24"/>
          <w:szCs w:val="24"/>
        </w:rPr>
        <w:t xml:space="preserve">асходы республиканского бюджета </w:t>
      </w:r>
      <w:r>
        <w:rPr>
          <w:sz w:val="24"/>
          <w:szCs w:val="24"/>
        </w:rPr>
        <w:t>уменьшились</w:t>
      </w:r>
      <w:r w:rsidRPr="00395F44">
        <w:rPr>
          <w:sz w:val="24"/>
          <w:szCs w:val="24"/>
        </w:rPr>
        <w:t xml:space="preserve"> </w:t>
      </w:r>
      <w:r w:rsidRPr="009A00D8">
        <w:rPr>
          <w:sz w:val="24"/>
          <w:szCs w:val="24"/>
        </w:rPr>
        <w:t>на 613,</w:t>
      </w:r>
      <w:r>
        <w:rPr>
          <w:sz w:val="24"/>
          <w:szCs w:val="24"/>
        </w:rPr>
        <w:t>4</w:t>
      </w:r>
      <w:r>
        <w:rPr>
          <w:rStyle w:val="FootnoteReference"/>
          <w:sz w:val="24"/>
          <w:szCs w:val="24"/>
        </w:rPr>
        <w:footnoteReference w:id="16"/>
      </w:r>
      <w:r w:rsidRPr="009A00D8">
        <w:rPr>
          <w:sz w:val="24"/>
          <w:szCs w:val="24"/>
        </w:rPr>
        <w:t xml:space="preserve"> млн руб., или на 22,</w:t>
      </w:r>
      <w:r>
        <w:rPr>
          <w:sz w:val="24"/>
          <w:szCs w:val="24"/>
        </w:rPr>
        <w:t>8</w:t>
      </w:r>
      <w:r w:rsidRPr="009A00D8">
        <w:rPr>
          <w:sz w:val="24"/>
          <w:szCs w:val="24"/>
        </w:rPr>
        <w:t>%</w:t>
      </w:r>
      <w:r>
        <w:rPr>
          <w:sz w:val="24"/>
          <w:szCs w:val="24"/>
        </w:rPr>
        <w:t>, до</w:t>
      </w:r>
      <w:r w:rsidRPr="009A00D8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9A00D8">
        <w:rPr>
          <w:sz w:val="24"/>
          <w:szCs w:val="24"/>
        </w:rPr>
        <w:t xml:space="preserve">081,1 млн руб. </w:t>
      </w:r>
    </w:p>
    <w:p w:rsidR="00635258" w:rsidRPr="0015176E" w:rsidRDefault="00635258" w:rsidP="00131D2B">
      <w:pPr>
        <w:ind w:right="-1" w:firstLine="425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</w:t>
      </w:r>
      <w:r w:rsidRPr="009A00D8">
        <w:rPr>
          <w:sz w:val="24"/>
          <w:szCs w:val="24"/>
        </w:rPr>
        <w:t xml:space="preserve">о итогам </w:t>
      </w:r>
      <w:r>
        <w:rPr>
          <w:sz w:val="24"/>
          <w:szCs w:val="24"/>
        </w:rPr>
        <w:t>отчё</w:t>
      </w:r>
      <w:r w:rsidRPr="009A00D8">
        <w:rPr>
          <w:sz w:val="24"/>
          <w:szCs w:val="24"/>
        </w:rPr>
        <w:t xml:space="preserve">тного года расходы республиканского бюджета </w:t>
      </w:r>
      <w:r>
        <w:rPr>
          <w:sz w:val="24"/>
          <w:szCs w:val="24"/>
        </w:rPr>
        <w:t>превысили</w:t>
      </w:r>
      <w:r w:rsidRPr="009A00D8">
        <w:rPr>
          <w:sz w:val="24"/>
          <w:szCs w:val="24"/>
        </w:rPr>
        <w:t xml:space="preserve"> доходы в</w:t>
      </w:r>
      <w:r>
        <w:rPr>
          <w:sz w:val="24"/>
          <w:szCs w:val="24"/>
        </w:rPr>
        <w:t xml:space="preserve"> 1,4 раза, а</w:t>
      </w:r>
      <w:r w:rsidRPr="009A00D8">
        <w:rPr>
          <w:sz w:val="24"/>
          <w:szCs w:val="24"/>
        </w:rPr>
        <w:t xml:space="preserve"> степень покрытия фактических расходов поступившими доходами составила 70,7% против </w:t>
      </w:r>
      <w:r w:rsidRPr="0015176E">
        <w:rPr>
          <w:sz w:val="24"/>
          <w:szCs w:val="24"/>
        </w:rPr>
        <w:t>7</w:t>
      </w:r>
      <w:r>
        <w:rPr>
          <w:sz w:val="24"/>
          <w:szCs w:val="24"/>
        </w:rPr>
        <w:t>4,0</w:t>
      </w:r>
      <w:r w:rsidRPr="0015176E">
        <w:rPr>
          <w:sz w:val="24"/>
          <w:szCs w:val="24"/>
        </w:rPr>
        <w:t>%</w:t>
      </w:r>
      <w:r>
        <w:rPr>
          <w:sz w:val="24"/>
          <w:szCs w:val="24"/>
        </w:rPr>
        <w:t xml:space="preserve"> за</w:t>
      </w:r>
      <w:r w:rsidRPr="0015176E">
        <w:rPr>
          <w:sz w:val="24"/>
          <w:szCs w:val="24"/>
        </w:rPr>
        <w:t xml:space="preserve"> 2014 год.</w:t>
      </w:r>
    </w:p>
    <w:p w:rsidR="00635258" w:rsidRPr="009A00D8" w:rsidRDefault="00635258" w:rsidP="00131D2B">
      <w:pPr>
        <w:tabs>
          <w:tab w:val="left" w:pos="720"/>
        </w:tabs>
        <w:ind w:right="-1" w:firstLine="425"/>
        <w:jc w:val="both"/>
        <w:rPr>
          <w:sz w:val="24"/>
          <w:szCs w:val="24"/>
        </w:rPr>
      </w:pPr>
      <w:r w:rsidRPr="009A00D8">
        <w:rPr>
          <w:sz w:val="24"/>
          <w:szCs w:val="24"/>
        </w:rPr>
        <w:t>Остатки средств на</w:t>
      </w:r>
      <w:r>
        <w:rPr>
          <w:sz w:val="24"/>
          <w:szCs w:val="24"/>
        </w:rPr>
        <w:t xml:space="preserve"> рублёвых</w:t>
      </w:r>
      <w:r w:rsidRPr="009A00D8">
        <w:rPr>
          <w:sz w:val="24"/>
          <w:szCs w:val="24"/>
        </w:rPr>
        <w:t xml:space="preserve"> счетах учреждений республиканского бюджета, открытых в Приднестровском республиканском банке, по состоянию на 1 января 201</w:t>
      </w:r>
      <w:r>
        <w:rPr>
          <w:sz w:val="24"/>
          <w:szCs w:val="24"/>
        </w:rPr>
        <w:t>6</w:t>
      </w:r>
      <w:r w:rsidRPr="009A00D8">
        <w:rPr>
          <w:sz w:val="24"/>
          <w:szCs w:val="24"/>
        </w:rPr>
        <w:t xml:space="preserve"> года </w:t>
      </w:r>
      <w:r>
        <w:rPr>
          <w:sz w:val="24"/>
          <w:szCs w:val="24"/>
        </w:rPr>
        <w:t>достигли</w:t>
      </w:r>
      <w:r w:rsidRPr="003F5C98">
        <w:rPr>
          <w:sz w:val="24"/>
          <w:szCs w:val="24"/>
        </w:rPr>
        <w:t xml:space="preserve"> 157,0 млн руб., увеличившись по сравнению с началом 2015 года на 84,0 млн руб., или в </w:t>
      </w:r>
      <w:r>
        <w:rPr>
          <w:sz w:val="24"/>
          <w:szCs w:val="24"/>
        </w:rPr>
        <w:br/>
      </w:r>
      <w:r w:rsidRPr="003F5C98">
        <w:rPr>
          <w:sz w:val="24"/>
          <w:szCs w:val="24"/>
        </w:rPr>
        <w:t>2,</w:t>
      </w:r>
      <w:r>
        <w:rPr>
          <w:sz w:val="24"/>
          <w:szCs w:val="24"/>
        </w:rPr>
        <w:t>2</w:t>
      </w:r>
      <w:r w:rsidRPr="003F5C98">
        <w:rPr>
          <w:sz w:val="24"/>
          <w:szCs w:val="24"/>
        </w:rPr>
        <w:t xml:space="preserve"> раза. </w:t>
      </w:r>
      <w:r>
        <w:rPr>
          <w:sz w:val="24"/>
          <w:szCs w:val="24"/>
        </w:rPr>
        <w:t>В то же время суммы</w:t>
      </w:r>
      <w:r w:rsidRPr="003F5C98">
        <w:rPr>
          <w:sz w:val="24"/>
          <w:szCs w:val="24"/>
        </w:rPr>
        <w:t xml:space="preserve"> средств на</w:t>
      </w:r>
      <w:r>
        <w:rPr>
          <w:sz w:val="24"/>
          <w:szCs w:val="24"/>
        </w:rPr>
        <w:t xml:space="preserve"> валютных</w:t>
      </w:r>
      <w:r w:rsidRPr="003F5C98">
        <w:rPr>
          <w:sz w:val="24"/>
          <w:szCs w:val="24"/>
        </w:rPr>
        <w:t xml:space="preserve"> счетах сократились на </w:t>
      </w:r>
      <w:r>
        <w:rPr>
          <w:sz w:val="24"/>
          <w:szCs w:val="24"/>
        </w:rPr>
        <w:t>115,7 млн руб., или на 47,0</w:t>
      </w:r>
      <w:r w:rsidRPr="003F5C98">
        <w:rPr>
          <w:sz w:val="24"/>
          <w:szCs w:val="24"/>
        </w:rPr>
        <w:t>%</w:t>
      </w:r>
      <w:r>
        <w:rPr>
          <w:sz w:val="24"/>
          <w:szCs w:val="24"/>
        </w:rPr>
        <w:t>,</w:t>
      </w:r>
      <w:r w:rsidRPr="003F5C98">
        <w:rPr>
          <w:sz w:val="24"/>
          <w:szCs w:val="24"/>
        </w:rPr>
        <w:t xml:space="preserve"> </w:t>
      </w:r>
      <w:r>
        <w:rPr>
          <w:sz w:val="24"/>
          <w:szCs w:val="24"/>
        </w:rPr>
        <w:t>до 130,4</w:t>
      </w:r>
      <w:r w:rsidRPr="003F5C98">
        <w:rPr>
          <w:sz w:val="24"/>
          <w:szCs w:val="24"/>
        </w:rPr>
        <w:t xml:space="preserve"> млн руб. </w:t>
      </w:r>
      <w:r>
        <w:rPr>
          <w:sz w:val="24"/>
          <w:szCs w:val="24"/>
        </w:rPr>
        <w:t>Н</w:t>
      </w:r>
      <w:r w:rsidRPr="003F5C98">
        <w:rPr>
          <w:sz w:val="24"/>
          <w:szCs w:val="24"/>
        </w:rPr>
        <w:t>а</w:t>
      </w:r>
      <w:r>
        <w:rPr>
          <w:sz w:val="24"/>
          <w:szCs w:val="24"/>
        </w:rPr>
        <w:t xml:space="preserve"> рублёвых</w:t>
      </w:r>
      <w:r w:rsidRPr="003F5C98">
        <w:rPr>
          <w:sz w:val="24"/>
          <w:szCs w:val="24"/>
        </w:rPr>
        <w:t xml:space="preserve"> счетах государственных целевых внебюджетных фондов </w:t>
      </w:r>
      <w:r>
        <w:rPr>
          <w:sz w:val="24"/>
          <w:szCs w:val="24"/>
        </w:rPr>
        <w:t xml:space="preserve">по состоянию на 1 января 2016 года находилось средств в объёме </w:t>
      </w:r>
      <w:r w:rsidRPr="009A00D8">
        <w:rPr>
          <w:sz w:val="24"/>
          <w:szCs w:val="24"/>
        </w:rPr>
        <w:t>46,6 млн руб.</w:t>
      </w:r>
      <w:r>
        <w:rPr>
          <w:sz w:val="24"/>
          <w:szCs w:val="24"/>
        </w:rPr>
        <w:t xml:space="preserve">, что </w:t>
      </w:r>
      <w:r w:rsidRPr="009A00D8">
        <w:rPr>
          <w:sz w:val="24"/>
          <w:szCs w:val="24"/>
        </w:rPr>
        <w:t>на 34,1 млн руб.</w:t>
      </w:r>
      <w:r>
        <w:rPr>
          <w:sz w:val="24"/>
          <w:szCs w:val="24"/>
        </w:rPr>
        <w:t xml:space="preserve">, </w:t>
      </w:r>
      <w:r w:rsidRPr="009A00D8">
        <w:rPr>
          <w:sz w:val="24"/>
          <w:szCs w:val="24"/>
        </w:rPr>
        <w:t>или в 3,7</w:t>
      </w:r>
      <w:r>
        <w:rPr>
          <w:sz w:val="24"/>
          <w:szCs w:val="24"/>
        </w:rPr>
        <w:t xml:space="preserve"> раза,</w:t>
      </w:r>
      <w:r w:rsidRPr="009A00D8">
        <w:rPr>
          <w:sz w:val="24"/>
          <w:szCs w:val="24"/>
        </w:rPr>
        <w:t xml:space="preserve"> </w:t>
      </w:r>
      <w:r>
        <w:rPr>
          <w:sz w:val="24"/>
          <w:szCs w:val="24"/>
        </w:rPr>
        <w:t>превысило уровень начала отчётного года.</w:t>
      </w:r>
      <w:r w:rsidRPr="009A00D8">
        <w:rPr>
          <w:sz w:val="24"/>
          <w:szCs w:val="24"/>
        </w:rPr>
        <w:t xml:space="preserve"> 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 w:rsidRPr="009A00D8">
        <w:rPr>
          <w:sz w:val="24"/>
          <w:szCs w:val="24"/>
        </w:rPr>
        <w:t>В рамках совершенствования представления Приднестровским республиканским банком</w:t>
      </w:r>
      <w:r>
        <w:rPr>
          <w:sz w:val="24"/>
          <w:szCs w:val="24"/>
        </w:rPr>
        <w:t xml:space="preserve"> отчё</w:t>
      </w:r>
      <w:r w:rsidRPr="009A00D8">
        <w:rPr>
          <w:sz w:val="24"/>
          <w:szCs w:val="24"/>
        </w:rPr>
        <w:t>тности</w:t>
      </w:r>
      <w:r>
        <w:rPr>
          <w:sz w:val="24"/>
          <w:szCs w:val="24"/>
        </w:rPr>
        <w:t xml:space="preserve"> </w:t>
      </w:r>
      <w:r w:rsidRPr="009A00D8">
        <w:rPr>
          <w:sz w:val="24"/>
          <w:szCs w:val="24"/>
        </w:rPr>
        <w:t xml:space="preserve">было разработано, согласовано с Министерством финансов Приднестровской Молдавской Республики и </w:t>
      </w:r>
      <w:r w:rsidRPr="003F5C98">
        <w:rPr>
          <w:sz w:val="24"/>
          <w:szCs w:val="24"/>
        </w:rPr>
        <w:t>утверждено</w:t>
      </w:r>
      <w:r>
        <w:rPr>
          <w:sz w:val="24"/>
          <w:szCs w:val="24"/>
        </w:rPr>
        <w:t xml:space="preserve"> </w:t>
      </w:r>
      <w:r w:rsidRPr="009A00D8">
        <w:rPr>
          <w:sz w:val="24"/>
          <w:szCs w:val="24"/>
        </w:rPr>
        <w:t>Указание Приднестровского республиканского банка от 7 апреля 2015 года № 839-У «О внесении изменений в Инструкцию Приднестровского республиканского банка от 2 июля 2008 года № 26-И «О порядке представления Приднестровским республиканским банком отч</w:t>
      </w:r>
      <w:r>
        <w:rPr>
          <w:sz w:val="24"/>
          <w:szCs w:val="24"/>
        </w:rPr>
        <w:t>ё</w:t>
      </w:r>
      <w:r w:rsidRPr="009A00D8">
        <w:rPr>
          <w:sz w:val="24"/>
          <w:szCs w:val="24"/>
        </w:rPr>
        <w:t>тности по операциям, связанным с движением средств республиканского бюджета и Единого государственного фонда социального страхования Приднестровской Молдавской Республики» (регистрационный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A00D8">
        <w:rPr>
          <w:sz w:val="24"/>
          <w:szCs w:val="24"/>
        </w:rPr>
        <w:t>№ 7107 от 15 мая 2015 года) (САЗ 15-20)</w:t>
      </w:r>
      <w:r>
        <w:rPr>
          <w:sz w:val="24"/>
          <w:szCs w:val="24"/>
        </w:rPr>
        <w:t xml:space="preserve">, </w:t>
      </w:r>
      <w:r w:rsidRPr="009A00D8">
        <w:rPr>
          <w:sz w:val="24"/>
          <w:szCs w:val="24"/>
        </w:rPr>
        <w:t>уточн</w:t>
      </w:r>
      <w:r>
        <w:rPr>
          <w:sz w:val="24"/>
          <w:szCs w:val="24"/>
        </w:rPr>
        <w:t>яющее</w:t>
      </w:r>
      <w:r w:rsidRPr="009A00D8">
        <w:rPr>
          <w:sz w:val="24"/>
          <w:szCs w:val="24"/>
        </w:rPr>
        <w:t xml:space="preserve"> поряд</w:t>
      </w:r>
      <w:r>
        <w:rPr>
          <w:sz w:val="24"/>
          <w:szCs w:val="24"/>
        </w:rPr>
        <w:t>ок формирования отчё</w:t>
      </w:r>
      <w:r w:rsidRPr="009A00D8">
        <w:rPr>
          <w:sz w:val="24"/>
          <w:szCs w:val="24"/>
        </w:rPr>
        <w:t>тности.</w:t>
      </w:r>
      <w:r w:rsidRPr="006E5365">
        <w:rPr>
          <w:sz w:val="24"/>
          <w:szCs w:val="24"/>
        </w:rPr>
        <w:t xml:space="preserve"> </w:t>
      </w:r>
    </w:p>
    <w:p w:rsidR="00635258" w:rsidRPr="00AE2528" w:rsidRDefault="00635258" w:rsidP="00131D2B">
      <w:pPr>
        <w:ind w:firstLine="425"/>
        <w:jc w:val="both"/>
        <w:rPr>
          <w:noProof/>
          <w:sz w:val="24"/>
          <w:szCs w:val="24"/>
        </w:rPr>
      </w:pPr>
    </w:p>
    <w:p w:rsidR="00635258" w:rsidRPr="00C95612" w:rsidRDefault="00635258" w:rsidP="00131D2B">
      <w:pPr>
        <w:numPr>
          <w:ilvl w:val="1"/>
          <w:numId w:val="5"/>
        </w:num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 w:rsidRPr="00C95612">
        <w:rPr>
          <w:b/>
          <w:bCs/>
          <w:noProof/>
          <w:sz w:val="24"/>
          <w:szCs w:val="24"/>
        </w:rPr>
        <w:t>ВЗАИМОДЕЙСТВИЕ С ОРГАНАМИ ГОСУДАРСТВЕННОЙ ВЛАСТИ</w:t>
      </w:r>
    </w:p>
    <w:p w:rsidR="00635258" w:rsidRPr="000D082A" w:rsidRDefault="00635258" w:rsidP="00131D2B">
      <w:pPr>
        <w:pStyle w:val="PlainText"/>
        <w:spacing w:before="12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D082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отчётном</w:t>
      </w:r>
      <w:r w:rsidRPr="000D082A">
        <w:rPr>
          <w:rFonts w:ascii="Times New Roman" w:hAnsi="Times New Roman" w:cs="Times New Roman"/>
          <w:sz w:val="24"/>
          <w:szCs w:val="24"/>
        </w:rPr>
        <w:t xml:space="preserve"> году Приднестровский республиканский банк, </w:t>
      </w:r>
      <w:r>
        <w:rPr>
          <w:rFonts w:ascii="Times New Roman" w:hAnsi="Times New Roman" w:cs="Times New Roman"/>
          <w:sz w:val="24"/>
          <w:szCs w:val="24"/>
        </w:rPr>
        <w:t>функционируя</w:t>
      </w:r>
      <w:r w:rsidRPr="000D082A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законодательства,</w:t>
      </w:r>
      <w:r w:rsidRPr="000D082A">
        <w:rPr>
          <w:rFonts w:ascii="Times New Roman" w:hAnsi="Times New Roman" w:cs="Times New Roman"/>
          <w:sz w:val="24"/>
          <w:szCs w:val="24"/>
        </w:rPr>
        <w:t xml:space="preserve"> осуществлял взаимодействие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и управления</w:t>
      </w:r>
      <w:r w:rsidRPr="000D082A">
        <w:rPr>
          <w:rFonts w:ascii="Times New Roman" w:hAnsi="Times New Roman" w:cs="Times New Roman"/>
          <w:sz w:val="24"/>
          <w:szCs w:val="24"/>
        </w:rPr>
        <w:t xml:space="preserve"> по различным направлениям.</w:t>
      </w:r>
    </w:p>
    <w:p w:rsidR="00635258" w:rsidRPr="000D082A" w:rsidRDefault="00635258" w:rsidP="00131D2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тесное сотрудничество с Правительством Приднестровской Молдавской Республики осуществлялось </w:t>
      </w:r>
      <w:r w:rsidRPr="000D082A">
        <w:rPr>
          <w:sz w:val="24"/>
          <w:szCs w:val="24"/>
        </w:rPr>
        <w:t xml:space="preserve">в </w:t>
      </w:r>
      <w:r>
        <w:rPr>
          <w:sz w:val="24"/>
          <w:szCs w:val="24"/>
        </w:rPr>
        <w:t>процессе</w:t>
      </w:r>
      <w:r w:rsidRPr="000D082A">
        <w:rPr>
          <w:sz w:val="24"/>
          <w:szCs w:val="24"/>
        </w:rPr>
        <w:t xml:space="preserve"> разработки и реализации единой</w:t>
      </w:r>
      <w:r>
        <w:rPr>
          <w:sz w:val="24"/>
          <w:szCs w:val="24"/>
        </w:rPr>
        <w:t xml:space="preserve"> государственной</w:t>
      </w:r>
      <w:r w:rsidRPr="000D082A">
        <w:rPr>
          <w:sz w:val="24"/>
          <w:szCs w:val="24"/>
        </w:rPr>
        <w:t xml:space="preserve"> экономической политики.</w:t>
      </w:r>
      <w:r w:rsidRPr="003F7F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своей компетенции </w:t>
      </w:r>
      <w:r w:rsidRPr="000D082A">
        <w:rPr>
          <w:sz w:val="24"/>
          <w:szCs w:val="24"/>
        </w:rPr>
        <w:t>Приднестровский республиканский банк</w:t>
      </w:r>
      <w:r>
        <w:rPr>
          <w:sz w:val="24"/>
          <w:szCs w:val="24"/>
        </w:rPr>
        <w:t xml:space="preserve"> ежеквартально информировал Президента, Правительство и Верховный Совет Приднестровской Молдавской Республики о состоянии денежно-кредитной сферы, а также предоставлял информацию о </w:t>
      </w:r>
      <w:r w:rsidRPr="000D082A">
        <w:rPr>
          <w:sz w:val="24"/>
          <w:szCs w:val="24"/>
        </w:rPr>
        <w:t>прогноз</w:t>
      </w:r>
      <w:r>
        <w:rPr>
          <w:sz w:val="24"/>
          <w:szCs w:val="24"/>
        </w:rPr>
        <w:t xml:space="preserve">е основных монетарных показателей на трёхлетнюю перспективу в адрес </w:t>
      </w:r>
      <w:r w:rsidRPr="000D082A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0D082A">
        <w:rPr>
          <w:sz w:val="24"/>
          <w:szCs w:val="24"/>
        </w:rPr>
        <w:t xml:space="preserve"> экономического р</w:t>
      </w:r>
      <w:r>
        <w:rPr>
          <w:sz w:val="24"/>
          <w:szCs w:val="24"/>
        </w:rPr>
        <w:t>азвития и Министерства финансов Приднестровской Молдавской Республики</w:t>
      </w:r>
      <w:r w:rsidRPr="000D082A">
        <w:rPr>
          <w:sz w:val="24"/>
          <w:szCs w:val="24"/>
        </w:rPr>
        <w:t xml:space="preserve">. 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Проводились регулярные совместные совещания с уполномоченными органами государственной власти и управления, сотрудники центрального банка принимали участие в работе Межведомственных групп. В рамках рассмотрения законодательных инициатив центральный банк участвовал в заседаниях соответствующих комитетов и сессиях Верховного Совета ПМР.</w:t>
      </w:r>
    </w:p>
    <w:p w:rsidR="00635258" w:rsidRPr="00854B65" w:rsidRDefault="00635258" w:rsidP="00917CB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225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2015 году в соответствии с Законом Приднестровской Молдавской Республики от </w:t>
      </w:r>
      <w:r>
        <w:rPr>
          <w:sz w:val="24"/>
          <w:szCs w:val="24"/>
        </w:rPr>
        <w:br/>
        <w:t>7 мая 2007 года № 212-З-IV</w:t>
      </w:r>
      <w:r w:rsidRPr="00522555">
        <w:rPr>
          <w:sz w:val="24"/>
          <w:szCs w:val="24"/>
        </w:rPr>
        <w:t xml:space="preserve"> «О центральном банке ПМР» либо во исполнение поручений Верховного Совета ПМР</w:t>
      </w:r>
      <w:r>
        <w:rPr>
          <w:sz w:val="24"/>
          <w:szCs w:val="24"/>
        </w:rPr>
        <w:t>,</w:t>
      </w:r>
      <w:r w:rsidRPr="00522555">
        <w:rPr>
          <w:sz w:val="24"/>
          <w:szCs w:val="24"/>
        </w:rPr>
        <w:t xml:space="preserve"> закреплённых соответствующими Постановлениями</w:t>
      </w:r>
      <w:r>
        <w:rPr>
          <w:sz w:val="24"/>
          <w:szCs w:val="24"/>
        </w:rPr>
        <w:t>,</w:t>
      </w:r>
      <w:r w:rsidRPr="00522555">
        <w:rPr>
          <w:sz w:val="24"/>
          <w:szCs w:val="24"/>
        </w:rPr>
        <w:t xml:space="preserve"> проводили</w:t>
      </w:r>
      <w:r>
        <w:rPr>
          <w:sz w:val="24"/>
          <w:szCs w:val="24"/>
        </w:rPr>
        <w:t xml:space="preserve">сь </w:t>
      </w:r>
      <w:r w:rsidRPr="00854B65">
        <w:rPr>
          <w:sz w:val="24"/>
          <w:szCs w:val="24"/>
        </w:rPr>
        <w:t>проверки деятельности центрального банка Счётной палатой ПМР. В частности, осуществлялись экспертно-аналитические и контрольные мероприятия по вопросу уступки ОАО «Бюро по управлению активами» прав (требований) от Приднестровского республиканского банка по договорам межбанковского кредитования и депозитным договорам, заключённым с ЗАО «Приднестровский Сберегательный банк» и ОАО «БизнесИнвестБанк».</w:t>
      </w:r>
    </w:p>
    <w:p w:rsidR="00635258" w:rsidRDefault="00635258" w:rsidP="00917CB6">
      <w:pPr>
        <w:ind w:firstLine="426"/>
        <w:jc w:val="both"/>
        <w:rPr>
          <w:sz w:val="24"/>
          <w:szCs w:val="24"/>
        </w:rPr>
      </w:pPr>
      <w:r w:rsidRPr="00854B65">
        <w:rPr>
          <w:sz w:val="24"/>
          <w:szCs w:val="24"/>
        </w:rPr>
        <w:t>Была осуществлена проверка счетов и операций центрального банка, на которые</w:t>
      </w:r>
      <w:r>
        <w:rPr>
          <w:sz w:val="24"/>
          <w:szCs w:val="24"/>
        </w:rPr>
        <w:t xml:space="preserve"> распространяется действие Закона ПМР «О государственной тайне», а также экспертно-аналитические и контрольно-ревизионные мероприятия по распределению и использованию гуманитарной помощи Российской Федерации за 2014 год, начатые в 2014 году.</w:t>
      </w:r>
    </w:p>
    <w:p w:rsidR="00635258" w:rsidRPr="00D73AF5" w:rsidRDefault="00635258" w:rsidP="00917CB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2015 году продолжалось взаимодействие со Службой государственного надзора ПМР в рамках работы над Актом о результатах</w:t>
      </w:r>
      <w:r w:rsidRPr="005A14EC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 по контролю (надзору) и Предписанию по проверке, проведённой в 2014 году.</w:t>
      </w:r>
    </w:p>
    <w:p w:rsidR="00635258" w:rsidRPr="00481666" w:rsidRDefault="00635258" w:rsidP="00131D2B">
      <w:pPr>
        <w:tabs>
          <w:tab w:val="left" w:pos="900"/>
          <w:tab w:val="left" w:pos="1080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Большая работа в отчётном году была проведена п</w:t>
      </w:r>
      <w:r w:rsidRPr="00CA6373">
        <w:rPr>
          <w:sz w:val="24"/>
          <w:szCs w:val="24"/>
        </w:rPr>
        <w:t>о линии</w:t>
      </w:r>
      <w:r>
        <w:rPr>
          <w:sz w:val="24"/>
          <w:szCs w:val="24"/>
        </w:rPr>
        <w:t xml:space="preserve"> </w:t>
      </w:r>
      <w:r w:rsidRPr="00CA6373">
        <w:rPr>
          <w:sz w:val="24"/>
          <w:szCs w:val="24"/>
        </w:rPr>
        <w:t>финансового мониторинга</w:t>
      </w:r>
      <w:r>
        <w:rPr>
          <w:sz w:val="24"/>
          <w:szCs w:val="24"/>
        </w:rPr>
        <w:t>. В частности,</w:t>
      </w:r>
      <w:r w:rsidRPr="00CA6373">
        <w:rPr>
          <w:sz w:val="24"/>
          <w:szCs w:val="24"/>
        </w:rPr>
        <w:t xml:space="preserve"> </w:t>
      </w:r>
      <w:r w:rsidRPr="00481666">
        <w:rPr>
          <w:sz w:val="24"/>
          <w:szCs w:val="24"/>
        </w:rPr>
        <w:t xml:space="preserve">межведомственное взаимодействие с органами государственной власти </w:t>
      </w:r>
      <w:r>
        <w:rPr>
          <w:sz w:val="24"/>
          <w:szCs w:val="24"/>
        </w:rPr>
        <w:t xml:space="preserve">в этой сфере </w:t>
      </w:r>
      <w:r w:rsidRPr="00481666">
        <w:rPr>
          <w:sz w:val="24"/>
          <w:szCs w:val="24"/>
        </w:rPr>
        <w:t>осуществлялось по следующим направлениям:</w:t>
      </w:r>
    </w:p>
    <w:p w:rsidR="00635258" w:rsidRPr="00481666" w:rsidRDefault="00635258" w:rsidP="00131D2B">
      <w:pPr>
        <w:numPr>
          <w:ilvl w:val="0"/>
          <w:numId w:val="20"/>
        </w:numPr>
        <w:ind w:left="0" w:firstLine="426"/>
        <w:jc w:val="both"/>
        <w:rPr>
          <w:rStyle w:val="blk"/>
          <w:sz w:val="24"/>
          <w:szCs w:val="24"/>
        </w:rPr>
      </w:pPr>
      <w:r w:rsidRPr="00481666">
        <w:rPr>
          <w:rStyle w:val="blk"/>
          <w:sz w:val="24"/>
          <w:szCs w:val="24"/>
        </w:rPr>
        <w:t>согласован с замечаниями проект Постановления Правительства Приднестровской Молдавской Республики «Об утверждении Положения о принятии решения о нежелательности пребывания (проживания) иностранного гражданина или лица без гражданства в Приднестровской Молдавской Республик</w:t>
      </w:r>
      <w:r>
        <w:rPr>
          <w:rStyle w:val="blk"/>
          <w:sz w:val="24"/>
          <w:szCs w:val="24"/>
        </w:rPr>
        <w:t>е</w:t>
      </w:r>
      <w:r w:rsidRPr="00481666">
        <w:rPr>
          <w:rStyle w:val="blk"/>
          <w:sz w:val="24"/>
          <w:szCs w:val="24"/>
        </w:rPr>
        <w:t xml:space="preserve">», разработанный во исполнение Указа Президента ПМР </w:t>
      </w:r>
      <w:r>
        <w:rPr>
          <w:rStyle w:val="blk"/>
          <w:sz w:val="24"/>
          <w:szCs w:val="24"/>
        </w:rPr>
        <w:t>«</w:t>
      </w:r>
      <w:hyperlink r:id="rId9" w:tgtFrame="_blank" w:history="1">
        <w:r w:rsidRPr="00481666">
          <w:rPr>
            <w:rStyle w:val="blk"/>
            <w:sz w:val="24"/>
            <w:szCs w:val="24"/>
          </w:rPr>
          <w:t>О внесении дополнения в Указ Президента Приднестровской Молдавской Республики от 30 мая 2013 года № 258 «Об утверждении Положения о правилах прописки, выписки и регистрации граждан, иностранных граждан и лиц без гражданства на территории Приднестровской Молдавской Республики»</w:t>
        </w:r>
      </w:hyperlink>
      <w:r w:rsidRPr="00481666">
        <w:rPr>
          <w:rStyle w:val="blk"/>
          <w:sz w:val="24"/>
          <w:szCs w:val="24"/>
        </w:rPr>
        <w:t xml:space="preserve"> от 10 ноября 2014 № 366 </w:t>
      </w:r>
      <w:r>
        <w:rPr>
          <w:rStyle w:val="blk"/>
          <w:sz w:val="24"/>
          <w:szCs w:val="24"/>
        </w:rPr>
        <w:br/>
      </w:r>
      <w:r w:rsidRPr="00481666">
        <w:rPr>
          <w:rStyle w:val="blk"/>
          <w:sz w:val="24"/>
          <w:szCs w:val="24"/>
        </w:rPr>
        <w:t>(САЗ 14-46)</w:t>
      </w:r>
      <w:r>
        <w:rPr>
          <w:rStyle w:val="blk"/>
          <w:sz w:val="24"/>
          <w:szCs w:val="24"/>
        </w:rPr>
        <w:t>»;</w:t>
      </w:r>
    </w:p>
    <w:p w:rsidR="00635258" w:rsidRPr="00481666" w:rsidRDefault="00635258" w:rsidP="00131D2B">
      <w:pPr>
        <w:numPr>
          <w:ilvl w:val="0"/>
          <w:numId w:val="20"/>
        </w:numPr>
        <w:ind w:left="0" w:firstLine="426"/>
        <w:jc w:val="both"/>
        <w:rPr>
          <w:rStyle w:val="blk"/>
          <w:sz w:val="24"/>
          <w:szCs w:val="24"/>
        </w:rPr>
      </w:pPr>
      <w:r w:rsidRPr="00481666">
        <w:rPr>
          <w:rStyle w:val="blk"/>
          <w:sz w:val="24"/>
          <w:szCs w:val="24"/>
        </w:rPr>
        <w:t xml:space="preserve">проведена работа по </w:t>
      </w:r>
      <w:r>
        <w:rPr>
          <w:rStyle w:val="blk"/>
          <w:sz w:val="24"/>
          <w:szCs w:val="24"/>
        </w:rPr>
        <w:t>подготовке следующих нормативно-</w:t>
      </w:r>
      <w:r w:rsidRPr="00481666">
        <w:rPr>
          <w:rStyle w:val="blk"/>
          <w:sz w:val="24"/>
          <w:szCs w:val="24"/>
        </w:rPr>
        <w:t>правовых актов:</w:t>
      </w:r>
    </w:p>
    <w:p w:rsidR="00635258" w:rsidRDefault="00635258" w:rsidP="00131D2B">
      <w:pPr>
        <w:ind w:firstLine="426"/>
        <w:jc w:val="both"/>
        <w:rPr>
          <w:sz w:val="24"/>
          <w:szCs w:val="24"/>
          <w:lang w:eastAsia="en-US"/>
        </w:rPr>
      </w:pPr>
      <w:r w:rsidRPr="00481666">
        <w:rPr>
          <w:rStyle w:val="blk"/>
          <w:sz w:val="24"/>
          <w:szCs w:val="24"/>
        </w:rPr>
        <w:t>а) распоряжени</w:t>
      </w:r>
      <w:r>
        <w:rPr>
          <w:rStyle w:val="blk"/>
          <w:sz w:val="24"/>
          <w:szCs w:val="24"/>
        </w:rPr>
        <w:t>я</w:t>
      </w:r>
      <w:r w:rsidRPr="00481666">
        <w:rPr>
          <w:rStyle w:val="blk"/>
          <w:sz w:val="24"/>
          <w:szCs w:val="24"/>
        </w:rPr>
        <w:t xml:space="preserve"> Президента </w:t>
      </w:r>
      <w:r w:rsidRPr="00481666">
        <w:rPr>
          <w:sz w:val="24"/>
          <w:szCs w:val="24"/>
          <w:lang w:eastAsia="en-US"/>
        </w:rPr>
        <w:t>Приднестровской Молдавской Республики</w:t>
      </w:r>
      <w:r w:rsidRPr="00481666">
        <w:rPr>
          <w:rStyle w:val="blk"/>
          <w:sz w:val="24"/>
          <w:szCs w:val="24"/>
        </w:rPr>
        <w:t xml:space="preserve"> </w:t>
      </w:r>
      <w:r w:rsidRPr="00481666">
        <w:rPr>
          <w:sz w:val="24"/>
          <w:szCs w:val="24"/>
        </w:rPr>
        <w:t xml:space="preserve">от 1 апреля </w:t>
      </w:r>
      <w:r w:rsidRPr="00481666">
        <w:rPr>
          <w:sz w:val="24"/>
          <w:szCs w:val="24"/>
        </w:rPr>
        <w:br/>
        <w:t>2015 г</w:t>
      </w:r>
      <w:r>
        <w:rPr>
          <w:sz w:val="24"/>
          <w:szCs w:val="24"/>
        </w:rPr>
        <w:t>ода</w:t>
      </w:r>
      <w:r w:rsidRPr="00481666">
        <w:rPr>
          <w:sz w:val="24"/>
          <w:szCs w:val="24"/>
        </w:rPr>
        <w:t xml:space="preserve"> № 96рп «О некоторых дополнительных государственных мерах, направленных на </w:t>
      </w:r>
      <w:r w:rsidRPr="00481666">
        <w:rPr>
          <w:sz w:val="24"/>
          <w:szCs w:val="24"/>
          <w:lang w:eastAsia="en-US"/>
        </w:rPr>
        <w:t>минимизацию негативного воздействия внешних экономических факторов</w:t>
      </w:r>
      <w:r w:rsidRPr="00CA6373">
        <w:rPr>
          <w:sz w:val="24"/>
          <w:szCs w:val="24"/>
          <w:lang w:eastAsia="en-US"/>
        </w:rPr>
        <w:t>»;</w:t>
      </w:r>
    </w:p>
    <w:p w:rsidR="00635258" w:rsidRPr="00CA6373" w:rsidRDefault="00635258" w:rsidP="006C0DA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CA6373">
        <w:rPr>
          <w:sz w:val="24"/>
          <w:szCs w:val="24"/>
        </w:rPr>
        <w:t>) проекта Закона Приднестровской Молдавской Республики «Об оффшорном сборе» совместно с Правительством Приднестровской Молдавской Республики (распоряжение Президента Приднестровской Молдавской Республики от 22 сентября 2015 года №343рп).</w:t>
      </w:r>
    </w:p>
    <w:p w:rsidR="00635258" w:rsidRPr="00CA6373" w:rsidRDefault="00635258" w:rsidP="00131D2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</w:t>
      </w:r>
      <w:r w:rsidRPr="00CA6373">
        <w:rPr>
          <w:sz w:val="24"/>
          <w:szCs w:val="24"/>
          <w:lang w:eastAsia="en-US"/>
        </w:rPr>
        <w:t>) распоряжени</w:t>
      </w:r>
      <w:r>
        <w:rPr>
          <w:sz w:val="24"/>
          <w:szCs w:val="24"/>
          <w:lang w:eastAsia="en-US"/>
        </w:rPr>
        <w:t>я</w:t>
      </w:r>
      <w:r w:rsidRPr="00CA6373">
        <w:rPr>
          <w:sz w:val="24"/>
          <w:szCs w:val="24"/>
          <w:lang w:eastAsia="en-US"/>
        </w:rPr>
        <w:t xml:space="preserve"> Правительства Приднестровской Молдавской Республики «О заключении Правительства Приднестровской Молдавской Республики на проект закона Приднестровской Молдавской Республики</w:t>
      </w:r>
      <w:r w:rsidRPr="00CA6373">
        <w:rPr>
          <w:sz w:val="24"/>
          <w:szCs w:val="24"/>
        </w:rPr>
        <w:t xml:space="preserve"> «О внесении изменений и дополнений в Закон </w:t>
      </w:r>
      <w:r w:rsidRPr="00CA6373">
        <w:rPr>
          <w:sz w:val="24"/>
          <w:szCs w:val="24"/>
          <w:lang w:eastAsia="en-US"/>
        </w:rPr>
        <w:t>Приднестровской Молдавской Республики</w:t>
      </w:r>
      <w:r w:rsidRPr="00CA6373">
        <w:rPr>
          <w:sz w:val="24"/>
          <w:szCs w:val="24"/>
        </w:rPr>
        <w:t xml:space="preserve"> «О противодействии легализации (отмыванию) дох</w:t>
      </w:r>
      <w:r>
        <w:rPr>
          <w:sz w:val="24"/>
          <w:szCs w:val="24"/>
        </w:rPr>
        <w:t>одов, полученных преступным путё</w:t>
      </w:r>
      <w:r w:rsidRPr="00CA6373">
        <w:rPr>
          <w:sz w:val="24"/>
          <w:szCs w:val="24"/>
        </w:rPr>
        <w:t xml:space="preserve">м, и финансированию терроризма» (папка №1803), представленный в качестве законодательной инициативы Президентом </w:t>
      </w:r>
      <w:r w:rsidRPr="00CA6373">
        <w:rPr>
          <w:sz w:val="24"/>
          <w:szCs w:val="24"/>
          <w:lang w:eastAsia="en-US"/>
        </w:rPr>
        <w:t xml:space="preserve">Приднестровской </w:t>
      </w:r>
      <w:r w:rsidRPr="00CA6373">
        <w:rPr>
          <w:sz w:val="24"/>
          <w:szCs w:val="24"/>
        </w:rPr>
        <w:t xml:space="preserve">Молдавской Республики. </w:t>
      </w:r>
      <w:r>
        <w:rPr>
          <w:sz w:val="24"/>
          <w:szCs w:val="24"/>
        </w:rPr>
        <w:t>Проект закона разработан с учё</w:t>
      </w:r>
      <w:r w:rsidRPr="00CA6373">
        <w:rPr>
          <w:sz w:val="24"/>
          <w:szCs w:val="24"/>
        </w:rPr>
        <w:t xml:space="preserve">том замечаний и рекомендаций </w:t>
      </w:r>
      <w:r>
        <w:rPr>
          <w:sz w:val="24"/>
          <w:szCs w:val="24"/>
        </w:rPr>
        <w:t>международной аудиторской компании</w:t>
      </w:r>
      <w:r w:rsidRPr="00CA6373">
        <w:rPr>
          <w:sz w:val="24"/>
          <w:szCs w:val="24"/>
        </w:rPr>
        <w:t xml:space="preserve"> ООО «ФБК Финанс», котор</w:t>
      </w:r>
      <w:r>
        <w:rPr>
          <w:sz w:val="24"/>
          <w:szCs w:val="24"/>
        </w:rPr>
        <w:t>ой</w:t>
      </w:r>
      <w:r w:rsidRPr="00CA6373">
        <w:rPr>
          <w:sz w:val="24"/>
          <w:szCs w:val="24"/>
        </w:rPr>
        <w:t xml:space="preserve"> на протяжении двух лет неоднократно отмечалось существенное отставание законодательства ПМР в сфере ПОД/ФТ от унифицированных международных стандартов и требований, которые предъявляются к данно</w:t>
      </w:r>
      <w:r>
        <w:rPr>
          <w:sz w:val="24"/>
          <w:szCs w:val="24"/>
        </w:rPr>
        <w:t>й</w:t>
      </w:r>
      <w:r w:rsidRPr="00CA6373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 w:rsidRPr="00CA6373">
        <w:rPr>
          <w:sz w:val="24"/>
          <w:szCs w:val="24"/>
        </w:rPr>
        <w:t>, и необходимость:</w:t>
      </w:r>
    </w:p>
    <w:p w:rsidR="00635258" w:rsidRPr="00CA6373" w:rsidRDefault="00635258" w:rsidP="00131D2B">
      <w:pPr>
        <w:pStyle w:val="BodyText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A63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373">
        <w:rPr>
          <w:rFonts w:ascii="Times New Roman" w:hAnsi="Times New Roman" w:cs="Times New Roman"/>
          <w:sz w:val="24"/>
          <w:szCs w:val="24"/>
        </w:rPr>
        <w:t xml:space="preserve"> выявления и идентификации субъектами финансового мониторинга бенефициарных собственников, фактически контролирующих их клиентов, а также выявления счетов публичных должностных лиц, что будет направлено в первую очередь на борьбу с коррупцией в органах государственной власти и местного самоуправления;</w:t>
      </w:r>
    </w:p>
    <w:p w:rsidR="00635258" w:rsidRPr="00CA6373" w:rsidRDefault="00635258" w:rsidP="00131D2B">
      <w:pPr>
        <w:pStyle w:val="BodyText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A63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373">
        <w:rPr>
          <w:rFonts w:ascii="Times New Roman" w:hAnsi="Times New Roman" w:cs="Times New Roman"/>
          <w:sz w:val="24"/>
          <w:szCs w:val="24"/>
        </w:rPr>
        <w:t xml:space="preserve"> определения прав и обязанностей субъектов финансового мониторинга, позволяющих наиболее полно реализовывать меры по надлежащей проверке клиентов, в том числе наделение кредитных организаций правом отказать в выполнении распоряжения клиента в совершении операции (сделки), по которой не предоставлены необходимые документы, или расторгнуть с таким клиентом отношения;</w:t>
      </w:r>
    </w:p>
    <w:p w:rsidR="00635258" w:rsidRPr="00CA6373" w:rsidRDefault="00635258" w:rsidP="00131D2B">
      <w:pPr>
        <w:pStyle w:val="BodyText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A63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373">
        <w:rPr>
          <w:rFonts w:ascii="Times New Roman" w:hAnsi="Times New Roman" w:cs="Times New Roman"/>
          <w:sz w:val="24"/>
          <w:szCs w:val="24"/>
        </w:rPr>
        <w:t xml:space="preserve"> отнесения операций (сделок) с резидентами оф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A6373">
        <w:rPr>
          <w:rFonts w:ascii="Times New Roman" w:hAnsi="Times New Roman" w:cs="Times New Roman"/>
          <w:sz w:val="24"/>
          <w:szCs w:val="24"/>
        </w:rPr>
        <w:t>шорных зон к операциям, подлежащим контролю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6373">
        <w:rPr>
          <w:rFonts w:ascii="Times New Roman" w:hAnsi="Times New Roman" w:cs="Times New Roman"/>
          <w:sz w:val="24"/>
          <w:szCs w:val="24"/>
        </w:rPr>
        <w:t xml:space="preserve"> с направлением информации в </w:t>
      </w:r>
      <w:r>
        <w:rPr>
          <w:rFonts w:ascii="Times New Roman" w:hAnsi="Times New Roman" w:cs="Times New Roman"/>
          <w:sz w:val="24"/>
          <w:szCs w:val="24"/>
        </w:rPr>
        <w:t>Приднестровский республиканский банк</w:t>
      </w:r>
      <w:r w:rsidRPr="00CA6373">
        <w:rPr>
          <w:rFonts w:ascii="Times New Roman" w:hAnsi="Times New Roman" w:cs="Times New Roman"/>
          <w:sz w:val="24"/>
          <w:szCs w:val="24"/>
        </w:rPr>
        <w:t>, ввиду значительного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A6373">
        <w:rPr>
          <w:rFonts w:ascii="Times New Roman" w:hAnsi="Times New Roman" w:cs="Times New Roman"/>
          <w:sz w:val="24"/>
          <w:szCs w:val="24"/>
        </w:rPr>
        <w:t>ма таких операций, в целях усиления контроля, а также выявления и пресечения схем по использованию данных резидентов с целью минимизации налогообложения и вывода капитала;</w:t>
      </w:r>
    </w:p>
    <w:p w:rsidR="00635258" w:rsidRPr="00CA6373" w:rsidRDefault="00635258" w:rsidP="00131D2B">
      <w:pPr>
        <w:pStyle w:val="BodyText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A63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373">
        <w:rPr>
          <w:rFonts w:ascii="Times New Roman" w:hAnsi="Times New Roman" w:cs="Times New Roman"/>
          <w:sz w:val="24"/>
          <w:szCs w:val="24"/>
        </w:rPr>
        <w:t xml:space="preserve"> закрепления обязанности субъектов финансового мониторинга предоставлять по запросу </w:t>
      </w:r>
      <w:r>
        <w:rPr>
          <w:rFonts w:ascii="Times New Roman" w:hAnsi="Times New Roman" w:cs="Times New Roman"/>
          <w:sz w:val="24"/>
          <w:szCs w:val="24"/>
        </w:rPr>
        <w:t xml:space="preserve">Приднестровского республиканского банка </w:t>
      </w:r>
      <w:r w:rsidRPr="00CA6373">
        <w:rPr>
          <w:rFonts w:ascii="Times New Roman" w:hAnsi="Times New Roman" w:cs="Times New Roman"/>
          <w:sz w:val="24"/>
          <w:szCs w:val="24"/>
        </w:rPr>
        <w:t>всю необходимую информацию для выполнения функций уполномоченного органа в сфере ПОД/ФТ, в том числе информацию о движении средств по счетам (вкладам) своих клиентов (для кредитных организаций), сведения об операциях (сделках) клиентов, в том числе копии документов, подтверждающи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A6373">
        <w:rPr>
          <w:rFonts w:ascii="Times New Roman" w:hAnsi="Times New Roman" w:cs="Times New Roman"/>
          <w:sz w:val="24"/>
          <w:szCs w:val="24"/>
        </w:rPr>
        <w:t xml:space="preserve"> основания совершения операций (сделок)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6373">
        <w:rPr>
          <w:rFonts w:ascii="Times New Roman" w:hAnsi="Times New Roman" w:cs="Times New Roman"/>
          <w:sz w:val="24"/>
          <w:szCs w:val="24"/>
        </w:rPr>
        <w:t xml:space="preserve"> и информацию о бенефициарных владельцах клиентов.</w:t>
      </w:r>
    </w:p>
    <w:p w:rsidR="00635258" w:rsidRPr="00CA6373" w:rsidRDefault="00635258" w:rsidP="00131D2B">
      <w:pPr>
        <w:pStyle w:val="BodyText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A6373">
        <w:rPr>
          <w:rFonts w:ascii="Times New Roman" w:hAnsi="Times New Roman" w:cs="Times New Roman"/>
          <w:sz w:val="24"/>
          <w:szCs w:val="24"/>
        </w:rPr>
        <w:t>Несмотря на вышеизложенное, 17 июня 2015 года законопроект отклон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A6373">
        <w:rPr>
          <w:rFonts w:ascii="Times New Roman" w:hAnsi="Times New Roman" w:cs="Times New Roman"/>
          <w:sz w:val="24"/>
          <w:szCs w:val="24"/>
        </w:rPr>
        <w:t>н сессией Верховного Совета ПМР.</w:t>
      </w:r>
    </w:p>
    <w:p w:rsidR="00635258" w:rsidRPr="00522555" w:rsidRDefault="00635258" w:rsidP="007C7EF3">
      <w:pPr>
        <w:ind w:firstLine="426"/>
        <w:jc w:val="both"/>
        <w:rPr>
          <w:sz w:val="24"/>
          <w:szCs w:val="24"/>
        </w:rPr>
      </w:pPr>
      <w:r w:rsidRPr="00522555">
        <w:rPr>
          <w:sz w:val="24"/>
          <w:szCs w:val="24"/>
        </w:rPr>
        <w:t>В</w:t>
      </w:r>
      <w:r>
        <w:rPr>
          <w:sz w:val="24"/>
          <w:szCs w:val="24"/>
        </w:rPr>
        <w:t xml:space="preserve"> рамках развития электронного документооборота в</w:t>
      </w:r>
      <w:r w:rsidRPr="00522555">
        <w:rPr>
          <w:sz w:val="24"/>
          <w:szCs w:val="24"/>
        </w:rPr>
        <w:t xml:space="preserve"> отчётном году </w:t>
      </w:r>
      <w:r>
        <w:rPr>
          <w:sz w:val="24"/>
          <w:szCs w:val="24"/>
        </w:rPr>
        <w:t>п</w:t>
      </w:r>
      <w:r w:rsidRPr="00522555">
        <w:rPr>
          <w:sz w:val="24"/>
          <w:szCs w:val="24"/>
        </w:rPr>
        <w:t>роведён комплекс мероприятий в части</w:t>
      </w:r>
      <w:r>
        <w:rPr>
          <w:sz w:val="24"/>
          <w:szCs w:val="24"/>
        </w:rPr>
        <w:t>,</w:t>
      </w:r>
      <w:r w:rsidRPr="00522555">
        <w:rPr>
          <w:sz w:val="24"/>
          <w:szCs w:val="24"/>
        </w:rPr>
        <w:t xml:space="preserve"> касающейся совершенствования информационного взаимодействия Приднестровского республиканского банка с:</w:t>
      </w:r>
    </w:p>
    <w:p w:rsidR="00635258" w:rsidRPr="00522555" w:rsidRDefault="00635258" w:rsidP="007C614E">
      <w:pPr>
        <w:numPr>
          <w:ilvl w:val="0"/>
          <w:numId w:val="33"/>
        </w:numPr>
        <w:jc w:val="both"/>
        <w:rPr>
          <w:sz w:val="24"/>
          <w:szCs w:val="24"/>
        </w:rPr>
      </w:pPr>
      <w:r w:rsidRPr="00522555">
        <w:rPr>
          <w:sz w:val="24"/>
          <w:szCs w:val="24"/>
        </w:rPr>
        <w:t>Министерством финансов</w:t>
      </w:r>
      <w:r>
        <w:rPr>
          <w:sz w:val="24"/>
          <w:szCs w:val="24"/>
        </w:rPr>
        <w:t xml:space="preserve"> ПМР</w:t>
      </w:r>
      <w:r w:rsidRPr="00522555">
        <w:rPr>
          <w:sz w:val="24"/>
          <w:szCs w:val="24"/>
        </w:rPr>
        <w:t xml:space="preserve"> (подсистема «Банк-Клиент» - подсистема электронной отчётности);</w:t>
      </w:r>
    </w:p>
    <w:p w:rsidR="00635258" w:rsidRPr="00522555" w:rsidRDefault="00635258" w:rsidP="007C614E">
      <w:pPr>
        <w:numPr>
          <w:ilvl w:val="0"/>
          <w:numId w:val="33"/>
        </w:numPr>
        <w:jc w:val="both"/>
        <w:rPr>
          <w:sz w:val="24"/>
          <w:szCs w:val="24"/>
        </w:rPr>
      </w:pPr>
      <w:r w:rsidRPr="00522555">
        <w:rPr>
          <w:sz w:val="24"/>
          <w:szCs w:val="24"/>
        </w:rPr>
        <w:t xml:space="preserve"> Государственным </w:t>
      </w:r>
      <w:r>
        <w:rPr>
          <w:sz w:val="24"/>
          <w:szCs w:val="24"/>
        </w:rPr>
        <w:t>т</w:t>
      </w:r>
      <w:r w:rsidRPr="00522555">
        <w:rPr>
          <w:sz w:val="24"/>
          <w:szCs w:val="24"/>
        </w:rPr>
        <w:t xml:space="preserve">аможенным </w:t>
      </w:r>
      <w:r>
        <w:rPr>
          <w:sz w:val="24"/>
          <w:szCs w:val="24"/>
        </w:rPr>
        <w:t>к</w:t>
      </w:r>
      <w:r w:rsidRPr="00522555">
        <w:rPr>
          <w:sz w:val="24"/>
          <w:szCs w:val="24"/>
        </w:rPr>
        <w:t xml:space="preserve">омитетом </w:t>
      </w:r>
      <w:r>
        <w:rPr>
          <w:sz w:val="24"/>
          <w:szCs w:val="24"/>
        </w:rPr>
        <w:t xml:space="preserve">ПМР </w:t>
      </w:r>
      <w:r w:rsidRPr="00522555">
        <w:rPr>
          <w:sz w:val="24"/>
          <w:szCs w:val="24"/>
        </w:rPr>
        <w:t>(в отчётном году создана подсистема акцизных платежей - подсистема «Импорт»);</w:t>
      </w:r>
    </w:p>
    <w:p w:rsidR="00635258" w:rsidRPr="00CA6373" w:rsidRDefault="00635258" w:rsidP="007C614E">
      <w:pPr>
        <w:numPr>
          <w:ilvl w:val="0"/>
          <w:numId w:val="33"/>
        </w:numPr>
        <w:jc w:val="both"/>
        <w:rPr>
          <w:sz w:val="24"/>
          <w:szCs w:val="24"/>
        </w:rPr>
      </w:pPr>
      <w:r w:rsidRPr="00522555">
        <w:rPr>
          <w:sz w:val="24"/>
          <w:szCs w:val="24"/>
        </w:rPr>
        <w:t xml:space="preserve"> Фондом государственного резерва (подсистема «Банк-Клиент», взаимодействие налажено в отчётном году</w:t>
      </w:r>
      <w:r w:rsidRPr="00CA6373">
        <w:rPr>
          <w:sz w:val="24"/>
          <w:szCs w:val="24"/>
        </w:rPr>
        <w:t>);</w:t>
      </w:r>
    </w:p>
    <w:p w:rsidR="00635258" w:rsidRDefault="00635258" w:rsidP="007C614E">
      <w:pPr>
        <w:numPr>
          <w:ilvl w:val="0"/>
          <w:numId w:val="33"/>
        </w:numPr>
        <w:jc w:val="both"/>
        <w:rPr>
          <w:sz w:val="24"/>
          <w:szCs w:val="24"/>
        </w:rPr>
      </w:pPr>
      <w:r w:rsidRPr="00CA6373">
        <w:rPr>
          <w:sz w:val="24"/>
          <w:szCs w:val="24"/>
        </w:rPr>
        <w:t xml:space="preserve"> уполномоченными банками (подсистема электронной отчётности, подсистема «Импорт», подсистема «Центр обработки электронных сообщений»).</w:t>
      </w:r>
    </w:p>
    <w:p w:rsidR="00635258" w:rsidRPr="00854B65" w:rsidRDefault="00635258" w:rsidP="008949FC">
      <w:pPr>
        <w:spacing w:before="120" w:after="120"/>
        <w:ind w:firstLine="425"/>
        <w:jc w:val="both"/>
        <w:rPr>
          <w:sz w:val="24"/>
          <w:szCs w:val="24"/>
        </w:rPr>
      </w:pPr>
      <w:r w:rsidRPr="00854B65">
        <w:rPr>
          <w:i/>
          <w:iCs/>
          <w:sz w:val="24"/>
          <w:szCs w:val="24"/>
        </w:rPr>
        <w:t xml:space="preserve">Взаимодействие с ОАО «Бюро по управлению активами» </w:t>
      </w:r>
      <w:r w:rsidRPr="00854B65">
        <w:rPr>
          <w:sz w:val="24"/>
          <w:szCs w:val="24"/>
        </w:rPr>
        <w:t xml:space="preserve">  </w:t>
      </w:r>
    </w:p>
    <w:p w:rsidR="00635258" w:rsidRPr="00854B65" w:rsidRDefault="00635258" w:rsidP="008949FC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 xml:space="preserve">В отчётном году Приднестровский республиканский банк продолжил тесное взаимодействие с ОАО «Бюро по управлению активами» (далее – ОАО «БУА») в рамках заключённого соглашения, определяющего порядок погашения задолженности в сумме </w:t>
      </w:r>
      <w:r w:rsidRPr="00854B65">
        <w:rPr>
          <w:sz w:val="24"/>
          <w:szCs w:val="24"/>
        </w:rPr>
        <w:br/>
        <w:t>739,8 млн руб. в срок до 31 декабря 2022 года.</w:t>
      </w:r>
    </w:p>
    <w:p w:rsidR="00635258" w:rsidRPr="00854B65" w:rsidRDefault="00635258" w:rsidP="008949FC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 xml:space="preserve">Данное Бюро было создано в 2012 году в соответствии с международным опытом регулирования, в качестве оперативного инструмента реализации государственной политики по обеспечению эффективной работы банковской системы. Основной задачей его деятельности является реструктуризация задолженности и очищение банков от проблемных кредитов. На тот момент это был единственно возможный выход из создавшейся ситуации. </w:t>
      </w:r>
    </w:p>
    <w:p w:rsidR="00635258" w:rsidRPr="00854B65" w:rsidRDefault="00635258" w:rsidP="008949FC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 xml:space="preserve">В соответствии с графиком погашения задолженности ОАО «БУА» до 1 января </w:t>
      </w:r>
      <w:r>
        <w:rPr>
          <w:sz w:val="24"/>
          <w:szCs w:val="24"/>
        </w:rPr>
        <w:br/>
      </w:r>
      <w:r w:rsidRPr="00854B65">
        <w:rPr>
          <w:sz w:val="24"/>
          <w:szCs w:val="24"/>
        </w:rPr>
        <w:t>2015 года произвело погашение её части в сумме 38,2 млн руб.</w:t>
      </w:r>
    </w:p>
    <w:p w:rsidR="00635258" w:rsidRPr="00854B65" w:rsidRDefault="00635258" w:rsidP="008949FC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 xml:space="preserve">В отчётном году общее ухудшение макроэкономической ситуации, обусловленное влиянием внешних негативных факторов и сложных внутренних условий функционирования, отрицательно отразилось на итоговых результатах деятельности экспортоориентированных хозяйствующих субъектов, управление которыми осуществляет ОАО «БУА». В совокупности с необходимостью дополнительных временных затрат на проведение мероприятий по реализации залогового имущества это не позволило Бюро в </w:t>
      </w:r>
      <w:r>
        <w:rPr>
          <w:sz w:val="24"/>
          <w:szCs w:val="24"/>
        </w:rPr>
        <w:br/>
      </w:r>
      <w:r w:rsidRPr="00854B65">
        <w:rPr>
          <w:sz w:val="24"/>
          <w:szCs w:val="24"/>
        </w:rPr>
        <w:t xml:space="preserve">2015 году получить запланированные доходы и направить средства в счёт погашения задолженности перед </w:t>
      </w:r>
      <w:r w:rsidRPr="00854B65">
        <w:rPr>
          <w:color w:val="000000"/>
          <w:sz w:val="24"/>
          <w:szCs w:val="24"/>
        </w:rPr>
        <w:t>Приднестровским республиканским банком</w:t>
      </w:r>
      <w:r w:rsidRPr="00854B65">
        <w:rPr>
          <w:sz w:val="24"/>
          <w:szCs w:val="24"/>
        </w:rPr>
        <w:t>.</w:t>
      </w:r>
    </w:p>
    <w:p w:rsidR="00635258" w:rsidRPr="00854B65" w:rsidRDefault="00635258" w:rsidP="008949FC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>Учитывая сложившуюся ситуацию, центральным банком и ОАО «БУА» проводилась совместная работа по минимизации риска несвоевременного исполнения обязательств. В результате график погашения задолженности был пересмотрен в части равномерного распределения суммы долга, образовавшегося за 2015 год</w:t>
      </w:r>
      <w:r>
        <w:rPr>
          <w:sz w:val="24"/>
          <w:szCs w:val="24"/>
        </w:rPr>
        <w:t>,</w:t>
      </w:r>
      <w:r w:rsidRPr="00854B65">
        <w:rPr>
          <w:sz w:val="24"/>
          <w:szCs w:val="24"/>
        </w:rPr>
        <w:t xml:space="preserve"> на последующие периоды.</w:t>
      </w:r>
    </w:p>
    <w:p w:rsidR="00635258" w:rsidRPr="002D5524" w:rsidRDefault="00635258" w:rsidP="008949FC">
      <w:pPr>
        <w:ind w:firstLine="425"/>
        <w:jc w:val="both"/>
        <w:rPr>
          <w:sz w:val="24"/>
          <w:szCs w:val="24"/>
        </w:rPr>
      </w:pPr>
      <w:r w:rsidRPr="00854B65">
        <w:rPr>
          <w:sz w:val="24"/>
          <w:szCs w:val="24"/>
        </w:rPr>
        <w:t>Кроме того, в течение отчётного периода проводились регулярные трёхсторонние встречи с представителями Правительства Приднестровской Молдавской Республики (являющегося единственным акционером ОАО «БУА») с целью активного поиска реальных источников погашения задолженности перед Приднестровским республиканским банком. В этом же контексте в 2015 году был реализован ряд аналитических мероприятий, в рамках которых направлялись запросы и изучалась поступающая информация о деятельности Бюро. Для более оперативного реагирования на ситуацию представитель Приднестровского республиканского банка был включён в состав Комиссии при Правительстве ПМР по осуществлению контроля за финансово-экономической деятельностью организаций, находящихся в ведении ОАО «БУА».</w:t>
      </w:r>
    </w:p>
    <w:p w:rsidR="00635258" w:rsidRDefault="00635258" w:rsidP="00131D2B">
      <w:pPr>
        <w:pStyle w:val="PlainTex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35258" w:rsidRPr="00C95612" w:rsidRDefault="00635258" w:rsidP="00131D2B">
      <w:pPr>
        <w:numPr>
          <w:ilvl w:val="1"/>
          <w:numId w:val="5"/>
        </w:numPr>
        <w:ind w:left="0" w:firstLine="14"/>
        <w:jc w:val="both"/>
        <w:rPr>
          <w:b/>
          <w:bCs/>
          <w:noProof/>
          <w:sz w:val="24"/>
          <w:szCs w:val="24"/>
        </w:rPr>
      </w:pPr>
      <w:r w:rsidRPr="00C95612">
        <w:rPr>
          <w:b/>
          <w:bCs/>
          <w:noProof/>
          <w:sz w:val="24"/>
          <w:szCs w:val="24"/>
        </w:rPr>
        <w:t>ДЕЯТЕЛЬНОСТЬ ПРИДНЕСТРОВСКОГО РЕСПУБЛИКАНСКОГО БАНКА ПО СОВЕРШЕНСТВОВАНИЮ БУХГАЛТЕРСКОГО УЧЁТА И ОТЧЁТНОСТИ</w:t>
      </w:r>
    </w:p>
    <w:p w:rsidR="00635258" w:rsidRPr="007B6B32" w:rsidRDefault="00635258" w:rsidP="00131D2B">
      <w:pPr>
        <w:autoSpaceDE w:val="0"/>
        <w:autoSpaceDN w:val="0"/>
        <w:adjustRightInd w:val="0"/>
        <w:spacing w:before="12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В 2015 году приоритетными направлениями деятельности Приднестровского республиканского банка по совершенствованию методологич</w:t>
      </w:r>
      <w:r>
        <w:rPr>
          <w:sz w:val="24"/>
          <w:szCs w:val="24"/>
        </w:rPr>
        <w:t>еской базы в сфере бухгалтерского учё</w:t>
      </w:r>
      <w:r w:rsidRPr="007B6B32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Pr="007B6B32">
        <w:rPr>
          <w:sz w:val="24"/>
          <w:szCs w:val="24"/>
        </w:rPr>
        <w:t xml:space="preserve"> и бухгалтерской (финансовой) отч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тности банковской системы Приднестровской Молдавской Республики являлись: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 xml:space="preserve">а) разработка проектов нормативных </w:t>
      </w:r>
      <w:r>
        <w:rPr>
          <w:sz w:val="24"/>
          <w:szCs w:val="24"/>
        </w:rPr>
        <w:t>актов</w:t>
      </w:r>
      <w:r w:rsidRPr="007B6B32">
        <w:rPr>
          <w:sz w:val="24"/>
          <w:szCs w:val="24"/>
        </w:rPr>
        <w:t xml:space="preserve"> в области бухгалтерского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та и отч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 xml:space="preserve">тности в связи с принятием Положения Приднестровского республиканского банка </w:t>
      </w:r>
      <w:r>
        <w:rPr>
          <w:sz w:val="24"/>
          <w:szCs w:val="24"/>
        </w:rPr>
        <w:br/>
        <w:t>от 21 января 2015 года №</w:t>
      </w:r>
      <w:r w:rsidRPr="007B6B32">
        <w:rPr>
          <w:sz w:val="24"/>
          <w:szCs w:val="24"/>
        </w:rPr>
        <w:t xml:space="preserve"> 118-П «О плане счетов бухгалтерского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 xml:space="preserve">та в кредитных организациях, расположенных на территории Приднестровской Молдавской Республики» (Регистрационный </w:t>
      </w:r>
      <w:r>
        <w:rPr>
          <w:sz w:val="24"/>
          <w:szCs w:val="24"/>
        </w:rPr>
        <w:t>№</w:t>
      </w:r>
      <w:r w:rsidRPr="007B6B32">
        <w:rPr>
          <w:sz w:val="24"/>
          <w:szCs w:val="24"/>
        </w:rPr>
        <w:t xml:space="preserve"> 7037 от 5 марта 2015 года) </w:t>
      </w:r>
      <w:r>
        <w:rPr>
          <w:sz w:val="24"/>
          <w:szCs w:val="24"/>
        </w:rPr>
        <w:t xml:space="preserve">(САЗ </w:t>
      </w:r>
      <w:r w:rsidRPr="007B6B32">
        <w:rPr>
          <w:sz w:val="24"/>
          <w:szCs w:val="24"/>
        </w:rPr>
        <w:t xml:space="preserve">15-10) (далее – Положение ПРБ </w:t>
      </w:r>
      <w:r>
        <w:rPr>
          <w:sz w:val="24"/>
          <w:szCs w:val="24"/>
        </w:rPr>
        <w:br/>
        <w:t>№</w:t>
      </w:r>
      <w:r w:rsidRPr="007B6B32">
        <w:rPr>
          <w:sz w:val="24"/>
          <w:szCs w:val="24"/>
        </w:rPr>
        <w:t xml:space="preserve"> 118-П);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б) совершенствование действующих нормативных актов, регулирующих бухгалтерский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 и отч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 xml:space="preserve">тность в кредитных организациях Приднестровской Молдавской Республики и Приднестровском республиканском банке. 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В процессе подготовки нормативных актов учитывались требования международных стандартов финансовой отч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 xml:space="preserve">тности, практика их применения </w:t>
      </w:r>
      <w:r>
        <w:rPr>
          <w:sz w:val="24"/>
          <w:szCs w:val="24"/>
        </w:rPr>
        <w:t xml:space="preserve">в Российской Федерации и </w:t>
      </w:r>
      <w:r w:rsidRPr="007B6B32">
        <w:rPr>
          <w:sz w:val="24"/>
          <w:szCs w:val="24"/>
        </w:rPr>
        <w:t>других государств</w:t>
      </w:r>
      <w:r>
        <w:rPr>
          <w:sz w:val="24"/>
          <w:szCs w:val="24"/>
        </w:rPr>
        <w:t>ах</w:t>
      </w:r>
      <w:r w:rsidRPr="007B6B32">
        <w:rPr>
          <w:sz w:val="24"/>
          <w:szCs w:val="24"/>
        </w:rPr>
        <w:t>.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 xml:space="preserve">При осуществлении деятельности в рамках разработки проектов нормативных </w:t>
      </w:r>
      <w:r>
        <w:rPr>
          <w:sz w:val="24"/>
          <w:szCs w:val="24"/>
        </w:rPr>
        <w:t>актов</w:t>
      </w:r>
      <w:r w:rsidRPr="007B6B32">
        <w:rPr>
          <w:sz w:val="24"/>
          <w:szCs w:val="24"/>
        </w:rPr>
        <w:t xml:space="preserve"> в связи с принятием Положения ПРБ </w:t>
      </w:r>
      <w:r>
        <w:rPr>
          <w:sz w:val="24"/>
          <w:szCs w:val="24"/>
        </w:rPr>
        <w:t>№</w:t>
      </w:r>
      <w:r w:rsidRPr="007B6B32">
        <w:rPr>
          <w:sz w:val="24"/>
          <w:szCs w:val="24"/>
        </w:rPr>
        <w:t xml:space="preserve"> 118-П:</w:t>
      </w:r>
    </w:p>
    <w:p w:rsidR="00635258" w:rsidRPr="007B6B32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 xml:space="preserve">а) внесены дополнения в Положение Приднестровского республиканского банка </w:t>
      </w:r>
      <w:r w:rsidRPr="007B6B32">
        <w:rPr>
          <w:sz w:val="24"/>
          <w:szCs w:val="24"/>
        </w:rPr>
        <w:br/>
        <w:t xml:space="preserve">от 26 сентября 2013 года </w:t>
      </w:r>
      <w:r>
        <w:rPr>
          <w:sz w:val="24"/>
          <w:szCs w:val="24"/>
        </w:rPr>
        <w:t>№</w:t>
      </w:r>
      <w:r w:rsidRPr="007B6B32">
        <w:rPr>
          <w:sz w:val="24"/>
          <w:szCs w:val="24"/>
        </w:rPr>
        <w:t xml:space="preserve"> 116-П «О правилах ведения бухгалтерского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та в кредитных организациях, расположенных на территории Приднестровской Молдавской Республики»</w:t>
      </w:r>
      <w:r>
        <w:rPr>
          <w:sz w:val="24"/>
          <w:szCs w:val="24"/>
        </w:rPr>
        <w:t>,</w:t>
      </w:r>
      <w:r w:rsidRPr="007B6B32">
        <w:rPr>
          <w:sz w:val="24"/>
          <w:szCs w:val="24"/>
        </w:rPr>
        <w:t xml:space="preserve"> </w:t>
      </w:r>
      <w:r w:rsidRPr="00522555">
        <w:rPr>
          <w:sz w:val="24"/>
          <w:szCs w:val="24"/>
        </w:rPr>
        <w:t>в</w:t>
      </w:r>
      <w:r w:rsidRPr="007B6B32">
        <w:rPr>
          <w:sz w:val="24"/>
          <w:szCs w:val="24"/>
        </w:rPr>
        <w:t xml:space="preserve"> части: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1) установления порядка ведения бухгалтерского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та</w:t>
      </w:r>
      <w:r>
        <w:rPr>
          <w:sz w:val="24"/>
          <w:szCs w:val="24"/>
        </w:rPr>
        <w:t>: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Pr="007B6B32">
        <w:rPr>
          <w:snapToGrid w:val="0"/>
          <w:sz w:val="24"/>
          <w:szCs w:val="24"/>
        </w:rPr>
        <w:t xml:space="preserve"> доходов, расходов и определения финансового результата; 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napToGrid w:val="0"/>
          <w:sz w:val="24"/>
          <w:szCs w:val="24"/>
        </w:rPr>
        <w:t xml:space="preserve">операций покупки (продажи) иностранной валюты; 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napToGrid w:val="0"/>
          <w:sz w:val="24"/>
          <w:szCs w:val="24"/>
        </w:rPr>
        <w:t xml:space="preserve">операций, отражаемых на условных счетах; 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napToGrid w:val="0"/>
          <w:sz w:val="24"/>
          <w:szCs w:val="24"/>
        </w:rPr>
        <w:t xml:space="preserve">капитала; 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napToGrid w:val="0"/>
          <w:sz w:val="24"/>
          <w:szCs w:val="24"/>
        </w:rPr>
        <w:t xml:space="preserve">операций кредитования; 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napToGrid w:val="0"/>
          <w:sz w:val="24"/>
          <w:szCs w:val="24"/>
        </w:rPr>
        <w:t xml:space="preserve">операций с ценными бумагами, операций участия и вложения средств в уставные капиталы организаций; 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napToGrid w:val="0"/>
          <w:sz w:val="24"/>
          <w:szCs w:val="24"/>
        </w:rPr>
        <w:t xml:space="preserve">операций по счетам и вкладам (депозитам); 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ED1332">
        <w:rPr>
          <w:sz w:val="24"/>
          <w:szCs w:val="24"/>
        </w:rPr>
        <w:t>основных средств, нематериальных активов, материальных запасов, активов, предназначенных для продажи, инвестиционной недвижимости, активов, принятых во владение;</w:t>
      </w:r>
      <w:r w:rsidRPr="007B6B32">
        <w:rPr>
          <w:snapToGrid w:val="0"/>
          <w:sz w:val="24"/>
          <w:szCs w:val="24"/>
        </w:rPr>
        <w:t xml:space="preserve"> </w:t>
      </w:r>
    </w:p>
    <w:p w:rsidR="00635258" w:rsidRPr="007B6B32" w:rsidRDefault="00635258" w:rsidP="00DE2705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napToGrid w:val="0"/>
          <w:sz w:val="24"/>
          <w:szCs w:val="24"/>
        </w:rPr>
        <w:t>операций аренды;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 w:rsidRPr="007B6B32">
        <w:rPr>
          <w:snapToGrid w:val="0"/>
          <w:sz w:val="24"/>
          <w:szCs w:val="24"/>
        </w:rPr>
        <w:t>2) определения порядка ведения бухгалтерского уч</w:t>
      </w:r>
      <w:r>
        <w:rPr>
          <w:snapToGrid w:val="0"/>
          <w:sz w:val="24"/>
          <w:szCs w:val="24"/>
        </w:rPr>
        <w:t>ё</w:t>
      </w:r>
      <w:r w:rsidRPr="007B6B32">
        <w:rPr>
          <w:snapToGrid w:val="0"/>
          <w:sz w:val="24"/>
          <w:szCs w:val="24"/>
        </w:rPr>
        <w:t>та</w:t>
      </w:r>
      <w:r>
        <w:rPr>
          <w:snapToGrid w:val="0"/>
          <w:sz w:val="24"/>
          <w:szCs w:val="24"/>
        </w:rPr>
        <w:t>:</w:t>
      </w:r>
      <w:r w:rsidRPr="007B6B32">
        <w:rPr>
          <w:snapToGrid w:val="0"/>
          <w:sz w:val="24"/>
          <w:szCs w:val="24"/>
        </w:rPr>
        <w:t xml:space="preserve"> 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napToGrid w:val="0"/>
          <w:sz w:val="24"/>
          <w:szCs w:val="24"/>
        </w:rPr>
        <w:t xml:space="preserve">операций, связанных с осуществлением кредитными организациями сделок по приобретению (уступке) права требования от третьих лиц исполнения обязательств в денежной форме; 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napToGrid w:val="0"/>
          <w:sz w:val="24"/>
          <w:szCs w:val="24"/>
        </w:rPr>
        <w:t>операций с драгоценными металлами</w:t>
      </w:r>
      <w:r w:rsidRPr="007B6B32">
        <w:rPr>
          <w:sz w:val="24"/>
          <w:szCs w:val="24"/>
        </w:rPr>
        <w:t>;</w:t>
      </w:r>
      <w:r w:rsidRPr="007B6B32">
        <w:rPr>
          <w:snapToGrid w:val="0"/>
          <w:sz w:val="24"/>
          <w:szCs w:val="24"/>
        </w:rPr>
        <w:t xml:space="preserve"> </w:t>
      </w:r>
    </w:p>
    <w:p w:rsidR="00635258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napToGrid w:val="0"/>
          <w:sz w:val="24"/>
          <w:szCs w:val="24"/>
        </w:rPr>
        <w:t>операций с монетами из драгоценных металлов</w:t>
      </w:r>
      <w:r w:rsidRPr="007B6B32">
        <w:rPr>
          <w:sz w:val="24"/>
          <w:szCs w:val="24"/>
        </w:rPr>
        <w:t>;</w:t>
      </w:r>
      <w:r w:rsidRPr="007B6B32">
        <w:rPr>
          <w:snapToGrid w:val="0"/>
          <w:sz w:val="24"/>
          <w:szCs w:val="24"/>
        </w:rPr>
        <w:t xml:space="preserve"> </w:t>
      </w:r>
    </w:p>
    <w:p w:rsidR="00635258" w:rsidRPr="00ED1332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7B6B32">
        <w:rPr>
          <w:sz w:val="24"/>
          <w:szCs w:val="24"/>
        </w:rPr>
        <w:t>переводов физических лиц без открытия сч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та за (в) пределы Приднестровской Молдавской Республики;</w:t>
      </w:r>
    </w:p>
    <w:p w:rsidR="00635258" w:rsidRPr="007B6B32" w:rsidRDefault="00635258" w:rsidP="00131D2B">
      <w:pPr>
        <w:tabs>
          <w:tab w:val="num" w:pos="1042"/>
          <w:tab w:val="left" w:pos="1080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б) переработан порядок составления кредитными организациями годовой бухгалтерской (финансовой) отч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 xml:space="preserve">тности (Указание Приднестровского республиканского банка от 16 июля 2015 года </w:t>
      </w:r>
      <w:r>
        <w:rPr>
          <w:sz w:val="24"/>
          <w:szCs w:val="24"/>
        </w:rPr>
        <w:t>№</w:t>
      </w:r>
      <w:r w:rsidRPr="00974DB6">
        <w:rPr>
          <w:sz w:val="24"/>
          <w:szCs w:val="24"/>
        </w:rPr>
        <w:t xml:space="preserve"> </w:t>
      </w:r>
      <w:hyperlink r:id="rId10" w:history="1">
        <w:r w:rsidRPr="00974DB6">
          <w:rPr>
            <w:sz w:val="24"/>
            <w:szCs w:val="24"/>
          </w:rPr>
          <w:t>860-У</w:t>
        </w:r>
      </w:hyperlink>
      <w:r w:rsidRPr="007B6B32">
        <w:rPr>
          <w:sz w:val="24"/>
          <w:szCs w:val="24"/>
        </w:rPr>
        <w:t xml:space="preserve"> «О порядке составления кредитными организациями годовой бухгалтерской (финансовой) отч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 xml:space="preserve">тности» (Регистрационный </w:t>
      </w:r>
      <w:r>
        <w:rPr>
          <w:sz w:val="24"/>
          <w:szCs w:val="24"/>
        </w:rPr>
        <w:t>№</w:t>
      </w:r>
      <w:r w:rsidRPr="007B6B32">
        <w:rPr>
          <w:sz w:val="24"/>
          <w:szCs w:val="24"/>
        </w:rPr>
        <w:t xml:space="preserve"> 7215 от 17 августа 2015 года) (САЗ 15-34)).</w:t>
      </w:r>
    </w:p>
    <w:p w:rsidR="00635258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обеспечения </w:t>
      </w:r>
      <w:r w:rsidRPr="007B6B32">
        <w:rPr>
          <w:sz w:val="24"/>
          <w:szCs w:val="24"/>
        </w:rPr>
        <w:t xml:space="preserve">качественного перехода на </w:t>
      </w:r>
      <w:r>
        <w:rPr>
          <w:sz w:val="24"/>
          <w:szCs w:val="24"/>
        </w:rPr>
        <w:t>новый план счетов было</w:t>
      </w:r>
      <w:r w:rsidRPr="007B6B32">
        <w:rPr>
          <w:sz w:val="24"/>
          <w:szCs w:val="24"/>
        </w:rPr>
        <w:t xml:space="preserve"> разработано Указание Приднестровского республиканского банка от 15 июня 2015 года </w:t>
      </w:r>
      <w:r w:rsidRPr="00522555">
        <w:rPr>
          <w:sz w:val="24"/>
          <w:szCs w:val="24"/>
        </w:rPr>
        <w:t xml:space="preserve">№ </w:t>
      </w:r>
      <w:hyperlink r:id="rId11" w:history="1">
        <w:r w:rsidRPr="00522555">
          <w:rPr>
            <w:sz w:val="24"/>
            <w:szCs w:val="24"/>
          </w:rPr>
          <w:t>848-У</w:t>
        </w:r>
      </w:hyperlink>
      <w:r w:rsidRPr="00522555">
        <w:rPr>
          <w:sz w:val="24"/>
          <w:szCs w:val="24"/>
        </w:rPr>
        <w:t xml:space="preserve"> «О порядке переноса остатков денежных средств с отдельных лицевых счетов в связи со вступлением в силу Положения Приднестровского республиканского банка от 21 января 2015 года № 118-П «О</w:t>
      </w:r>
      <w:r>
        <w:rPr>
          <w:sz w:val="24"/>
          <w:szCs w:val="24"/>
        </w:rPr>
        <w:t xml:space="preserve"> плане счетов бухгалтерского учё</w:t>
      </w:r>
      <w:r w:rsidRPr="00522555">
        <w:rPr>
          <w:sz w:val="24"/>
          <w:szCs w:val="24"/>
        </w:rPr>
        <w:t xml:space="preserve">та в кредитных организациях, расположенных на территории Приднестровской Молдавской Республики» (Регистрационный № 7037 от 5 марта 2015 года) (САЗ 15-10)» (Регистрационный № 7175 от 14 июля 2015 года) (САЗ 15-29). </w:t>
      </w:r>
      <w:r>
        <w:rPr>
          <w:sz w:val="24"/>
          <w:szCs w:val="24"/>
        </w:rPr>
        <w:t xml:space="preserve">Одновременно были произведены соответствующие изменения и дополнения в системе отчётности кредитных организаций перед Приднестровским республиканским банком. 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color w:val="000000"/>
          <w:sz w:val="24"/>
          <w:szCs w:val="24"/>
        </w:rPr>
      </w:pPr>
      <w:r w:rsidRPr="00522555">
        <w:rPr>
          <w:sz w:val="24"/>
          <w:szCs w:val="24"/>
        </w:rPr>
        <w:t>Подготовка данных нормативных актов осуществлялась во взаимодействии</w:t>
      </w:r>
      <w:r w:rsidRPr="007B6B32">
        <w:rPr>
          <w:color w:val="000000"/>
          <w:sz w:val="24"/>
          <w:szCs w:val="24"/>
        </w:rPr>
        <w:t xml:space="preserve"> с банковским</w:t>
      </w:r>
      <w:r>
        <w:rPr>
          <w:sz w:val="24"/>
          <w:szCs w:val="24"/>
        </w:rPr>
        <w:t xml:space="preserve"> сообществом путё</w:t>
      </w:r>
      <w:r w:rsidRPr="007B6B32">
        <w:rPr>
          <w:sz w:val="24"/>
          <w:szCs w:val="24"/>
        </w:rPr>
        <w:t>м</w:t>
      </w:r>
      <w:r>
        <w:rPr>
          <w:sz w:val="24"/>
          <w:szCs w:val="24"/>
        </w:rPr>
        <w:t xml:space="preserve"> обеспечения широкого обсуждения проектов,</w:t>
      </w:r>
      <w:r w:rsidRPr="007B6B32">
        <w:rPr>
          <w:sz w:val="24"/>
          <w:szCs w:val="24"/>
        </w:rPr>
        <w:t xml:space="preserve"> размещ</w:t>
      </w:r>
      <w:r>
        <w:rPr>
          <w:sz w:val="24"/>
          <w:szCs w:val="24"/>
        </w:rPr>
        <w:t>ённых</w:t>
      </w:r>
      <w:r w:rsidRPr="007B6B32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>центрального</w:t>
      </w:r>
      <w:r w:rsidRPr="007B6B32">
        <w:rPr>
          <w:sz w:val="24"/>
          <w:szCs w:val="24"/>
        </w:rPr>
        <w:t xml:space="preserve"> банка</w:t>
      </w:r>
      <w:r>
        <w:rPr>
          <w:sz w:val="24"/>
          <w:szCs w:val="24"/>
        </w:rPr>
        <w:t>.</w:t>
      </w:r>
    </w:p>
    <w:p w:rsidR="00635258" w:rsidRPr="0027053B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 xml:space="preserve">В связи с принятием Положения ПРБ </w:t>
      </w:r>
      <w:r>
        <w:rPr>
          <w:sz w:val="24"/>
          <w:szCs w:val="24"/>
        </w:rPr>
        <w:t>№</w:t>
      </w:r>
      <w:r w:rsidRPr="007B6B32">
        <w:rPr>
          <w:sz w:val="24"/>
          <w:szCs w:val="24"/>
        </w:rPr>
        <w:t xml:space="preserve"> 118-П значительные изменения претерпела и нормативная база, регламентирующая бухгалтерский уч</w:t>
      </w:r>
      <w:r>
        <w:rPr>
          <w:sz w:val="24"/>
          <w:szCs w:val="24"/>
        </w:rPr>
        <w:t>ёт и отчё</w:t>
      </w:r>
      <w:r w:rsidRPr="007B6B32">
        <w:rPr>
          <w:sz w:val="24"/>
          <w:szCs w:val="24"/>
        </w:rPr>
        <w:t>тность Приднестровского республиканского банка.</w:t>
      </w:r>
      <w:r>
        <w:rPr>
          <w:sz w:val="24"/>
          <w:szCs w:val="24"/>
        </w:rPr>
        <w:t xml:space="preserve"> </w:t>
      </w:r>
      <w:r w:rsidRPr="0027053B">
        <w:rPr>
          <w:sz w:val="24"/>
          <w:szCs w:val="24"/>
        </w:rPr>
        <w:t>Так, были разработаны и утверждены:</w:t>
      </w:r>
    </w:p>
    <w:p w:rsidR="00635258" w:rsidRPr="0027053B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27053B">
        <w:rPr>
          <w:sz w:val="24"/>
          <w:szCs w:val="24"/>
        </w:rPr>
        <w:t xml:space="preserve">а) Регламент Приднестровского республиканского банка от </w:t>
      </w:r>
      <w:r>
        <w:rPr>
          <w:sz w:val="24"/>
          <w:szCs w:val="24"/>
        </w:rPr>
        <w:t xml:space="preserve">4 июня 2015 года </w:t>
      </w:r>
      <w:r w:rsidRPr="0027053B">
        <w:rPr>
          <w:sz w:val="24"/>
          <w:szCs w:val="24"/>
        </w:rPr>
        <w:t>№ 80-Р «О порядке составления, утверждения и исполнения сметы доходов и расходов Приднестровского республиканского банка»;</w:t>
      </w:r>
    </w:p>
    <w:p w:rsidR="00635258" w:rsidRPr="0027053B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27053B">
        <w:rPr>
          <w:sz w:val="24"/>
          <w:szCs w:val="24"/>
        </w:rPr>
        <w:t>б) Регламент Приднестровского республиканского банка от 2</w:t>
      </w:r>
      <w:r>
        <w:rPr>
          <w:sz w:val="24"/>
          <w:szCs w:val="24"/>
        </w:rPr>
        <w:t xml:space="preserve"> июля 2015 года </w:t>
      </w:r>
      <w:r w:rsidRPr="0027053B">
        <w:rPr>
          <w:sz w:val="24"/>
          <w:szCs w:val="24"/>
        </w:rPr>
        <w:t>№ 83-Р «О внешней финансовой отчётности за отчётный год Приднестровского республиканского банка»;</w:t>
      </w:r>
    </w:p>
    <w:p w:rsidR="00635258" w:rsidRPr="0027053B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27053B">
        <w:rPr>
          <w:sz w:val="24"/>
          <w:szCs w:val="24"/>
        </w:rPr>
        <w:t xml:space="preserve">в) Регламент Приднестровского республиканского банка от </w:t>
      </w:r>
      <w:r>
        <w:rPr>
          <w:sz w:val="24"/>
          <w:szCs w:val="24"/>
        </w:rPr>
        <w:t xml:space="preserve">7 августа 2015 года </w:t>
      </w:r>
      <w:r w:rsidRPr="0027053B">
        <w:rPr>
          <w:sz w:val="24"/>
          <w:szCs w:val="24"/>
        </w:rPr>
        <w:t>№ 84-Р «О правилах ведения бухгалтерского учёта в Приднестровском республиканском банке»;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27053B">
        <w:rPr>
          <w:sz w:val="24"/>
          <w:szCs w:val="24"/>
        </w:rPr>
        <w:t>г) приказ председателя Приднестровского республиканского банка</w:t>
      </w:r>
      <w:r w:rsidRPr="0027053B">
        <w:rPr>
          <w:b/>
          <w:bCs/>
          <w:sz w:val="24"/>
          <w:szCs w:val="24"/>
        </w:rPr>
        <w:t xml:space="preserve"> </w:t>
      </w:r>
      <w:r w:rsidRPr="0027053B">
        <w:rPr>
          <w:sz w:val="24"/>
          <w:szCs w:val="24"/>
        </w:rPr>
        <w:t xml:space="preserve">от 27 августа </w:t>
      </w:r>
      <w:r w:rsidRPr="0027053B">
        <w:rPr>
          <w:sz w:val="24"/>
          <w:szCs w:val="24"/>
        </w:rPr>
        <w:br/>
        <w:t xml:space="preserve">2015 года </w:t>
      </w:r>
      <w:r w:rsidRPr="0027053B">
        <w:rPr>
          <w:sz w:val="24"/>
          <w:szCs w:val="24"/>
          <w:lang w:eastAsia="en-US"/>
        </w:rPr>
        <w:t>№</w:t>
      </w:r>
      <w:r w:rsidRPr="0027053B">
        <w:rPr>
          <w:sz w:val="24"/>
          <w:szCs w:val="24"/>
        </w:rPr>
        <w:t xml:space="preserve"> 01-06/63 «О порядке переноса остатков денежных средств с отдельных лицевых счетов в связи со вступлением в силу Положения Приднестровского республиканского банка от 21 января 2015 года № 118-П «О плане счетов бухгалтерского учета в кредитных организациях, расположенных на территории Приднестровской Молдавской Республики» (Регистрационный № 7037 от 5 марта 2015 года) (САЗ 15-10), а также о проведении мероприятий по переходу на правила ведения бухгалтерского учёта в Приднестровском республиканском банке в соответствии с Регламентом </w:t>
      </w:r>
      <w:r w:rsidRPr="0027053B">
        <w:rPr>
          <w:sz w:val="24"/>
          <w:szCs w:val="24"/>
          <w:lang w:eastAsia="en-US"/>
        </w:rPr>
        <w:t xml:space="preserve">Приднестровского республиканского банка от </w:t>
      </w:r>
      <w:r w:rsidRPr="0027053B">
        <w:rPr>
          <w:sz w:val="24"/>
          <w:szCs w:val="24"/>
        </w:rPr>
        <w:t>7 августа 2015 года № 84-Р</w:t>
      </w:r>
      <w:r w:rsidRPr="0027053B">
        <w:rPr>
          <w:sz w:val="24"/>
          <w:szCs w:val="24"/>
          <w:lang w:eastAsia="en-US"/>
        </w:rPr>
        <w:t xml:space="preserve"> «О правилах ведения бухгалтерского учёта в Приднестровском республиканском банке»</w:t>
      </w:r>
      <w:r>
        <w:rPr>
          <w:sz w:val="24"/>
          <w:szCs w:val="24"/>
          <w:lang w:eastAsia="en-US"/>
        </w:rPr>
        <w:t xml:space="preserve"> и другие методические документы</w:t>
      </w:r>
      <w:r w:rsidRPr="0027053B">
        <w:rPr>
          <w:sz w:val="24"/>
          <w:szCs w:val="24"/>
          <w:lang w:eastAsia="en-US"/>
        </w:rPr>
        <w:t>.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 xml:space="preserve">В рамках работы Приднестровского республиканского банка по совершенствованию действующих нормативных актов осуществлялось: 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а) уточнение данных, отраж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нных в Книге регистрации открытых счетов кредитных организаций;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б) изменение срока нахождения денежных средств в иностранной валюте в кредитных организациях на счетах по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ту сумм до выяснения;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в) уточнение порядка закрытия счетов Приднестровским республиканским банком при возврате денежных средств в иностранной валюте по сделкам, заключ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нным в рамках генеральных соглашений (договоров) с кредитными организациями-нерезидентами;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г) уточнение порядка ведения бухгалтерского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 xml:space="preserve">та </w:t>
      </w:r>
      <w:r w:rsidRPr="00ED1332">
        <w:rPr>
          <w:sz w:val="24"/>
          <w:szCs w:val="24"/>
        </w:rPr>
        <w:t>резерва на возможные потери по средствам на корреспондентских счетах в Приднестровском республиканском банке;</w:t>
      </w:r>
    </w:p>
    <w:p w:rsidR="00635258" w:rsidRPr="00ED13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д</w:t>
      </w:r>
      <w:r w:rsidRPr="00ED1332">
        <w:rPr>
          <w:sz w:val="24"/>
          <w:szCs w:val="24"/>
        </w:rPr>
        <w:t>) дополнение порядком отражения в бухгалтерском уч</w:t>
      </w:r>
      <w:r>
        <w:rPr>
          <w:sz w:val="24"/>
          <w:szCs w:val="24"/>
        </w:rPr>
        <w:t>ё</w:t>
      </w:r>
      <w:r w:rsidRPr="00ED1332">
        <w:rPr>
          <w:sz w:val="24"/>
          <w:szCs w:val="24"/>
        </w:rPr>
        <w:t>те сумм финансового результата по соверш</w:t>
      </w:r>
      <w:r>
        <w:rPr>
          <w:sz w:val="24"/>
          <w:szCs w:val="24"/>
        </w:rPr>
        <w:t>ё</w:t>
      </w:r>
      <w:r w:rsidRPr="00ED1332">
        <w:rPr>
          <w:sz w:val="24"/>
          <w:szCs w:val="24"/>
        </w:rPr>
        <w:t>нным сделкам Приднестровского республиканского банка в рамках зач</w:t>
      </w:r>
      <w:r>
        <w:rPr>
          <w:sz w:val="24"/>
          <w:szCs w:val="24"/>
        </w:rPr>
        <w:t>ё</w:t>
      </w:r>
      <w:r w:rsidRPr="00ED1332">
        <w:rPr>
          <w:sz w:val="24"/>
          <w:szCs w:val="24"/>
        </w:rPr>
        <w:t xml:space="preserve">та взаимных </w:t>
      </w:r>
      <w:r w:rsidRPr="0027053B">
        <w:rPr>
          <w:sz w:val="24"/>
          <w:szCs w:val="24"/>
        </w:rPr>
        <w:t>требований (неттинга);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7B6B32">
        <w:rPr>
          <w:sz w:val="24"/>
          <w:szCs w:val="24"/>
        </w:rPr>
        <w:t>изменение порядка отражения Приднестровским республиканским банком в бухгалтерском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те затрат по изготовлению и доставке памятных (юбилейных) банкнот в связи с принятием</w:t>
      </w:r>
      <w:r w:rsidRPr="007B6B32">
        <w:rPr>
          <w:b/>
          <w:bCs/>
          <w:sz w:val="24"/>
          <w:szCs w:val="24"/>
        </w:rPr>
        <w:t xml:space="preserve"> </w:t>
      </w:r>
      <w:r w:rsidRPr="007B6B32">
        <w:rPr>
          <w:sz w:val="24"/>
          <w:szCs w:val="24"/>
        </w:rPr>
        <w:t xml:space="preserve">Регламента </w:t>
      </w:r>
      <w:r>
        <w:rPr>
          <w:sz w:val="24"/>
          <w:szCs w:val="24"/>
        </w:rPr>
        <w:t xml:space="preserve">Приднестровского республиканского банка </w:t>
      </w:r>
      <w:r w:rsidRPr="007B6B32">
        <w:rPr>
          <w:sz w:val="24"/>
          <w:szCs w:val="24"/>
        </w:rPr>
        <w:t xml:space="preserve">от 7 мая 2015 года </w:t>
      </w:r>
      <w:r>
        <w:rPr>
          <w:sz w:val="24"/>
          <w:szCs w:val="24"/>
        </w:rPr>
        <w:t>№</w:t>
      </w:r>
      <w:r w:rsidRPr="007B6B32">
        <w:rPr>
          <w:sz w:val="24"/>
          <w:szCs w:val="24"/>
        </w:rPr>
        <w:t xml:space="preserve"> 78-Р «Об изготовлении и порядке выпуска в обращение памятных (юбилейных) банкнот Приднестровского республиканского банка».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B6B32">
        <w:rPr>
          <w:sz w:val="24"/>
          <w:szCs w:val="24"/>
        </w:rPr>
        <w:t xml:space="preserve"> отч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тн</w:t>
      </w:r>
      <w:r>
        <w:rPr>
          <w:sz w:val="24"/>
          <w:szCs w:val="24"/>
        </w:rPr>
        <w:t>ом</w:t>
      </w:r>
      <w:r w:rsidRPr="007B6B32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Pr="007B6B32">
        <w:rPr>
          <w:sz w:val="24"/>
          <w:szCs w:val="24"/>
        </w:rPr>
        <w:t xml:space="preserve"> также осуществлялась работа по совершенствованию порядка проведения кассовых операций Приднестровск</w:t>
      </w:r>
      <w:r>
        <w:rPr>
          <w:sz w:val="24"/>
          <w:szCs w:val="24"/>
        </w:rPr>
        <w:t>им</w:t>
      </w:r>
      <w:r w:rsidRPr="007B6B32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им</w:t>
      </w:r>
      <w:r w:rsidRPr="007B6B32">
        <w:rPr>
          <w:sz w:val="24"/>
          <w:szCs w:val="24"/>
        </w:rPr>
        <w:t xml:space="preserve"> банк</w:t>
      </w:r>
      <w:r>
        <w:rPr>
          <w:sz w:val="24"/>
          <w:szCs w:val="24"/>
        </w:rPr>
        <w:t>ом</w:t>
      </w:r>
      <w:r w:rsidRPr="007B6B32">
        <w:rPr>
          <w:sz w:val="24"/>
          <w:szCs w:val="24"/>
        </w:rPr>
        <w:t xml:space="preserve">. В связи с расширением перечня проводимых операций разработан Регламент Приднестровского республиканского банка </w:t>
      </w:r>
      <w:r>
        <w:rPr>
          <w:sz w:val="24"/>
          <w:szCs w:val="24"/>
        </w:rPr>
        <w:t xml:space="preserve">от </w:t>
      </w:r>
      <w:r w:rsidRPr="007B6B32">
        <w:rPr>
          <w:sz w:val="24"/>
          <w:szCs w:val="24"/>
        </w:rPr>
        <w:t xml:space="preserve">8 декабря 2015 года </w:t>
      </w:r>
      <w:r>
        <w:rPr>
          <w:sz w:val="24"/>
          <w:szCs w:val="24"/>
        </w:rPr>
        <w:t xml:space="preserve">№ </w:t>
      </w:r>
      <w:r w:rsidRPr="007B6B32">
        <w:rPr>
          <w:sz w:val="24"/>
          <w:szCs w:val="24"/>
        </w:rPr>
        <w:t>88-Р «О порядке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та и хранения драгоценных металлов в Приднестровском республиканском банке».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Таким образом, в 2015 году в сфере бухгалтерского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та и отч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 xml:space="preserve">тности, кассовых операций </w:t>
      </w:r>
      <w:r>
        <w:rPr>
          <w:sz w:val="24"/>
          <w:szCs w:val="24"/>
        </w:rPr>
        <w:t xml:space="preserve">было </w:t>
      </w:r>
      <w:r w:rsidRPr="007B6B32">
        <w:rPr>
          <w:sz w:val="24"/>
          <w:szCs w:val="24"/>
        </w:rPr>
        <w:t>разработано 2</w:t>
      </w:r>
      <w:r>
        <w:rPr>
          <w:sz w:val="24"/>
          <w:szCs w:val="24"/>
        </w:rPr>
        <w:t>3</w:t>
      </w:r>
      <w:r w:rsidRPr="007B6B32">
        <w:rPr>
          <w:sz w:val="24"/>
          <w:szCs w:val="24"/>
        </w:rPr>
        <w:t xml:space="preserve"> нормативных акт</w:t>
      </w:r>
      <w:r>
        <w:rPr>
          <w:sz w:val="24"/>
          <w:szCs w:val="24"/>
        </w:rPr>
        <w:t>а</w:t>
      </w:r>
      <w:r w:rsidRPr="007B6B32">
        <w:rPr>
          <w:sz w:val="24"/>
          <w:szCs w:val="24"/>
        </w:rPr>
        <w:t xml:space="preserve"> и 1 распорядительный документ нормативного характера.</w:t>
      </w:r>
    </w:p>
    <w:p w:rsidR="00635258" w:rsidRPr="007B6B32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7B6B32">
        <w:rPr>
          <w:sz w:val="24"/>
          <w:szCs w:val="24"/>
        </w:rPr>
        <w:t>В связи с изменением нормативных актов Приднестровского республиканского банка в области бухгалтерского уч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та и отч</w:t>
      </w:r>
      <w:r>
        <w:rPr>
          <w:sz w:val="24"/>
          <w:szCs w:val="24"/>
        </w:rPr>
        <w:t>ё</w:t>
      </w:r>
      <w:r w:rsidRPr="007B6B32">
        <w:rPr>
          <w:sz w:val="24"/>
          <w:szCs w:val="24"/>
        </w:rPr>
        <w:t>тности была переработана Программа проведения квалификационных экзаменов на получение квалификационного аттестата аудитора в области аудита кредитных организаций, проводимых Министерством экономического развития Приднестровской Молдавской Республики.</w:t>
      </w:r>
    </w:p>
    <w:p w:rsidR="00635258" w:rsidRDefault="00635258" w:rsidP="00131D2B">
      <w:pPr>
        <w:autoSpaceDE w:val="0"/>
        <w:autoSpaceDN w:val="0"/>
        <w:adjustRightInd w:val="0"/>
        <w:ind w:right="-185" w:firstLine="425"/>
        <w:jc w:val="both"/>
        <w:rPr>
          <w:sz w:val="24"/>
          <w:szCs w:val="24"/>
        </w:rPr>
      </w:pPr>
    </w:p>
    <w:p w:rsidR="00635258" w:rsidRDefault="00635258" w:rsidP="00131D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2.11. </w:t>
      </w:r>
      <w:r w:rsidRPr="004C29A2">
        <w:rPr>
          <w:b/>
          <w:bCs/>
          <w:noProof/>
          <w:sz w:val="24"/>
          <w:szCs w:val="24"/>
        </w:rPr>
        <w:t>ОРГАНИЗАЦИЯ ВНУТРЕННЕЙ ДЕЯТЕЛЬНОСТИ ПРИДНЕСТРОВСКОГО</w:t>
      </w:r>
      <w:r w:rsidRPr="00FD21E2">
        <w:rPr>
          <w:b/>
          <w:bCs/>
          <w:noProof/>
          <w:sz w:val="24"/>
          <w:szCs w:val="24"/>
        </w:rPr>
        <w:t xml:space="preserve"> РЕСПУБЛИКАНСКОГО БАНКА</w:t>
      </w:r>
    </w:p>
    <w:p w:rsidR="00635258" w:rsidRPr="000A79FE" w:rsidRDefault="00635258" w:rsidP="00131D2B">
      <w:pPr>
        <w:spacing w:before="120" w:after="120"/>
        <w:ind w:firstLine="425"/>
        <w:jc w:val="both"/>
        <w:rPr>
          <w:i/>
          <w:iCs/>
          <w:sz w:val="24"/>
          <w:szCs w:val="24"/>
        </w:rPr>
      </w:pPr>
      <w:r w:rsidRPr="000A79FE">
        <w:rPr>
          <w:i/>
          <w:iCs/>
          <w:sz w:val="24"/>
          <w:szCs w:val="24"/>
        </w:rPr>
        <w:t>Организационная структура, кадровое обеспечение и обучение персонала</w:t>
      </w:r>
    </w:p>
    <w:p w:rsidR="00635258" w:rsidRPr="00434319" w:rsidRDefault="00635258" w:rsidP="00131D2B">
      <w:pPr>
        <w:ind w:firstLine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 xml:space="preserve">Основными задачами </w:t>
      </w:r>
      <w:r>
        <w:rPr>
          <w:sz w:val="24"/>
          <w:szCs w:val="24"/>
        </w:rPr>
        <w:t>в области управления персоналом</w:t>
      </w:r>
      <w:r w:rsidRPr="00434319">
        <w:rPr>
          <w:sz w:val="24"/>
          <w:szCs w:val="24"/>
        </w:rPr>
        <w:t xml:space="preserve"> Приднестровского республиканского банка являются осуществление кадрового обеспечения деятельности банка</w:t>
      </w:r>
      <w:r>
        <w:rPr>
          <w:sz w:val="24"/>
          <w:szCs w:val="24"/>
        </w:rPr>
        <w:t>,</w:t>
      </w:r>
      <w:r w:rsidRPr="00434319">
        <w:rPr>
          <w:sz w:val="24"/>
          <w:szCs w:val="24"/>
        </w:rPr>
        <w:t xml:space="preserve"> организация труда</w:t>
      </w:r>
      <w:r>
        <w:rPr>
          <w:sz w:val="24"/>
          <w:szCs w:val="24"/>
        </w:rPr>
        <w:t>,</w:t>
      </w:r>
      <w:r w:rsidRPr="00434319">
        <w:rPr>
          <w:sz w:val="24"/>
          <w:szCs w:val="24"/>
        </w:rPr>
        <w:t xml:space="preserve"> контроль соблюдения правил внутреннего трудового распорядка, формирование профессионального кадрового состава. </w:t>
      </w:r>
    </w:p>
    <w:p w:rsidR="00635258" w:rsidRPr="00434319" w:rsidRDefault="00635258" w:rsidP="00131D2B">
      <w:pPr>
        <w:ind w:firstLine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В течение 2015 года проводились мероприятия по укомплектованию штата квалифицированными кадрами, с целью более рационального выполнения задач и функций, возложенных на Приднестровский республиканский банк, продолжалась работа по совершенствованию организационной структуры банка, планомерному реформированию структурных подразделений. Таким образом, на 1 января 2016 года в организационную структуру банка входило 13 управлений и 7 отделов прямого подчинения: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 xml:space="preserve">Управление макроэкономического анализа и регулирования денежного обращения; 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 xml:space="preserve">Управление банковского надзора и регламентирования; 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Управление валютного регулирования и контроля;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Управление активно-пассивных операций</w:t>
      </w:r>
      <w:r>
        <w:rPr>
          <w:sz w:val="24"/>
          <w:szCs w:val="24"/>
        </w:rPr>
        <w:t>;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Управление финансового мониторинга;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национальной платё</w:t>
      </w:r>
      <w:r w:rsidRPr="00434319">
        <w:rPr>
          <w:sz w:val="24"/>
          <w:szCs w:val="24"/>
        </w:rPr>
        <w:t>жной системы</w:t>
      </w:r>
      <w:r>
        <w:rPr>
          <w:sz w:val="24"/>
          <w:szCs w:val="24"/>
        </w:rPr>
        <w:t>;</w:t>
      </w:r>
      <w:r w:rsidRPr="00434319">
        <w:rPr>
          <w:sz w:val="24"/>
          <w:szCs w:val="24"/>
        </w:rPr>
        <w:t xml:space="preserve"> 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Управление информационных технологий;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Управление правового обеспечения;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Управление бухгалтерского уч</w:t>
      </w:r>
      <w:r>
        <w:rPr>
          <w:sz w:val="24"/>
          <w:szCs w:val="24"/>
        </w:rPr>
        <w:t>ё</w:t>
      </w:r>
      <w:r w:rsidRPr="00434319">
        <w:rPr>
          <w:sz w:val="24"/>
          <w:szCs w:val="24"/>
        </w:rPr>
        <w:t>та;</w:t>
      </w:r>
    </w:p>
    <w:p w:rsidR="00635258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Операционное управление;</w:t>
      </w:r>
    </w:p>
    <w:p w:rsidR="00635258" w:rsidRPr="00434319" w:rsidRDefault="00635258" w:rsidP="00131D2B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Управление контроля и внутрибанковского аудита;</w:t>
      </w:r>
    </w:p>
    <w:p w:rsidR="00635258" w:rsidRPr="00434319" w:rsidRDefault="00635258" w:rsidP="00131D2B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Управление безопасности;</w:t>
      </w:r>
    </w:p>
    <w:p w:rsidR="00635258" w:rsidRDefault="00635258" w:rsidP="00131D2B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 xml:space="preserve">Управление материально-технического обеспечения; </w:t>
      </w:r>
    </w:p>
    <w:p w:rsidR="00635258" w:rsidRDefault="00635258" w:rsidP="00C43B1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Отдел анализа риско</w:t>
      </w:r>
      <w:r>
        <w:rPr>
          <w:sz w:val="24"/>
          <w:szCs w:val="24"/>
        </w:rPr>
        <w:t>в;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Отдел контроля и отчё</w:t>
      </w:r>
      <w:r w:rsidRPr="00434319">
        <w:rPr>
          <w:sz w:val="24"/>
          <w:szCs w:val="24"/>
        </w:rPr>
        <w:t>тности;</w:t>
      </w:r>
    </w:p>
    <w:p w:rsidR="00635258" w:rsidRPr="00434319" w:rsidRDefault="00635258" w:rsidP="00131D2B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 xml:space="preserve">Отдел методологии </w:t>
      </w:r>
      <w:r>
        <w:rPr>
          <w:sz w:val="24"/>
          <w:szCs w:val="24"/>
        </w:rPr>
        <w:t>и организации бухгалтерского учё</w:t>
      </w:r>
      <w:r w:rsidRPr="00434319">
        <w:rPr>
          <w:sz w:val="24"/>
          <w:szCs w:val="24"/>
        </w:rPr>
        <w:t>та</w:t>
      </w:r>
      <w:r>
        <w:rPr>
          <w:sz w:val="24"/>
          <w:szCs w:val="24"/>
        </w:rPr>
        <w:t>;</w:t>
      </w:r>
    </w:p>
    <w:p w:rsidR="00635258" w:rsidRPr="00434319" w:rsidRDefault="00635258" w:rsidP="00131D2B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Отдел организации учё</w:t>
      </w:r>
      <w:r w:rsidRPr="00434319">
        <w:rPr>
          <w:sz w:val="24"/>
          <w:szCs w:val="24"/>
        </w:rPr>
        <w:t>та госбюджета и внебюджетных фондов;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Отдел организационного обеспечения;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Отдел кадров;</w:t>
      </w:r>
    </w:p>
    <w:p w:rsidR="00635258" w:rsidRPr="00434319" w:rsidRDefault="00635258" w:rsidP="002509E4">
      <w:pPr>
        <w:numPr>
          <w:ilvl w:val="0"/>
          <w:numId w:val="27"/>
        </w:numPr>
        <w:tabs>
          <w:tab w:val="clear" w:pos="1854"/>
        </w:tabs>
        <w:ind w:left="851" w:hanging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Отдел общественных коммуникаций</w:t>
      </w:r>
      <w:r>
        <w:rPr>
          <w:sz w:val="24"/>
          <w:szCs w:val="24"/>
        </w:rPr>
        <w:t>.</w:t>
      </w:r>
    </w:p>
    <w:p w:rsidR="00635258" w:rsidRPr="00434319" w:rsidRDefault="00635258" w:rsidP="00131D2B">
      <w:pPr>
        <w:ind w:firstLine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 xml:space="preserve">В 2015 году приоритетными направлениями в работе с персоналом были: </w:t>
      </w:r>
    </w:p>
    <w:p w:rsidR="00635258" w:rsidRPr="00434319" w:rsidRDefault="00635258" w:rsidP="00131D2B">
      <w:pPr>
        <w:numPr>
          <w:ilvl w:val="0"/>
          <w:numId w:val="28"/>
        </w:numPr>
        <w:tabs>
          <w:tab w:val="clear" w:pos="1854"/>
        </w:tabs>
        <w:ind w:left="709" w:hanging="294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оптимизация</w:t>
      </w:r>
      <w:r>
        <w:rPr>
          <w:sz w:val="24"/>
          <w:szCs w:val="24"/>
        </w:rPr>
        <w:t xml:space="preserve"> </w:t>
      </w:r>
      <w:r w:rsidRPr="00434319">
        <w:rPr>
          <w:sz w:val="24"/>
          <w:szCs w:val="24"/>
        </w:rPr>
        <w:t xml:space="preserve">кадрового состава структурных подразделений банка; </w:t>
      </w:r>
    </w:p>
    <w:p w:rsidR="00635258" w:rsidRPr="00434319" w:rsidRDefault="00635258" w:rsidP="00131D2B">
      <w:pPr>
        <w:numPr>
          <w:ilvl w:val="0"/>
          <w:numId w:val="28"/>
        </w:numPr>
        <w:tabs>
          <w:tab w:val="clear" w:pos="1854"/>
        </w:tabs>
        <w:ind w:left="709" w:hanging="294"/>
        <w:jc w:val="both"/>
        <w:rPr>
          <w:sz w:val="24"/>
          <w:szCs w:val="24"/>
        </w:rPr>
      </w:pPr>
      <w:r w:rsidRPr="00434319">
        <w:rPr>
          <w:sz w:val="24"/>
          <w:szCs w:val="24"/>
        </w:rPr>
        <w:t xml:space="preserve">расстановка персонала с учётом профессионализма и личностного потенциала работников; </w:t>
      </w:r>
    </w:p>
    <w:p w:rsidR="00635258" w:rsidRPr="00434319" w:rsidRDefault="00635258" w:rsidP="00131D2B">
      <w:pPr>
        <w:numPr>
          <w:ilvl w:val="0"/>
          <w:numId w:val="28"/>
        </w:numPr>
        <w:tabs>
          <w:tab w:val="clear" w:pos="1854"/>
        </w:tabs>
        <w:ind w:left="709" w:hanging="294"/>
        <w:jc w:val="both"/>
        <w:rPr>
          <w:sz w:val="24"/>
          <w:szCs w:val="24"/>
        </w:rPr>
      </w:pPr>
      <w:r w:rsidRPr="00434319">
        <w:rPr>
          <w:sz w:val="24"/>
          <w:szCs w:val="24"/>
        </w:rPr>
        <w:t xml:space="preserve">обеспечение структурных подразделений банка квалифицированными специалистами; </w:t>
      </w:r>
    </w:p>
    <w:p w:rsidR="00635258" w:rsidRPr="00434319" w:rsidRDefault="00635258" w:rsidP="00131D2B">
      <w:pPr>
        <w:numPr>
          <w:ilvl w:val="0"/>
          <w:numId w:val="28"/>
        </w:numPr>
        <w:tabs>
          <w:tab w:val="clear" w:pos="1854"/>
        </w:tabs>
        <w:ind w:left="709" w:hanging="294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труда;</w:t>
      </w:r>
    </w:p>
    <w:p w:rsidR="00635258" w:rsidRPr="00434319" w:rsidRDefault="00635258" w:rsidP="00131D2B">
      <w:pPr>
        <w:numPr>
          <w:ilvl w:val="0"/>
          <w:numId w:val="28"/>
        </w:numPr>
        <w:tabs>
          <w:tab w:val="clear" w:pos="1854"/>
        </w:tabs>
        <w:ind w:left="709" w:hanging="294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разработка и совершенствование организационной структуры</w:t>
      </w:r>
      <w:r>
        <w:rPr>
          <w:sz w:val="24"/>
          <w:szCs w:val="24"/>
        </w:rPr>
        <w:t xml:space="preserve"> банка</w:t>
      </w:r>
      <w:r w:rsidRPr="00434319">
        <w:rPr>
          <w:sz w:val="24"/>
          <w:szCs w:val="24"/>
        </w:rPr>
        <w:t>.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Важным направлением повышения профессионального уровня персонала банка и совершенствования работы структурных подразделений являлись консультации, проводимые со специалистами Центрального банка Российской Федерации по различным направлениям деятельности.</w:t>
      </w:r>
    </w:p>
    <w:p w:rsidR="00635258" w:rsidRPr="00434319" w:rsidRDefault="00635258" w:rsidP="00131D2B">
      <w:pPr>
        <w:ind w:firstLine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 xml:space="preserve">Штатная численность сотрудников банка на 1 </w:t>
      </w:r>
      <w:r>
        <w:rPr>
          <w:sz w:val="24"/>
          <w:szCs w:val="24"/>
        </w:rPr>
        <w:t xml:space="preserve">января 2016 года составила 229 </w:t>
      </w:r>
      <w:r w:rsidRPr="00434319">
        <w:rPr>
          <w:sz w:val="24"/>
          <w:szCs w:val="24"/>
        </w:rPr>
        <w:t xml:space="preserve">штатных единиц. Вместе с сотрудниками, принятыми по совместительству и в качестве замещающих на время нахождения в отпуске по уходу за ребенком основного сотрудника, среднесписочная численность персонала банка составила 243 человека. </w:t>
      </w:r>
    </w:p>
    <w:p w:rsidR="00635258" w:rsidRDefault="00635258" w:rsidP="00131D2B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434319">
        <w:rPr>
          <w:sz w:val="24"/>
          <w:szCs w:val="24"/>
        </w:rPr>
        <w:t>На 1 января 2016 года показатель укомплектованности должностей руководителей и специали</w:t>
      </w:r>
      <w:r>
        <w:rPr>
          <w:sz w:val="24"/>
          <w:szCs w:val="24"/>
        </w:rPr>
        <w:t>стов составил 100%. При этом 36</w:t>
      </w:r>
      <w:r w:rsidRPr="00434319">
        <w:rPr>
          <w:sz w:val="24"/>
          <w:szCs w:val="24"/>
        </w:rPr>
        <w:t>% работников имеют стаж работы в банковской системе более 20 лет, 17%</w:t>
      </w:r>
      <w:r>
        <w:rPr>
          <w:sz w:val="24"/>
          <w:szCs w:val="24"/>
        </w:rPr>
        <w:t xml:space="preserve"> – </w:t>
      </w:r>
      <w:r w:rsidRPr="00434319">
        <w:rPr>
          <w:sz w:val="24"/>
          <w:szCs w:val="24"/>
        </w:rPr>
        <w:t>от 15 до 20 лет, 25 %</w:t>
      </w:r>
      <w:r>
        <w:rPr>
          <w:sz w:val="24"/>
          <w:szCs w:val="24"/>
        </w:rPr>
        <w:t xml:space="preserve"> –</w:t>
      </w:r>
      <w:r w:rsidRPr="00434319">
        <w:rPr>
          <w:sz w:val="24"/>
          <w:szCs w:val="24"/>
        </w:rPr>
        <w:t xml:space="preserve"> от 10 до 15 лет.</w:t>
      </w:r>
    </w:p>
    <w:p w:rsidR="00635258" w:rsidRDefault="00635258" w:rsidP="00131D2B">
      <w:pPr>
        <w:autoSpaceDE w:val="0"/>
        <w:autoSpaceDN w:val="0"/>
        <w:adjustRightInd w:val="0"/>
        <w:spacing w:before="120" w:after="120"/>
        <w:ind w:firstLine="425"/>
        <w:jc w:val="both"/>
        <w:rPr>
          <w:i/>
          <w:iCs/>
          <w:sz w:val="24"/>
          <w:szCs w:val="24"/>
        </w:rPr>
      </w:pPr>
      <w:r w:rsidRPr="000A79FE">
        <w:rPr>
          <w:i/>
          <w:iCs/>
          <w:sz w:val="24"/>
          <w:szCs w:val="24"/>
        </w:rPr>
        <w:t>Техническое обеспечение</w:t>
      </w:r>
    </w:p>
    <w:p w:rsidR="00635258" w:rsidRPr="00E127AE" w:rsidRDefault="00635258" w:rsidP="00131D2B">
      <w:pPr>
        <w:ind w:firstLine="426"/>
        <w:jc w:val="both"/>
        <w:rPr>
          <w:sz w:val="24"/>
          <w:szCs w:val="24"/>
        </w:rPr>
      </w:pPr>
      <w:r w:rsidRPr="00E127AE">
        <w:rPr>
          <w:sz w:val="24"/>
          <w:szCs w:val="24"/>
        </w:rPr>
        <w:t xml:space="preserve">В отчётном году </w:t>
      </w:r>
      <w:r>
        <w:rPr>
          <w:sz w:val="24"/>
          <w:szCs w:val="24"/>
        </w:rPr>
        <w:t>продолжилось</w:t>
      </w:r>
      <w:r w:rsidRPr="00E127AE">
        <w:rPr>
          <w:sz w:val="24"/>
          <w:szCs w:val="24"/>
        </w:rPr>
        <w:t xml:space="preserve"> расширение и совершенствование подсистемы «Центр обработки электронных сообщений». На основе данной технологии реализованы следующие комплексы задач: </w:t>
      </w:r>
    </w:p>
    <w:p w:rsidR="00635258" w:rsidRPr="00E127AE" w:rsidRDefault="00635258" w:rsidP="00131D2B">
      <w:pPr>
        <w:ind w:firstLine="426"/>
        <w:jc w:val="both"/>
        <w:rPr>
          <w:sz w:val="24"/>
          <w:szCs w:val="24"/>
        </w:rPr>
      </w:pPr>
      <w:r w:rsidRPr="00E127AE">
        <w:rPr>
          <w:sz w:val="24"/>
          <w:szCs w:val="24"/>
        </w:rPr>
        <w:t>1)</w:t>
      </w:r>
      <w:r w:rsidRPr="00E127AE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Pr="00E127AE">
        <w:rPr>
          <w:sz w:val="24"/>
          <w:szCs w:val="24"/>
        </w:rPr>
        <w:t>ыполнение платежей в иностранной валюте электронным способом через кор</w:t>
      </w:r>
      <w:r>
        <w:rPr>
          <w:sz w:val="24"/>
          <w:szCs w:val="24"/>
        </w:rPr>
        <w:t xml:space="preserve">респондентские </w:t>
      </w:r>
      <w:r w:rsidRPr="00E127AE">
        <w:rPr>
          <w:sz w:val="24"/>
          <w:szCs w:val="24"/>
        </w:rPr>
        <w:t xml:space="preserve">счета </w:t>
      </w:r>
      <w:r>
        <w:rPr>
          <w:sz w:val="24"/>
          <w:szCs w:val="24"/>
        </w:rPr>
        <w:t>ПРБ</w:t>
      </w:r>
      <w:r w:rsidRPr="00E127AE">
        <w:rPr>
          <w:sz w:val="24"/>
          <w:szCs w:val="24"/>
        </w:rPr>
        <w:t xml:space="preserve">, открытые в банках-нерезидентах </w:t>
      </w:r>
      <w:r>
        <w:rPr>
          <w:sz w:val="24"/>
          <w:szCs w:val="24"/>
        </w:rPr>
        <w:t>ПМР;</w:t>
      </w:r>
    </w:p>
    <w:p w:rsidR="00635258" w:rsidRPr="00E127AE" w:rsidRDefault="00635258" w:rsidP="00131D2B">
      <w:pPr>
        <w:ind w:firstLine="426"/>
        <w:jc w:val="both"/>
        <w:rPr>
          <w:sz w:val="24"/>
          <w:szCs w:val="24"/>
        </w:rPr>
      </w:pPr>
      <w:r w:rsidRPr="00E127AE">
        <w:rPr>
          <w:sz w:val="24"/>
          <w:szCs w:val="24"/>
        </w:rPr>
        <w:t>2)</w:t>
      </w:r>
      <w:r w:rsidRPr="00E127AE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Pr="00E127AE">
        <w:rPr>
          <w:sz w:val="24"/>
          <w:szCs w:val="24"/>
        </w:rPr>
        <w:t>даптация платежей в молдавских леях электронным способом с использованием идентификатора IBAN через кор</w:t>
      </w:r>
      <w:r>
        <w:rPr>
          <w:sz w:val="24"/>
          <w:szCs w:val="24"/>
        </w:rPr>
        <w:t xml:space="preserve">респондентские </w:t>
      </w:r>
      <w:r w:rsidRPr="00E127AE">
        <w:rPr>
          <w:sz w:val="24"/>
          <w:szCs w:val="24"/>
        </w:rPr>
        <w:t xml:space="preserve">счета </w:t>
      </w:r>
      <w:r>
        <w:rPr>
          <w:sz w:val="24"/>
          <w:szCs w:val="24"/>
        </w:rPr>
        <w:t>ПРБ</w:t>
      </w:r>
      <w:r w:rsidRPr="00E127AE">
        <w:rPr>
          <w:sz w:val="24"/>
          <w:szCs w:val="24"/>
        </w:rPr>
        <w:t>, открытые в Национальном банке Молдовы</w:t>
      </w:r>
      <w:r>
        <w:rPr>
          <w:sz w:val="24"/>
          <w:szCs w:val="24"/>
        </w:rPr>
        <w:t>;</w:t>
      </w:r>
    </w:p>
    <w:p w:rsidR="00635258" w:rsidRPr="00E127AE" w:rsidRDefault="00635258" w:rsidP="00131D2B">
      <w:pPr>
        <w:ind w:firstLine="426"/>
        <w:jc w:val="both"/>
        <w:rPr>
          <w:sz w:val="24"/>
          <w:szCs w:val="24"/>
        </w:rPr>
      </w:pPr>
      <w:r w:rsidRPr="00E127AE">
        <w:rPr>
          <w:sz w:val="24"/>
          <w:szCs w:val="24"/>
        </w:rPr>
        <w:t>3)</w:t>
      </w:r>
      <w:r w:rsidRPr="00E127AE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E127AE">
        <w:rPr>
          <w:sz w:val="24"/>
          <w:szCs w:val="24"/>
        </w:rPr>
        <w:t xml:space="preserve">азработка серверной части проведения </w:t>
      </w:r>
      <w:r>
        <w:rPr>
          <w:sz w:val="24"/>
          <w:szCs w:val="24"/>
        </w:rPr>
        <w:t>в</w:t>
      </w:r>
      <w:r w:rsidRPr="00E127AE">
        <w:rPr>
          <w:sz w:val="24"/>
          <w:szCs w:val="24"/>
        </w:rPr>
        <w:t xml:space="preserve">алютного аукциона </w:t>
      </w:r>
      <w:r>
        <w:rPr>
          <w:sz w:val="24"/>
          <w:szCs w:val="24"/>
        </w:rPr>
        <w:t>ПРБ</w:t>
      </w:r>
      <w:r w:rsidRPr="00E127AE">
        <w:rPr>
          <w:sz w:val="24"/>
          <w:szCs w:val="24"/>
        </w:rPr>
        <w:t xml:space="preserve"> с уч</w:t>
      </w:r>
      <w:r>
        <w:rPr>
          <w:sz w:val="24"/>
          <w:szCs w:val="24"/>
        </w:rPr>
        <w:t>ё</w:t>
      </w:r>
      <w:r w:rsidRPr="00E127AE">
        <w:rPr>
          <w:sz w:val="24"/>
          <w:szCs w:val="24"/>
        </w:rPr>
        <w:t>том данных подсистемы «Импорт»</w:t>
      </w:r>
      <w:r>
        <w:rPr>
          <w:sz w:val="24"/>
          <w:szCs w:val="24"/>
        </w:rPr>
        <w:t>.</w:t>
      </w:r>
    </w:p>
    <w:p w:rsidR="00635258" w:rsidRPr="00E127AE" w:rsidRDefault="00635258" w:rsidP="00131D2B">
      <w:pPr>
        <w:ind w:firstLine="426"/>
        <w:jc w:val="both"/>
        <w:rPr>
          <w:sz w:val="24"/>
          <w:szCs w:val="24"/>
        </w:rPr>
      </w:pPr>
      <w:r w:rsidRPr="00E127AE">
        <w:rPr>
          <w:sz w:val="24"/>
          <w:szCs w:val="24"/>
        </w:rPr>
        <w:t>Проводилась модернизация ядра информационной системы ПРБ для оптимизации использования вычислительной мощности пут</w:t>
      </w:r>
      <w:r>
        <w:rPr>
          <w:sz w:val="24"/>
          <w:szCs w:val="24"/>
        </w:rPr>
        <w:t>ё</w:t>
      </w:r>
      <w:r w:rsidRPr="00E127AE">
        <w:rPr>
          <w:sz w:val="24"/>
          <w:szCs w:val="24"/>
        </w:rPr>
        <w:t xml:space="preserve">м использования современных технологий обработки и транспорта данных, в частности платформы </w:t>
      </w:r>
      <w:r>
        <w:rPr>
          <w:sz w:val="24"/>
          <w:szCs w:val="24"/>
        </w:rPr>
        <w:t>NET</w:t>
      </w:r>
      <w:r w:rsidRPr="00E127AE">
        <w:rPr>
          <w:sz w:val="24"/>
          <w:szCs w:val="24"/>
        </w:rPr>
        <w:t>4, WCF и «облачных» технологий.</w:t>
      </w:r>
    </w:p>
    <w:p w:rsidR="00635258" w:rsidRPr="00E127AE" w:rsidRDefault="00635258" w:rsidP="00131D2B">
      <w:pPr>
        <w:ind w:firstLine="426"/>
        <w:jc w:val="both"/>
        <w:rPr>
          <w:sz w:val="24"/>
          <w:szCs w:val="24"/>
        </w:rPr>
      </w:pPr>
      <w:r w:rsidRPr="00E127AE">
        <w:rPr>
          <w:sz w:val="24"/>
          <w:szCs w:val="24"/>
        </w:rPr>
        <w:t>Провед</w:t>
      </w:r>
      <w:r>
        <w:rPr>
          <w:sz w:val="24"/>
          <w:szCs w:val="24"/>
        </w:rPr>
        <w:t>ё</w:t>
      </w:r>
      <w:r w:rsidRPr="00E127AE">
        <w:rPr>
          <w:sz w:val="24"/>
          <w:szCs w:val="24"/>
        </w:rPr>
        <w:t>н комплекс работ по модернизации подсистемы резервного копирования</w:t>
      </w:r>
      <w:r>
        <w:rPr>
          <w:sz w:val="24"/>
          <w:szCs w:val="24"/>
        </w:rPr>
        <w:t>, которая была</w:t>
      </w:r>
      <w:r w:rsidRPr="00E127AE">
        <w:rPr>
          <w:sz w:val="24"/>
          <w:szCs w:val="24"/>
        </w:rPr>
        <w:t xml:space="preserve"> существенно улучшена за сч</w:t>
      </w:r>
      <w:r>
        <w:rPr>
          <w:sz w:val="24"/>
          <w:szCs w:val="24"/>
        </w:rPr>
        <w:t>ё</w:t>
      </w:r>
      <w:r w:rsidRPr="00E127AE">
        <w:rPr>
          <w:sz w:val="24"/>
          <w:szCs w:val="24"/>
        </w:rPr>
        <w:t>т увеличения мощностей хранения. Проводилась модернизация и расширение коммуникационных сетей, как локальных, так и межведомственных</w:t>
      </w:r>
      <w:r>
        <w:rPr>
          <w:sz w:val="24"/>
          <w:szCs w:val="24"/>
        </w:rPr>
        <w:t>,</w:t>
      </w:r>
      <w:r w:rsidRPr="00E127AE">
        <w:rPr>
          <w:sz w:val="24"/>
          <w:szCs w:val="24"/>
        </w:rPr>
        <w:t xml:space="preserve"> для обеспечения взаимодействия между ПРБ и другими органами государственной власти.</w:t>
      </w:r>
    </w:p>
    <w:p w:rsidR="00635258" w:rsidRPr="00E127AE" w:rsidRDefault="00635258" w:rsidP="00131D2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Осуществлялась</w:t>
      </w:r>
      <w:r w:rsidRPr="00E127AE">
        <w:rPr>
          <w:sz w:val="24"/>
          <w:szCs w:val="24"/>
        </w:rPr>
        <w:t xml:space="preserve"> реализация комплекса мероприятий в части рекомендаций </w:t>
      </w:r>
      <w:r>
        <w:rPr>
          <w:sz w:val="24"/>
          <w:szCs w:val="24"/>
        </w:rPr>
        <w:t xml:space="preserve">международного </w:t>
      </w:r>
      <w:r w:rsidRPr="00E127AE">
        <w:rPr>
          <w:sz w:val="24"/>
          <w:szCs w:val="24"/>
        </w:rPr>
        <w:t>аудита</w:t>
      </w:r>
      <w:r>
        <w:rPr>
          <w:sz w:val="24"/>
          <w:szCs w:val="24"/>
        </w:rPr>
        <w:t xml:space="preserve"> информационной среды банка</w:t>
      </w:r>
      <w:r w:rsidRPr="00E127AE">
        <w:rPr>
          <w:sz w:val="24"/>
          <w:szCs w:val="24"/>
        </w:rPr>
        <w:t>:</w:t>
      </w:r>
    </w:p>
    <w:p w:rsidR="00635258" w:rsidRPr="00E127AE" w:rsidRDefault="00635258" w:rsidP="00131D2B">
      <w:pPr>
        <w:ind w:firstLine="426"/>
        <w:jc w:val="both"/>
        <w:rPr>
          <w:sz w:val="24"/>
          <w:szCs w:val="24"/>
        </w:rPr>
      </w:pPr>
      <w:r w:rsidRPr="00E127AE">
        <w:rPr>
          <w:sz w:val="24"/>
          <w:szCs w:val="24"/>
        </w:rPr>
        <w:t>1)</w:t>
      </w:r>
      <w:r w:rsidRPr="00E127AE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E127AE">
        <w:rPr>
          <w:sz w:val="24"/>
          <w:szCs w:val="24"/>
        </w:rPr>
        <w:t>овершенствовалась централизованная система защиты от вредоносного кода</w:t>
      </w:r>
      <w:r>
        <w:rPr>
          <w:sz w:val="24"/>
          <w:szCs w:val="24"/>
        </w:rPr>
        <w:t>;</w:t>
      </w:r>
    </w:p>
    <w:p w:rsidR="00635258" w:rsidRPr="00E127AE" w:rsidRDefault="00635258" w:rsidP="00131D2B">
      <w:pPr>
        <w:ind w:firstLine="426"/>
        <w:jc w:val="both"/>
        <w:rPr>
          <w:sz w:val="24"/>
          <w:szCs w:val="24"/>
        </w:rPr>
      </w:pPr>
      <w:r w:rsidRPr="00E127AE">
        <w:rPr>
          <w:sz w:val="24"/>
          <w:szCs w:val="24"/>
        </w:rPr>
        <w:t>2)</w:t>
      </w:r>
      <w:r w:rsidRPr="00E127AE">
        <w:rPr>
          <w:sz w:val="24"/>
          <w:szCs w:val="24"/>
        </w:rPr>
        <w:tab/>
        <w:t xml:space="preserve">проводилась разработка политики информационной безопасности </w:t>
      </w:r>
      <w:r>
        <w:rPr>
          <w:sz w:val="24"/>
          <w:szCs w:val="24"/>
        </w:rPr>
        <w:t>и соответствующих нормативных документов</w:t>
      </w:r>
      <w:r w:rsidRPr="00E127AE">
        <w:rPr>
          <w:sz w:val="24"/>
          <w:szCs w:val="24"/>
        </w:rPr>
        <w:t>.</w:t>
      </w:r>
    </w:p>
    <w:p w:rsidR="00635258" w:rsidRDefault="00635258" w:rsidP="00131D2B">
      <w:pPr>
        <w:ind w:firstLine="426"/>
        <w:jc w:val="both"/>
        <w:rPr>
          <w:sz w:val="24"/>
          <w:szCs w:val="24"/>
        </w:rPr>
      </w:pPr>
      <w:r w:rsidRPr="00E127AE">
        <w:rPr>
          <w:sz w:val="24"/>
          <w:szCs w:val="24"/>
        </w:rPr>
        <w:t>В течени</w:t>
      </w:r>
      <w:r>
        <w:rPr>
          <w:sz w:val="24"/>
          <w:szCs w:val="24"/>
        </w:rPr>
        <w:t>е</w:t>
      </w:r>
      <w:r w:rsidRPr="00E127AE">
        <w:rPr>
          <w:sz w:val="24"/>
          <w:szCs w:val="24"/>
        </w:rPr>
        <w:t xml:space="preserve"> 2015 года велась работа по сопровождению и расширению функционала </w:t>
      </w:r>
      <w:r>
        <w:rPr>
          <w:sz w:val="24"/>
          <w:szCs w:val="24"/>
        </w:rPr>
        <w:t>автоматизированной банковской системы</w:t>
      </w:r>
      <w:r w:rsidRPr="00E127AE">
        <w:rPr>
          <w:sz w:val="24"/>
          <w:szCs w:val="24"/>
        </w:rPr>
        <w:t>, а также проводилось плановое обновление рабочих станций, установка и модернизация серверов.</w:t>
      </w:r>
    </w:p>
    <w:p w:rsidR="00635258" w:rsidRPr="0079720B" w:rsidRDefault="00635258" w:rsidP="00211937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проекта Национальной платёжной системы (НПС)</w:t>
      </w:r>
      <w:r w:rsidRPr="0079720B">
        <w:rPr>
          <w:sz w:val="24"/>
          <w:szCs w:val="24"/>
        </w:rPr>
        <w:t xml:space="preserve"> </w:t>
      </w:r>
      <w:r w:rsidRPr="002140A7">
        <w:rPr>
          <w:sz w:val="24"/>
          <w:szCs w:val="24"/>
        </w:rPr>
        <w:t xml:space="preserve">в Приднестровском республиканском банке создана техническая инфраструктура, реализующая возможность функционирования </w:t>
      </w:r>
      <w:r>
        <w:rPr>
          <w:sz w:val="24"/>
          <w:szCs w:val="24"/>
        </w:rPr>
        <w:t>данной системы</w:t>
      </w:r>
      <w:r w:rsidRPr="002140A7">
        <w:rPr>
          <w:sz w:val="24"/>
          <w:szCs w:val="24"/>
        </w:rPr>
        <w:t xml:space="preserve"> и обеспечивающая расч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ты между банками-участниками НПС и процессинг при осуществлении безналичных расч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тов с использованием банковских карт НПС</w:t>
      </w:r>
      <w:r>
        <w:rPr>
          <w:sz w:val="24"/>
          <w:szCs w:val="24"/>
        </w:rPr>
        <w:t>,</w:t>
      </w:r>
      <w:r w:rsidRPr="002140A7">
        <w:rPr>
          <w:sz w:val="24"/>
          <w:szCs w:val="24"/>
        </w:rPr>
        <w:t xml:space="preserve"> посредством совмещения функций оператора, расч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тного центра и процессингового центра. Выполнен комплекс мероприятий по обеспечению взаимодействия НПС с автоматизированной системой, реализующей функции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жной системы Приднестровской Молдавской Республики, и взаимодействия структурных подразделений Приднестровского республиканского банка при оказании расч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тных услуг. Обеспечено организационное и техническое взаимодействие с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жной системой Российской Федерации.</w:t>
      </w:r>
      <w:r>
        <w:rPr>
          <w:sz w:val="24"/>
          <w:szCs w:val="24"/>
        </w:rPr>
        <w:t xml:space="preserve"> В частности, были осуществлены</w:t>
      </w:r>
      <w:r w:rsidRPr="0079720B">
        <w:rPr>
          <w:sz w:val="24"/>
          <w:szCs w:val="24"/>
        </w:rPr>
        <w:t xml:space="preserve"> следующие работы:</w:t>
      </w:r>
    </w:p>
    <w:p w:rsidR="00635258" w:rsidRPr="00AF0F71" w:rsidRDefault="00635258" w:rsidP="00BF6B52">
      <w:pPr>
        <w:numPr>
          <w:ilvl w:val="0"/>
          <w:numId w:val="22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создан</w:t>
      </w:r>
      <w:r w:rsidRPr="007160D8">
        <w:rPr>
          <w:sz w:val="24"/>
          <w:szCs w:val="24"/>
        </w:rPr>
        <w:t xml:space="preserve"> отказоустойчи</w:t>
      </w:r>
      <w:r>
        <w:rPr>
          <w:sz w:val="24"/>
          <w:szCs w:val="24"/>
        </w:rPr>
        <w:t>вый</w:t>
      </w:r>
      <w:r w:rsidRPr="007160D8">
        <w:rPr>
          <w:sz w:val="24"/>
          <w:szCs w:val="24"/>
        </w:rPr>
        <w:t xml:space="preserve"> кластер для функционирования центрального процессингового центра в режиме 24/7. Данная схема реализована пут</w:t>
      </w:r>
      <w:r>
        <w:rPr>
          <w:sz w:val="24"/>
          <w:szCs w:val="24"/>
        </w:rPr>
        <w:t>ё</w:t>
      </w:r>
      <w:r w:rsidRPr="007160D8">
        <w:rPr>
          <w:sz w:val="24"/>
          <w:szCs w:val="24"/>
        </w:rPr>
        <w:t>м создания программно</w:t>
      </w:r>
      <w:r>
        <w:rPr>
          <w:sz w:val="24"/>
          <w:szCs w:val="24"/>
        </w:rPr>
        <w:t>-</w:t>
      </w:r>
      <w:r w:rsidRPr="007160D8">
        <w:rPr>
          <w:sz w:val="24"/>
          <w:szCs w:val="24"/>
        </w:rPr>
        <w:t>аппаратного комплекса из нескольких серверов, сетевого дискового хранилища и программного обеспечения VMWare</w:t>
      </w:r>
      <w:r>
        <w:rPr>
          <w:sz w:val="24"/>
          <w:szCs w:val="24"/>
        </w:rPr>
        <w:t>;</w:t>
      </w:r>
    </w:p>
    <w:p w:rsidR="00635258" w:rsidRDefault="00635258" w:rsidP="00BF6B52">
      <w:pPr>
        <w:numPr>
          <w:ilvl w:val="0"/>
          <w:numId w:val="22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реализовано п</w:t>
      </w:r>
      <w:r w:rsidRPr="0079720B">
        <w:rPr>
          <w:sz w:val="24"/>
          <w:szCs w:val="24"/>
        </w:rPr>
        <w:t>одключение второй оптической линии</w:t>
      </w:r>
      <w:r>
        <w:rPr>
          <w:sz w:val="24"/>
          <w:szCs w:val="24"/>
        </w:rPr>
        <w:t xml:space="preserve"> </w:t>
      </w:r>
      <w:r w:rsidRPr="0079720B">
        <w:rPr>
          <w:sz w:val="24"/>
          <w:szCs w:val="24"/>
        </w:rPr>
        <w:t>(</w:t>
      </w:r>
      <w:r w:rsidRPr="007160D8">
        <w:rPr>
          <w:sz w:val="24"/>
          <w:szCs w:val="24"/>
        </w:rPr>
        <w:t>gpon</w:t>
      </w:r>
      <w:r w:rsidRPr="0079720B">
        <w:rPr>
          <w:sz w:val="24"/>
          <w:szCs w:val="24"/>
        </w:rPr>
        <w:t xml:space="preserve">) со статическим </w:t>
      </w:r>
      <w:r w:rsidRPr="007160D8">
        <w:rPr>
          <w:sz w:val="24"/>
          <w:szCs w:val="24"/>
        </w:rPr>
        <w:t>IP</w:t>
      </w:r>
      <w:r w:rsidRPr="0079720B">
        <w:rPr>
          <w:sz w:val="24"/>
          <w:szCs w:val="24"/>
        </w:rPr>
        <w:t xml:space="preserve">-адресом от </w:t>
      </w:r>
      <w:r>
        <w:rPr>
          <w:sz w:val="24"/>
          <w:szCs w:val="24"/>
        </w:rPr>
        <w:t>СЗАО «Интерднестрком»</w:t>
      </w:r>
      <w:r w:rsidRPr="0079720B">
        <w:rPr>
          <w:sz w:val="24"/>
          <w:szCs w:val="24"/>
        </w:rPr>
        <w:t xml:space="preserve"> для взаимодействия с участниками плат</w:t>
      </w:r>
      <w:r>
        <w:rPr>
          <w:sz w:val="24"/>
          <w:szCs w:val="24"/>
        </w:rPr>
        <w:t>ё</w:t>
      </w:r>
      <w:r w:rsidRPr="0079720B">
        <w:rPr>
          <w:sz w:val="24"/>
          <w:szCs w:val="24"/>
        </w:rPr>
        <w:t xml:space="preserve">жной системы </w:t>
      </w:r>
      <w:r>
        <w:rPr>
          <w:sz w:val="24"/>
          <w:szCs w:val="24"/>
        </w:rPr>
        <w:t xml:space="preserve">УЭК Российской Федерации; </w:t>
      </w:r>
    </w:p>
    <w:p w:rsidR="00635258" w:rsidRPr="0079720B" w:rsidRDefault="00635258" w:rsidP="00BF6B52">
      <w:pPr>
        <w:numPr>
          <w:ilvl w:val="0"/>
          <w:numId w:val="22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осуществлено</w:t>
      </w:r>
      <w:r w:rsidRPr="0079720B">
        <w:rPr>
          <w:sz w:val="24"/>
          <w:szCs w:val="24"/>
        </w:rPr>
        <w:t xml:space="preserve"> подключение резервной внешней оптической линии связи к альтернативному интернет</w:t>
      </w:r>
      <w:r>
        <w:rPr>
          <w:sz w:val="24"/>
          <w:szCs w:val="24"/>
        </w:rPr>
        <w:t>-провайдеру ООО «</w:t>
      </w:r>
      <w:r w:rsidRPr="0079720B">
        <w:rPr>
          <w:sz w:val="24"/>
          <w:szCs w:val="24"/>
        </w:rPr>
        <w:t>Линксервис</w:t>
      </w:r>
      <w:r>
        <w:rPr>
          <w:sz w:val="24"/>
          <w:szCs w:val="24"/>
        </w:rPr>
        <w:t xml:space="preserve">», в том </w:t>
      </w:r>
      <w:r w:rsidRPr="0079720B">
        <w:rPr>
          <w:sz w:val="24"/>
          <w:szCs w:val="24"/>
        </w:rPr>
        <w:t>ч</w:t>
      </w:r>
      <w:r>
        <w:rPr>
          <w:sz w:val="24"/>
          <w:szCs w:val="24"/>
        </w:rPr>
        <w:t>исле</w:t>
      </w:r>
      <w:r w:rsidRPr="0079720B">
        <w:rPr>
          <w:sz w:val="24"/>
          <w:szCs w:val="24"/>
        </w:rPr>
        <w:t xml:space="preserve"> для дальнейшего обеспечения резервного подключения к </w:t>
      </w:r>
      <w:r>
        <w:rPr>
          <w:sz w:val="24"/>
          <w:szCs w:val="24"/>
        </w:rPr>
        <w:t xml:space="preserve">российской </w:t>
      </w:r>
      <w:r w:rsidRPr="0079720B">
        <w:rPr>
          <w:sz w:val="24"/>
          <w:szCs w:val="24"/>
        </w:rPr>
        <w:t>плат</w:t>
      </w:r>
      <w:r>
        <w:rPr>
          <w:sz w:val="24"/>
          <w:szCs w:val="24"/>
        </w:rPr>
        <w:t>ё</w:t>
      </w:r>
      <w:r w:rsidRPr="0079720B">
        <w:rPr>
          <w:sz w:val="24"/>
          <w:szCs w:val="24"/>
        </w:rPr>
        <w:t>жной систем</w:t>
      </w:r>
      <w:r>
        <w:rPr>
          <w:sz w:val="24"/>
          <w:szCs w:val="24"/>
        </w:rPr>
        <w:t>е «УЭК»;</w:t>
      </w:r>
    </w:p>
    <w:p w:rsidR="00635258" w:rsidRPr="0079720B" w:rsidRDefault="00635258" w:rsidP="00BF6B52">
      <w:pPr>
        <w:numPr>
          <w:ilvl w:val="0"/>
          <w:numId w:val="22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внедрено</w:t>
      </w:r>
      <w:r w:rsidRPr="0079720B">
        <w:rPr>
          <w:sz w:val="24"/>
          <w:szCs w:val="24"/>
        </w:rPr>
        <w:t xml:space="preserve"> функционировани</w:t>
      </w:r>
      <w:r>
        <w:rPr>
          <w:sz w:val="24"/>
          <w:szCs w:val="24"/>
        </w:rPr>
        <w:t>е</w:t>
      </w:r>
      <w:r w:rsidRPr="0079720B">
        <w:rPr>
          <w:sz w:val="24"/>
          <w:szCs w:val="24"/>
        </w:rPr>
        <w:t xml:space="preserve"> прямой оптической </w:t>
      </w:r>
      <w:r>
        <w:rPr>
          <w:sz w:val="24"/>
          <w:szCs w:val="24"/>
        </w:rPr>
        <w:t>линии с ПАО</w:t>
      </w:r>
      <w:r w:rsidRPr="0079720B">
        <w:rPr>
          <w:sz w:val="24"/>
          <w:szCs w:val="24"/>
        </w:rPr>
        <w:t xml:space="preserve"> Сбербанк</w:t>
      </w:r>
      <w:r>
        <w:rPr>
          <w:sz w:val="24"/>
          <w:szCs w:val="24"/>
        </w:rPr>
        <w:t xml:space="preserve"> (РФ)</w:t>
      </w:r>
      <w:r w:rsidRPr="0079720B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взаимодействия в рамках</w:t>
      </w:r>
      <w:r w:rsidRPr="0079720B">
        <w:rPr>
          <w:sz w:val="24"/>
          <w:szCs w:val="24"/>
        </w:rPr>
        <w:t xml:space="preserve"> НПС</w:t>
      </w:r>
      <w:r>
        <w:rPr>
          <w:sz w:val="24"/>
          <w:szCs w:val="24"/>
        </w:rPr>
        <w:t xml:space="preserve"> </w:t>
      </w:r>
      <w:r w:rsidRPr="0079720B">
        <w:rPr>
          <w:sz w:val="24"/>
          <w:szCs w:val="24"/>
        </w:rPr>
        <w:t>«Приднестровье»</w:t>
      </w:r>
      <w:r>
        <w:rPr>
          <w:sz w:val="24"/>
          <w:szCs w:val="24"/>
        </w:rPr>
        <w:t>.</w:t>
      </w:r>
    </w:p>
    <w:p w:rsidR="00635258" w:rsidRDefault="00635258" w:rsidP="00131D2B">
      <w:pPr>
        <w:spacing w:before="120"/>
        <w:ind w:left="11" w:firstLine="425"/>
        <w:jc w:val="both"/>
        <w:rPr>
          <w:i/>
          <w:iCs/>
          <w:sz w:val="24"/>
          <w:szCs w:val="24"/>
        </w:rPr>
      </w:pPr>
      <w:r w:rsidRPr="00C95612">
        <w:rPr>
          <w:i/>
          <w:iCs/>
          <w:sz w:val="24"/>
          <w:szCs w:val="24"/>
        </w:rPr>
        <w:t>Деятельность Приднестровского республиканского банка по совершенствованию банковского законодательства. Претензионно-исковая работа</w:t>
      </w:r>
    </w:p>
    <w:p w:rsidR="00635258" w:rsidRPr="00226D6F" w:rsidRDefault="00635258" w:rsidP="00131D2B">
      <w:pPr>
        <w:autoSpaceDE w:val="0"/>
        <w:autoSpaceDN w:val="0"/>
        <w:adjustRightInd w:val="0"/>
        <w:spacing w:before="120"/>
        <w:ind w:firstLine="425"/>
        <w:jc w:val="both"/>
        <w:rPr>
          <w:sz w:val="24"/>
          <w:szCs w:val="24"/>
        </w:rPr>
      </w:pPr>
      <w:r w:rsidRPr="00226D6F">
        <w:rPr>
          <w:sz w:val="24"/>
          <w:szCs w:val="24"/>
        </w:rPr>
        <w:t>В целях правового обеспечени</w:t>
      </w:r>
      <w:r>
        <w:rPr>
          <w:sz w:val="24"/>
          <w:szCs w:val="24"/>
        </w:rPr>
        <w:t>я</w:t>
      </w:r>
      <w:r w:rsidRPr="00226D6F">
        <w:rPr>
          <w:sz w:val="24"/>
          <w:szCs w:val="24"/>
        </w:rPr>
        <w:t xml:space="preserve"> деятельности в 201</w:t>
      </w:r>
      <w:r>
        <w:rPr>
          <w:sz w:val="24"/>
          <w:szCs w:val="24"/>
        </w:rPr>
        <w:t>5</w:t>
      </w:r>
      <w:r w:rsidRPr="00226D6F">
        <w:rPr>
          <w:sz w:val="24"/>
          <w:szCs w:val="24"/>
        </w:rPr>
        <w:t xml:space="preserve"> году Приднестровским</w:t>
      </w:r>
      <w:r>
        <w:rPr>
          <w:sz w:val="24"/>
          <w:szCs w:val="24"/>
        </w:rPr>
        <w:t xml:space="preserve"> </w:t>
      </w:r>
      <w:r w:rsidRPr="00226D6F">
        <w:rPr>
          <w:sz w:val="24"/>
          <w:szCs w:val="24"/>
        </w:rPr>
        <w:t>республиканским банком проводилась работа</w:t>
      </w:r>
      <w:r>
        <w:rPr>
          <w:sz w:val="24"/>
          <w:szCs w:val="24"/>
        </w:rPr>
        <w:t xml:space="preserve"> </w:t>
      </w:r>
      <w:r w:rsidRPr="00226D6F">
        <w:rPr>
          <w:sz w:val="24"/>
          <w:szCs w:val="24"/>
        </w:rPr>
        <w:t>по совершенствованию банковского законодательства, которая выражалась в разработке законодательных актов, подготовке правовых заключений на законодательные акты, затрагивающие банковскую деятельность в Приднестровской Молдавской Республике, принятии</w:t>
      </w:r>
      <w:r>
        <w:rPr>
          <w:sz w:val="24"/>
          <w:szCs w:val="24"/>
        </w:rPr>
        <w:t xml:space="preserve"> </w:t>
      </w:r>
      <w:r w:rsidRPr="00226D6F">
        <w:rPr>
          <w:sz w:val="24"/>
          <w:szCs w:val="24"/>
        </w:rPr>
        <w:t>новых нормативных актов Приднестровск</w:t>
      </w:r>
      <w:r>
        <w:rPr>
          <w:sz w:val="24"/>
          <w:szCs w:val="24"/>
        </w:rPr>
        <w:t>ого</w:t>
      </w:r>
      <w:r w:rsidRPr="00226D6F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226D6F">
        <w:rPr>
          <w:sz w:val="24"/>
          <w:szCs w:val="24"/>
        </w:rPr>
        <w:t xml:space="preserve"> банк</w:t>
      </w:r>
      <w:r>
        <w:rPr>
          <w:sz w:val="24"/>
          <w:szCs w:val="24"/>
        </w:rPr>
        <w:t>а</w:t>
      </w:r>
      <w:r w:rsidRPr="00226D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35258" w:rsidRPr="002B5035" w:rsidRDefault="00635258" w:rsidP="00131D2B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</w:rPr>
        <w:t>В частности, был</w:t>
      </w:r>
      <w:r w:rsidRPr="002B5035">
        <w:rPr>
          <w:rStyle w:val="FontStyle11"/>
        </w:rPr>
        <w:t xml:space="preserve"> разработан ряд проектов законов</w:t>
      </w:r>
      <w:r w:rsidRPr="002B5035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и нормативных актов Президента и Правительства Приднестровской Молдавской Республики</w:t>
      </w:r>
      <w:r w:rsidRPr="002B50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5258" w:rsidRPr="00B35A31" w:rsidRDefault="00635258" w:rsidP="00131D2B">
      <w:pPr>
        <w:pStyle w:val="BodyText"/>
        <w:tabs>
          <w:tab w:val="left" w:pos="426"/>
        </w:tabs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D5315E">
        <w:rPr>
          <w:rFonts w:ascii="Times New Roman" w:hAnsi="Times New Roman" w:cs="Times New Roman"/>
          <w:sz w:val="24"/>
          <w:szCs w:val="24"/>
        </w:rPr>
        <w:t xml:space="preserve">1) </w:t>
      </w:r>
      <w:r w:rsidRPr="00B35A31">
        <w:rPr>
          <w:rFonts w:ascii="Times New Roman" w:hAnsi="Times New Roman" w:cs="Times New Roman"/>
          <w:sz w:val="24"/>
          <w:szCs w:val="24"/>
        </w:rPr>
        <w:t>разработан и направлен на рассмотрение и подписание Президенту Приднестровской Молдавской Республики проект Распоряжения Президента Приднестровской Молдавской Республики «О проекте Закона Приднестровской Молдавской Республики «Об амнистии по штрафам за нарушение сроков репатриации».</w:t>
      </w:r>
    </w:p>
    <w:p w:rsidR="00635258" w:rsidRPr="00B35A31" w:rsidRDefault="00635258" w:rsidP="00131D2B">
      <w:pPr>
        <w:pStyle w:val="BodyText"/>
        <w:tabs>
          <w:tab w:val="left" w:pos="426"/>
        </w:tabs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B35A31">
        <w:rPr>
          <w:rFonts w:ascii="Times New Roman" w:hAnsi="Times New Roman" w:cs="Times New Roman"/>
          <w:sz w:val="24"/>
          <w:szCs w:val="24"/>
        </w:rPr>
        <w:t>Проект разработан во исполнение поручения Президента Приднестровской Молдавской Республики от 29 июля 2015 года;</w:t>
      </w:r>
    </w:p>
    <w:p w:rsidR="00635258" w:rsidRPr="00D5315E" w:rsidRDefault="00635258" w:rsidP="00131D2B">
      <w:pPr>
        <w:pStyle w:val="BodyText"/>
        <w:tabs>
          <w:tab w:val="left" w:pos="426"/>
        </w:tabs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B35A31">
        <w:rPr>
          <w:rFonts w:ascii="Times New Roman" w:hAnsi="Times New Roman" w:cs="Times New Roman"/>
          <w:sz w:val="24"/>
          <w:szCs w:val="24"/>
        </w:rPr>
        <w:t>2) разработан и направлен на рассмотрение и подписание</w:t>
      </w:r>
      <w:r w:rsidRPr="00D5315E">
        <w:rPr>
          <w:rFonts w:ascii="Times New Roman" w:hAnsi="Times New Roman" w:cs="Times New Roman"/>
          <w:sz w:val="24"/>
          <w:szCs w:val="24"/>
        </w:rPr>
        <w:t xml:space="preserve"> Президенту Приднестровской Молдавской Республики проект Распоряжения Президента Приднестровской Молдавской Республики «О проекте Закона Приднестровской Молдавской Республики «О внесении изменений и дополнений в Закон Приднестровской Молдавской Республики «О противодействии легализации (отмыванию) доходов, полученных преступным пут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5315E">
        <w:rPr>
          <w:rFonts w:ascii="Times New Roman" w:hAnsi="Times New Roman" w:cs="Times New Roman"/>
          <w:sz w:val="24"/>
          <w:szCs w:val="24"/>
        </w:rPr>
        <w:t>м, и финансированию терроризма»;</w:t>
      </w:r>
    </w:p>
    <w:p w:rsidR="00635258" w:rsidRPr="00D5315E" w:rsidRDefault="00635258" w:rsidP="00131D2B">
      <w:pPr>
        <w:pStyle w:val="BodyText"/>
        <w:tabs>
          <w:tab w:val="left" w:pos="426"/>
        </w:tabs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D5315E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315E">
        <w:rPr>
          <w:rFonts w:ascii="Times New Roman" w:hAnsi="Times New Roman" w:cs="Times New Roman"/>
          <w:sz w:val="24"/>
          <w:szCs w:val="24"/>
        </w:rPr>
        <w:t>одготовлен и направлен на подписание Президенту Приднестровской Молдавской Республики проект Распоряжения Президента Приднестровской Молдавской Республики «О внесении изменений в Распоряжение Президента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15E">
        <w:rPr>
          <w:rFonts w:ascii="Times New Roman" w:hAnsi="Times New Roman" w:cs="Times New Roman"/>
          <w:sz w:val="24"/>
          <w:szCs w:val="24"/>
        </w:rPr>
        <w:t>от 4 сентября 2014 года №421рп «О проведении внеочередных контрольных (надзорных) мероприятий» (НДП);</w:t>
      </w:r>
    </w:p>
    <w:p w:rsidR="00635258" w:rsidRPr="00D5315E" w:rsidRDefault="00635258" w:rsidP="00131D2B">
      <w:pPr>
        <w:pStyle w:val="BodyText"/>
        <w:tabs>
          <w:tab w:val="left" w:pos="426"/>
        </w:tabs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D5315E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315E">
        <w:rPr>
          <w:rFonts w:ascii="Times New Roman" w:hAnsi="Times New Roman" w:cs="Times New Roman"/>
          <w:sz w:val="24"/>
          <w:szCs w:val="24"/>
        </w:rPr>
        <w:t>одготовлен</w:t>
      </w:r>
      <w:r>
        <w:rPr>
          <w:rFonts w:ascii="Times New Roman" w:hAnsi="Times New Roman" w:cs="Times New Roman"/>
          <w:sz w:val="24"/>
          <w:szCs w:val="24"/>
        </w:rPr>
        <w:t xml:space="preserve"> и направлен</w:t>
      </w:r>
      <w:r w:rsidRPr="00D5315E">
        <w:rPr>
          <w:rFonts w:ascii="Times New Roman" w:hAnsi="Times New Roman" w:cs="Times New Roman"/>
          <w:sz w:val="24"/>
          <w:szCs w:val="24"/>
        </w:rPr>
        <w:t xml:space="preserve"> на подписание Президенту Приднестровской Молдавской Республики проект Распоряжения Президента Приднестровской Молдавской Республики «О внесении поправок ко второму чтению проектов законов Приднестровской Молдавской Республики «О центральном банке Приднестровской Молдавской Республики» и «О банках и банковской деятельности». </w:t>
      </w:r>
    </w:p>
    <w:p w:rsidR="00635258" w:rsidRPr="00B35A31" w:rsidRDefault="00635258" w:rsidP="00131D2B">
      <w:pPr>
        <w:pStyle w:val="BodyText"/>
        <w:tabs>
          <w:tab w:val="left" w:pos="426"/>
        </w:tabs>
        <w:spacing w:before="0" w:after="0"/>
        <w:ind w:firstLine="425"/>
        <w:rPr>
          <w:rFonts w:ascii="Times New Roman" w:hAnsi="Times New Roman" w:cs="Times New Roman"/>
          <w:sz w:val="24"/>
          <w:szCs w:val="24"/>
        </w:rPr>
      </w:pPr>
      <w:r w:rsidRPr="00B35A31">
        <w:rPr>
          <w:rFonts w:ascii="Times New Roman" w:hAnsi="Times New Roman" w:cs="Times New Roman"/>
          <w:sz w:val="24"/>
          <w:szCs w:val="24"/>
        </w:rPr>
        <w:t>(Распоряжение Президента Приднестровской Молдавской Республики «О внесении поправок ко второму чтению проектов законов Приднестровской Молдавской Республики «О центральном банке Приднестровской Молдавской Республики» и «О банках и банковской деятельности» от 20 мая 2015 № 158рп (САЗ 15-21);</w:t>
      </w:r>
    </w:p>
    <w:p w:rsidR="00635258" w:rsidRPr="00B35A31" w:rsidRDefault="00635258" w:rsidP="00131D2B">
      <w:pPr>
        <w:pStyle w:val="Normal1"/>
        <w:spacing w:before="0" w:after="0"/>
        <w:ind w:firstLine="425"/>
        <w:jc w:val="both"/>
      </w:pPr>
      <w:r w:rsidRPr="00B35A31">
        <w:t xml:space="preserve">5) разработан проект Указа Президента Приднестровской Молдавской Республики «О внесении изменения в Указ Президента Приднестровской Молдавской Республики от </w:t>
      </w:r>
      <w:r>
        <w:br/>
      </w:r>
      <w:r w:rsidRPr="00B35A31">
        <w:t>27 сентября 2013 года №449 «Об утверждении на 2014-2016 годы Таможенного тарифа на товары, импортируемые на территорию Приднестровской Молдавской Республики, и Товарной номенклатуры, применяемой при осуществлении внешнеэкономической деятельности»;</w:t>
      </w:r>
    </w:p>
    <w:p w:rsidR="00635258" w:rsidRPr="00B35A31" w:rsidRDefault="00635258" w:rsidP="00131D2B">
      <w:pPr>
        <w:pStyle w:val="Normal1"/>
        <w:spacing w:before="0" w:after="0"/>
        <w:ind w:firstLine="425"/>
        <w:jc w:val="both"/>
      </w:pPr>
      <w:r w:rsidRPr="00B35A31">
        <w:t xml:space="preserve">6) </w:t>
      </w:r>
      <w:r>
        <w:t>р</w:t>
      </w:r>
      <w:r w:rsidRPr="00B35A31">
        <w:t>азработан проект Постановлени</w:t>
      </w:r>
      <w:r>
        <w:t>я</w:t>
      </w:r>
      <w:r w:rsidRPr="00B35A31">
        <w:t xml:space="preserve"> Правительства Приднестровской Молдавской Республики «О внесении изменения в Постановление Правительства Приднестровской Молдавской Республики от 26 февраля 2015 года № 40 «Об утверждении на 2015-2016 годы Таможенного тарифа на товары, импортируемые на территорию Приднестровской Молдавской Республики, и Товарной номенклатуры, применяемой при осуществлении внешнеэкономической деятельности». Проект направлен на закрепление возможности уплаты сумм таможенных пошлин, начисленных согласно таможенному тарифу, в долларах США, либо в евро, либо в рублях Приднестровской Молдавской Республики, в безналичной или наличной фо</w:t>
      </w:r>
      <w:r>
        <w:t>рме, с зачислением в полном объё</w:t>
      </w:r>
      <w:r w:rsidRPr="00B35A31">
        <w:t>ме в республиканский бюджет.</w:t>
      </w:r>
    </w:p>
    <w:p w:rsidR="00635258" w:rsidRPr="00D5315E" w:rsidRDefault="00635258" w:rsidP="00131D2B">
      <w:pPr>
        <w:pStyle w:val="Normal1"/>
        <w:spacing w:before="0" w:after="0"/>
        <w:ind w:firstLine="425"/>
        <w:jc w:val="both"/>
      </w:pPr>
      <w:r w:rsidRPr="00B35A31">
        <w:t xml:space="preserve">(Постановление Правительства Приднестровской Молдавской Республики «О внесении изменения в Постановление Правительства Приднестровской Молдавской Республики от </w:t>
      </w:r>
      <w:r>
        <w:br/>
      </w:r>
      <w:r w:rsidRPr="00B35A31">
        <w:t>26 февраля 2015 года № 40 «Об утверждении на 2015-2016 годы Таможенного тарифа на товары, импортируемые на территорию Приднестровской Молдавской Республики, и Товарной номенклатуры, применяемой при осуществлении внешнеэкономической деятельности» от 16</w:t>
      </w:r>
      <w:r>
        <w:t xml:space="preserve"> октября 2015 № 269 (САЗ 15-42);</w:t>
      </w:r>
    </w:p>
    <w:p w:rsidR="00635258" w:rsidRDefault="00635258" w:rsidP="00131D2B">
      <w:pPr>
        <w:pStyle w:val="Normal1"/>
        <w:spacing w:before="0" w:after="0"/>
        <w:ind w:firstLine="425"/>
        <w:jc w:val="both"/>
      </w:pPr>
      <w:r w:rsidRPr="00D5315E">
        <w:t>7) во исполнение</w:t>
      </w:r>
      <w:r>
        <w:t xml:space="preserve"> </w:t>
      </w:r>
      <w:r w:rsidRPr="00D5315E">
        <w:t>Постановления Правительства Приднестровской Молдавской Республики №182 от 13 июля 2015 года</w:t>
      </w:r>
      <w:r>
        <w:t xml:space="preserve"> </w:t>
      </w:r>
      <w:r w:rsidRPr="00D5315E">
        <w:t xml:space="preserve">«Об утверждении Концепции развития малого предпринимательства в Приднестровской Молдавской Республике на 2015-2020 годы»; </w:t>
      </w:r>
      <w:r>
        <w:t>р</w:t>
      </w:r>
      <w:r w:rsidRPr="00D5315E">
        <w:t>азработан проект Распоряжения Правительства Приднестровской Молдавской Республики «О проектах</w:t>
      </w:r>
      <w:r>
        <w:t xml:space="preserve"> </w:t>
      </w:r>
      <w:r w:rsidRPr="00D5315E">
        <w:t>закона Приднестровской Молдавской Республики «О микрофинансовой деятельности и микрофинансовых организациях» и закона Приднестровской Молдавской Республики «О</w:t>
      </w:r>
      <w:r>
        <w:t xml:space="preserve"> </w:t>
      </w:r>
      <w:r w:rsidRPr="00D5315E">
        <w:t>внесении изменений и дополнений</w:t>
      </w:r>
      <w:r>
        <w:t xml:space="preserve"> </w:t>
      </w:r>
      <w:r w:rsidRPr="00D5315E">
        <w:t>в некоторые законодательные акты Приднестровской Молдавской Республики</w:t>
      </w:r>
      <w:r>
        <w:t xml:space="preserve"> </w:t>
      </w:r>
      <w:r w:rsidRPr="00D5315E">
        <w:t>в связи с принятием Закона Приднестровской Молдавской Республики «О микрофинансовой деятельности и</w:t>
      </w:r>
      <w:r>
        <w:t xml:space="preserve"> микрофинансовых организациях»;</w:t>
      </w:r>
    </w:p>
    <w:p w:rsidR="00635258" w:rsidRDefault="00635258" w:rsidP="00131D2B">
      <w:pPr>
        <w:pStyle w:val="Normal1"/>
        <w:spacing w:before="0" w:after="0"/>
        <w:ind w:firstLine="425"/>
        <w:jc w:val="both"/>
      </w:pPr>
      <w:r w:rsidRPr="00D5315E">
        <w:t xml:space="preserve">8) </w:t>
      </w:r>
      <w:r>
        <w:t>р</w:t>
      </w:r>
      <w:r w:rsidRPr="00D5315E">
        <w:t>азработан проект Распоряжения Правительства Приднестровской Молдавской Республики «О проектах</w:t>
      </w:r>
      <w:r>
        <w:t xml:space="preserve"> </w:t>
      </w:r>
      <w:r w:rsidRPr="00D5315E">
        <w:t xml:space="preserve">закона Приднестровской Молдавской Республики «О потребительском кредите (займе)» и закона Приднестровской Молдавской Республики </w:t>
      </w:r>
      <w:r>
        <w:br/>
      </w:r>
      <w:r w:rsidRPr="00D5315E">
        <w:t>«О</w:t>
      </w:r>
      <w:r>
        <w:t xml:space="preserve"> </w:t>
      </w:r>
      <w:r w:rsidRPr="00D5315E">
        <w:t>внесении изменений и дополнений</w:t>
      </w:r>
      <w:r>
        <w:t xml:space="preserve"> </w:t>
      </w:r>
      <w:r w:rsidRPr="00D5315E">
        <w:t>в некоторые законодательные акты Приднестровской Молдавской Республики</w:t>
      </w:r>
      <w:r>
        <w:t xml:space="preserve"> </w:t>
      </w:r>
      <w:r w:rsidRPr="00D5315E">
        <w:t xml:space="preserve">в связи с принятием Закона Приднестровской Молдавской Республики «О потребительском кредите (займе)». </w:t>
      </w:r>
    </w:p>
    <w:p w:rsidR="00635258" w:rsidRPr="00932397" w:rsidRDefault="00635258" w:rsidP="00131D2B">
      <w:pPr>
        <w:pStyle w:val="Normal1"/>
        <w:spacing w:before="0" w:after="0"/>
        <w:ind w:firstLine="425"/>
        <w:jc w:val="both"/>
      </w:pPr>
      <w:r w:rsidRPr="00932397">
        <w:t xml:space="preserve">В 2015 году в процессе правового обеспечения деятельности Приднестровского республиканского банка рассматривались и направлялись в различные органы и организации письма разъяснительного характера и правовые заключения по вопросам, связанным с банковским законодательством, в том числе и по вопросам применения положений нормативных актов центрального банка. </w:t>
      </w:r>
    </w:p>
    <w:p w:rsidR="00635258" w:rsidRPr="00932397" w:rsidRDefault="00635258" w:rsidP="00131D2B">
      <w:pPr>
        <w:pStyle w:val="Normal1"/>
        <w:spacing w:before="0" w:after="0"/>
        <w:ind w:firstLine="425"/>
        <w:jc w:val="both"/>
      </w:pPr>
      <w:r w:rsidRPr="00932397">
        <w:t xml:space="preserve">В </w:t>
      </w:r>
      <w:r>
        <w:t>отчётном году</w:t>
      </w:r>
      <w:r w:rsidRPr="00932397">
        <w:t xml:space="preserve"> Приднестровским республиканским банком было подано в Арбитражный суд ПМР 19 заявлений. По существу Арбитражным судом ПМР было рассмотрено 17 дел по заявлениям Приднестровского </w:t>
      </w:r>
      <w:r>
        <w:t>р</w:t>
      </w:r>
      <w:r w:rsidRPr="00932397">
        <w:t xml:space="preserve">еспубликанского банка (4 дела по заявлениям 2014 года, 13 дел по заявлениям 2015 года), Тираспольским городским судом – </w:t>
      </w:r>
      <w:r>
        <w:br/>
      </w:r>
      <w:r w:rsidRPr="00932397">
        <w:t>1 дело, по которому ПРБ был привлеч</w:t>
      </w:r>
      <w:r>
        <w:t>ё</w:t>
      </w:r>
      <w:r w:rsidRPr="00932397">
        <w:t xml:space="preserve">н в качестве третьего лица. </w:t>
      </w:r>
    </w:p>
    <w:p w:rsidR="00635258" w:rsidRDefault="00635258" w:rsidP="00BF6E41">
      <w:pPr>
        <w:pStyle w:val="Normal1"/>
        <w:spacing w:before="0" w:after="0"/>
        <w:ind w:firstLine="425"/>
        <w:jc w:val="both"/>
      </w:pPr>
      <w:r w:rsidRPr="00932397">
        <w:t xml:space="preserve">Из 17 рассмотренных арбитражных дел по 15 делам вынесены решения об удовлетворении требований </w:t>
      </w:r>
      <w:r>
        <w:t>центрального банка</w:t>
      </w:r>
      <w:r w:rsidRPr="00932397">
        <w:t xml:space="preserve"> о привлечении к административной ответственности и н</w:t>
      </w:r>
      <w:r>
        <w:t>азначены наказания: по 5 делам –</w:t>
      </w:r>
      <w:r w:rsidRPr="00932397">
        <w:t xml:space="preserve"> в виде предупреждения, по 10 делам – в виде административного штрафа. По 2 делам</w:t>
      </w:r>
      <w:r>
        <w:t xml:space="preserve"> </w:t>
      </w:r>
      <w:r w:rsidRPr="00932397">
        <w:t>в требованиях о привлечении юридических лиц к административной ответств</w:t>
      </w:r>
      <w:r>
        <w:t>енности отказано (по 1 из них –</w:t>
      </w:r>
      <w:r w:rsidRPr="00932397">
        <w:t xml:space="preserve"> ввиду малозначительности объявлено устное замечание).</w:t>
      </w:r>
      <w:r w:rsidRPr="00BF6E41">
        <w:t xml:space="preserve"> </w:t>
      </w:r>
      <w:r>
        <w:t>Шесть</w:t>
      </w:r>
      <w:r w:rsidRPr="00932397">
        <w:t xml:space="preserve"> дел по поданным в </w:t>
      </w:r>
      <w:r>
        <w:t xml:space="preserve">отчётном </w:t>
      </w:r>
      <w:r w:rsidRPr="00932397">
        <w:t xml:space="preserve">году заявлениям </w:t>
      </w:r>
      <w:r>
        <w:t xml:space="preserve">по состоянию на конец отчётного периода </w:t>
      </w:r>
      <w:r w:rsidRPr="00932397">
        <w:t>наход</w:t>
      </w:r>
      <w:r>
        <w:t>ились</w:t>
      </w:r>
      <w:r w:rsidRPr="00932397">
        <w:t xml:space="preserve"> в стадии рассмотрения в Арбитражном суде ПМР. </w:t>
      </w:r>
    </w:p>
    <w:p w:rsidR="00635258" w:rsidRPr="00932397" w:rsidRDefault="00635258" w:rsidP="00131D2B">
      <w:pPr>
        <w:pStyle w:val="Normal1"/>
        <w:spacing w:before="0" w:after="0"/>
        <w:ind w:firstLine="425"/>
        <w:jc w:val="both"/>
      </w:pPr>
      <w:r w:rsidRPr="00932397">
        <w:t>Сумма штрафов, назначенных судом по инициированны</w:t>
      </w:r>
      <w:r>
        <w:t>м</w:t>
      </w:r>
      <w:r w:rsidRPr="00932397">
        <w:t xml:space="preserve"> </w:t>
      </w:r>
      <w:r>
        <w:t>Приднестровским республиканским банком</w:t>
      </w:r>
      <w:r w:rsidRPr="00932397">
        <w:t xml:space="preserve"> делам в 2015 году</w:t>
      </w:r>
      <w:r>
        <w:t>, составила 65 450 рублей</w:t>
      </w:r>
      <w:r w:rsidRPr="00932397">
        <w:t>.</w:t>
      </w:r>
    </w:p>
    <w:p w:rsidR="00635258" w:rsidRDefault="00635258" w:rsidP="00131D2B">
      <w:pPr>
        <w:spacing w:before="120"/>
        <w:ind w:left="11" w:firstLine="425"/>
        <w:jc w:val="both"/>
        <w:rPr>
          <w:i/>
          <w:iCs/>
          <w:sz w:val="24"/>
          <w:szCs w:val="24"/>
        </w:rPr>
      </w:pPr>
      <w:r w:rsidRPr="00B35A31">
        <w:rPr>
          <w:i/>
          <w:iCs/>
          <w:sz w:val="24"/>
          <w:szCs w:val="24"/>
        </w:rPr>
        <w:t>Контроль и внутренний аудит</w:t>
      </w:r>
    </w:p>
    <w:p w:rsidR="00635258" w:rsidRDefault="00635258" w:rsidP="00131D2B">
      <w:pPr>
        <w:spacing w:before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Pr="00C62AF3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деятельность центрального банка в сфере контроля и внутрибанковского аудита была направлена на повышение эффективности его функционирования. С этой целью в соответствии с утверждёнными председателем банка полугодовыми планами было проведено 17 проверок по различным направлениям деятельности. В процессе проверок оценивалась полнота выполнения структурными подразделениями центрального банка возложенных на них задач и функций, соблюдение ими требований, установленных действующим законодательством, а также выявлялись проблемные аспекты в их деятельности. </w:t>
      </w:r>
    </w:p>
    <w:p w:rsidR="00635258" w:rsidRPr="00F25AF3" w:rsidRDefault="00635258" w:rsidP="00131D2B">
      <w:pPr>
        <w:ind w:firstLine="425"/>
        <w:jc w:val="both"/>
        <w:rPr>
          <w:sz w:val="24"/>
          <w:szCs w:val="24"/>
        </w:rPr>
      </w:pPr>
      <w:r w:rsidRPr="00F70D5E">
        <w:rPr>
          <w:sz w:val="24"/>
          <w:szCs w:val="24"/>
        </w:rPr>
        <w:t xml:space="preserve">По результатам проверок было составлено </w:t>
      </w:r>
      <w:r w:rsidRPr="004913DA">
        <w:rPr>
          <w:sz w:val="24"/>
          <w:szCs w:val="24"/>
        </w:rPr>
        <w:t>5 а</w:t>
      </w:r>
      <w:r w:rsidRPr="00F70D5E">
        <w:rPr>
          <w:sz w:val="24"/>
          <w:szCs w:val="24"/>
        </w:rPr>
        <w:t>ктов, 9 справок</w:t>
      </w:r>
      <w:r>
        <w:rPr>
          <w:sz w:val="24"/>
          <w:szCs w:val="24"/>
        </w:rPr>
        <w:t xml:space="preserve"> (ввиду отсутствия нарушений)</w:t>
      </w:r>
      <w:r w:rsidRPr="00F70D5E">
        <w:rPr>
          <w:sz w:val="24"/>
          <w:szCs w:val="24"/>
        </w:rPr>
        <w:t xml:space="preserve"> и 2 заключения. Увеличение количества справок в отч</w:t>
      </w:r>
      <w:r>
        <w:rPr>
          <w:sz w:val="24"/>
          <w:szCs w:val="24"/>
        </w:rPr>
        <w:t>ё</w:t>
      </w:r>
      <w:r w:rsidRPr="00F70D5E">
        <w:rPr>
          <w:sz w:val="24"/>
          <w:szCs w:val="24"/>
        </w:rPr>
        <w:t>тном году свидетельствует о соблюдении проверенными структурными подразделениями банк</w:t>
      </w:r>
      <w:r>
        <w:rPr>
          <w:sz w:val="24"/>
          <w:szCs w:val="24"/>
        </w:rPr>
        <w:t>а действующего законодательства</w:t>
      </w:r>
      <w:r w:rsidRPr="00F70D5E">
        <w:rPr>
          <w:sz w:val="24"/>
          <w:szCs w:val="24"/>
        </w:rPr>
        <w:t>, нормативных актов ПРБ, улучшении качества работы и, как следствие, отсутствии существенных нарушений и недостатков в их деятельности.</w:t>
      </w:r>
      <w:r>
        <w:rPr>
          <w:sz w:val="24"/>
          <w:szCs w:val="24"/>
        </w:rPr>
        <w:t xml:space="preserve"> Также было </w:t>
      </w:r>
      <w:r w:rsidRPr="001B7DD6">
        <w:rPr>
          <w:sz w:val="24"/>
          <w:szCs w:val="24"/>
        </w:rPr>
        <w:t>представлено 23 вывода и 8 рекомендаций</w:t>
      </w:r>
      <w:r w:rsidRPr="00152247">
        <w:rPr>
          <w:sz w:val="24"/>
          <w:szCs w:val="24"/>
        </w:rPr>
        <w:t>, из них 8 выводов касались внесения изменений и дополнений в нормативные акты ПРБ, включая локальные распорядительные акты, 1 вывод и 1 рекомендация – внесения изменений и дополнений в должностные инструкции.</w:t>
      </w:r>
      <w:r>
        <w:rPr>
          <w:sz w:val="24"/>
          <w:szCs w:val="24"/>
        </w:rPr>
        <w:t xml:space="preserve"> Кроме того, информация о нарушениях и недостатках, выявленных в деятельности структурных подразделений, предоставлялась председателю банка с целью принятия соответствующих управленческих решений, направленных на их предотвращение.</w:t>
      </w:r>
    </w:p>
    <w:p w:rsidR="00635258" w:rsidRDefault="00635258" w:rsidP="00131D2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25AF3">
        <w:rPr>
          <w:sz w:val="24"/>
          <w:szCs w:val="24"/>
        </w:rPr>
        <w:t xml:space="preserve"> течение 201</w:t>
      </w:r>
      <w:r>
        <w:rPr>
          <w:sz w:val="24"/>
          <w:szCs w:val="24"/>
        </w:rPr>
        <w:t>5</w:t>
      </w:r>
      <w:r w:rsidRPr="00F25AF3">
        <w:rPr>
          <w:sz w:val="24"/>
          <w:szCs w:val="24"/>
        </w:rPr>
        <w:t xml:space="preserve"> года </w:t>
      </w:r>
      <w:r>
        <w:rPr>
          <w:sz w:val="24"/>
          <w:szCs w:val="24"/>
        </w:rPr>
        <w:t>за устранением выявленных нарушений и выполнением представленных рекомендаций</w:t>
      </w:r>
      <w:r w:rsidRPr="00F25A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постоянной основе </w:t>
      </w:r>
      <w:r w:rsidRPr="00F25AF3">
        <w:rPr>
          <w:sz w:val="24"/>
          <w:szCs w:val="24"/>
        </w:rPr>
        <w:t>осуществл</w:t>
      </w:r>
      <w:r>
        <w:rPr>
          <w:sz w:val="24"/>
          <w:szCs w:val="24"/>
        </w:rPr>
        <w:t xml:space="preserve">ялся мониторинг. </w:t>
      </w:r>
    </w:p>
    <w:p w:rsidR="00635258" w:rsidRPr="006E0C02" w:rsidRDefault="00635258" w:rsidP="00131D2B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отчётном году сотрудники управления контроля и внутрибанковского аудита в составе ревизионной комиссии принимали участие в проверке годовой финансовой отчётности ЗАО «Приднестровский Сберегательный банк».</w:t>
      </w:r>
    </w:p>
    <w:p w:rsidR="00635258" w:rsidRPr="00366082" w:rsidRDefault="00635258" w:rsidP="00131D2B">
      <w:pPr>
        <w:spacing w:before="120" w:after="120"/>
        <w:ind w:left="11" w:firstLine="425"/>
        <w:jc w:val="both"/>
        <w:rPr>
          <w:i/>
          <w:iCs/>
          <w:sz w:val="24"/>
          <w:szCs w:val="24"/>
        </w:rPr>
      </w:pPr>
      <w:r w:rsidRPr="00366082">
        <w:rPr>
          <w:i/>
          <w:iCs/>
          <w:sz w:val="24"/>
          <w:szCs w:val="24"/>
        </w:rPr>
        <w:t>Управление рисками банковских операций</w:t>
      </w:r>
    </w:p>
    <w:p w:rsidR="00635258" w:rsidRPr="00C972E2" w:rsidRDefault="00635258" w:rsidP="00131D2B">
      <w:pPr>
        <w:ind w:firstLine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целях исполнения рекомендаций внешних аудиторов </w:t>
      </w:r>
      <w:r w:rsidRPr="00174FA4">
        <w:rPr>
          <w:sz w:val="24"/>
          <w:szCs w:val="24"/>
        </w:rPr>
        <w:t>Приднестровск</w:t>
      </w:r>
      <w:r>
        <w:rPr>
          <w:sz w:val="24"/>
          <w:szCs w:val="24"/>
        </w:rPr>
        <w:t>им</w:t>
      </w:r>
      <w:r w:rsidRPr="00174FA4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им</w:t>
      </w:r>
      <w:r w:rsidRPr="00174FA4">
        <w:rPr>
          <w:sz w:val="24"/>
          <w:szCs w:val="24"/>
        </w:rPr>
        <w:t xml:space="preserve"> банк</w:t>
      </w:r>
      <w:r>
        <w:rPr>
          <w:sz w:val="24"/>
          <w:szCs w:val="24"/>
        </w:rPr>
        <w:t>ом в 2015 году</w:t>
      </w:r>
      <w:r w:rsidRPr="00D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была проведена работа по совершенствованию нормативной базы, регламентирующей порядок проведения анализа рисков понесения потерь при </w:t>
      </w:r>
      <w:r w:rsidRPr="00D06CC8"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операций. П</w:t>
      </w:r>
      <w:r w:rsidRPr="005C247C">
        <w:rPr>
          <w:sz w:val="24"/>
          <w:szCs w:val="24"/>
        </w:rPr>
        <w:t xml:space="preserve">ри </w:t>
      </w:r>
      <w:r w:rsidRPr="00C972E2">
        <w:rPr>
          <w:sz w:val="24"/>
          <w:szCs w:val="24"/>
        </w:rPr>
        <w:t xml:space="preserve">разработке </w:t>
      </w:r>
      <w:r>
        <w:rPr>
          <w:sz w:val="24"/>
          <w:szCs w:val="24"/>
        </w:rPr>
        <w:t xml:space="preserve">данной </w:t>
      </w:r>
      <w:r w:rsidRPr="00C972E2">
        <w:rPr>
          <w:sz w:val="24"/>
          <w:szCs w:val="24"/>
        </w:rPr>
        <w:t>системы методологической основой</w:t>
      </w:r>
      <w:r>
        <w:rPr>
          <w:sz w:val="24"/>
          <w:szCs w:val="24"/>
        </w:rPr>
        <w:t xml:space="preserve"> </w:t>
      </w:r>
      <w:r w:rsidRPr="00C972E2">
        <w:rPr>
          <w:sz w:val="24"/>
          <w:szCs w:val="24"/>
        </w:rPr>
        <w:t>явились действующее законодательство</w:t>
      </w:r>
      <w:r>
        <w:rPr>
          <w:sz w:val="24"/>
          <w:szCs w:val="24"/>
        </w:rPr>
        <w:t xml:space="preserve"> </w:t>
      </w:r>
      <w:r w:rsidRPr="00C972E2">
        <w:rPr>
          <w:sz w:val="24"/>
          <w:szCs w:val="24"/>
        </w:rPr>
        <w:t>Российской Федерации в данной области</w:t>
      </w:r>
      <w:r w:rsidRPr="005376DD">
        <w:rPr>
          <w:sz w:val="24"/>
          <w:szCs w:val="24"/>
        </w:rPr>
        <w:t xml:space="preserve">, а также консультации со специалистами Центрального банка Российской Федерации по вопросам формирования </w:t>
      </w:r>
      <w:r w:rsidRPr="00C972E2">
        <w:rPr>
          <w:color w:val="000000"/>
          <w:sz w:val="24"/>
          <w:szCs w:val="24"/>
        </w:rPr>
        <w:t>резервов, проведения оценки финансового положе</w:t>
      </w:r>
      <w:r>
        <w:rPr>
          <w:color w:val="000000"/>
          <w:sz w:val="24"/>
          <w:szCs w:val="24"/>
        </w:rPr>
        <w:t>ния контрагента и иным вопросам</w:t>
      </w:r>
      <w:r w:rsidRPr="00C972E2">
        <w:rPr>
          <w:color w:val="000000"/>
          <w:sz w:val="24"/>
          <w:szCs w:val="24"/>
        </w:rPr>
        <w:t>.</w:t>
      </w:r>
    </w:p>
    <w:p w:rsidR="00635258" w:rsidRPr="00C972E2" w:rsidRDefault="00635258" w:rsidP="00131D2B">
      <w:pPr>
        <w:ind w:firstLine="425"/>
        <w:jc w:val="both"/>
        <w:rPr>
          <w:color w:val="000000"/>
          <w:sz w:val="24"/>
          <w:szCs w:val="24"/>
        </w:rPr>
      </w:pPr>
      <w:r w:rsidRPr="00C972E2">
        <w:rPr>
          <w:color w:val="000000"/>
          <w:sz w:val="24"/>
          <w:szCs w:val="24"/>
        </w:rPr>
        <w:t>В результате</w:t>
      </w:r>
      <w:r>
        <w:rPr>
          <w:color w:val="000000"/>
          <w:sz w:val="24"/>
          <w:szCs w:val="24"/>
        </w:rPr>
        <w:t xml:space="preserve"> </w:t>
      </w:r>
      <w:r w:rsidRPr="00C972E2">
        <w:rPr>
          <w:color w:val="000000"/>
          <w:sz w:val="24"/>
          <w:szCs w:val="24"/>
        </w:rPr>
        <w:t>провед</w:t>
      </w:r>
      <w:r>
        <w:rPr>
          <w:color w:val="000000"/>
          <w:sz w:val="24"/>
          <w:szCs w:val="24"/>
        </w:rPr>
        <w:t>ё</w:t>
      </w:r>
      <w:r w:rsidRPr="00C972E2">
        <w:rPr>
          <w:color w:val="000000"/>
          <w:sz w:val="24"/>
          <w:szCs w:val="24"/>
        </w:rPr>
        <w:t>нной работы вступил в силу внутренний нормативный акт</w:t>
      </w:r>
      <w:r>
        <w:rPr>
          <w:color w:val="000000"/>
          <w:sz w:val="24"/>
          <w:szCs w:val="24"/>
        </w:rPr>
        <w:t xml:space="preserve"> </w:t>
      </w:r>
      <w:r w:rsidRPr="00C972E2">
        <w:rPr>
          <w:color w:val="000000"/>
          <w:sz w:val="24"/>
          <w:szCs w:val="24"/>
        </w:rPr>
        <w:t xml:space="preserve">Приднестровского республиканского банка, регламентирующий порядок проведения оценки рисков возможных потерь, составления профессиональных суждений, формирования (восстановления) и использования Приднестровским республиканским банком резервов на возможные потери. </w:t>
      </w:r>
      <w:r>
        <w:rPr>
          <w:color w:val="000000"/>
          <w:sz w:val="24"/>
          <w:szCs w:val="24"/>
        </w:rPr>
        <w:t>К</w:t>
      </w:r>
      <w:r w:rsidRPr="00C972E2">
        <w:rPr>
          <w:color w:val="000000"/>
          <w:sz w:val="24"/>
          <w:szCs w:val="24"/>
        </w:rPr>
        <w:t>лючевыми моментами данного акта стали:</w:t>
      </w:r>
    </w:p>
    <w:p w:rsidR="00635258" w:rsidRPr="00C972E2" w:rsidRDefault="00635258" w:rsidP="00131D2B">
      <w:pPr>
        <w:ind w:firstLine="425"/>
        <w:jc w:val="both"/>
        <w:rPr>
          <w:color w:val="000000"/>
          <w:sz w:val="24"/>
          <w:szCs w:val="24"/>
        </w:rPr>
      </w:pPr>
      <w:r w:rsidRPr="00C972E2"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</w:t>
      </w:r>
      <w:r w:rsidRPr="00C972E2">
        <w:rPr>
          <w:color w:val="000000"/>
          <w:sz w:val="24"/>
          <w:szCs w:val="24"/>
        </w:rPr>
        <w:t>внедрение углублённого анализа кредитных организаций-нерезидентов, в том числе</w:t>
      </w:r>
      <w:r>
        <w:rPr>
          <w:color w:val="000000"/>
          <w:sz w:val="24"/>
          <w:szCs w:val="24"/>
        </w:rPr>
        <w:t xml:space="preserve"> </w:t>
      </w:r>
      <w:r w:rsidRPr="00C972E2">
        <w:rPr>
          <w:color w:val="000000"/>
          <w:sz w:val="24"/>
          <w:szCs w:val="24"/>
        </w:rPr>
        <w:t>проведение оценки их финансового положения с целью определения целесообразности установления корреспондентских отношений;</w:t>
      </w:r>
    </w:p>
    <w:p w:rsidR="00635258" w:rsidRPr="00C972E2" w:rsidRDefault="00635258" w:rsidP="00131D2B">
      <w:pPr>
        <w:ind w:firstLine="425"/>
        <w:jc w:val="both"/>
        <w:rPr>
          <w:color w:val="000000"/>
          <w:sz w:val="24"/>
          <w:szCs w:val="24"/>
        </w:rPr>
      </w:pPr>
      <w:r w:rsidRPr="00C972E2">
        <w:rPr>
          <w:color w:val="000000"/>
          <w:sz w:val="24"/>
          <w:szCs w:val="24"/>
        </w:rPr>
        <w:t>б) процедура оценки рисков понесения потерь проводится</w:t>
      </w:r>
      <w:r>
        <w:rPr>
          <w:color w:val="000000"/>
          <w:sz w:val="24"/>
          <w:szCs w:val="24"/>
        </w:rPr>
        <w:t xml:space="preserve"> </w:t>
      </w:r>
      <w:r w:rsidRPr="00C972E2">
        <w:rPr>
          <w:color w:val="000000"/>
          <w:sz w:val="24"/>
          <w:szCs w:val="24"/>
        </w:rPr>
        <w:t>по всем активам</w:t>
      </w:r>
      <w:r>
        <w:rPr>
          <w:color w:val="000000"/>
          <w:sz w:val="24"/>
          <w:szCs w:val="24"/>
        </w:rPr>
        <w:t xml:space="preserve"> </w:t>
      </w:r>
      <w:r w:rsidRPr="00C972E2">
        <w:rPr>
          <w:color w:val="000000"/>
          <w:sz w:val="24"/>
          <w:szCs w:val="24"/>
        </w:rPr>
        <w:t>(требованиям)</w:t>
      </w:r>
      <w:r>
        <w:rPr>
          <w:color w:val="000000"/>
          <w:sz w:val="24"/>
          <w:szCs w:val="24"/>
        </w:rPr>
        <w:t xml:space="preserve"> </w:t>
      </w:r>
      <w:r w:rsidRPr="00C972E2">
        <w:rPr>
          <w:color w:val="000000"/>
          <w:sz w:val="24"/>
          <w:szCs w:val="24"/>
        </w:rPr>
        <w:t>Приднестровского республиканского банка, в том числе по остаткам средств на корреспондентских счетах в кредитных организациях;</w:t>
      </w:r>
    </w:p>
    <w:p w:rsidR="00635258" w:rsidRPr="00C972E2" w:rsidRDefault="00635258" w:rsidP="00131D2B">
      <w:pPr>
        <w:ind w:firstLine="425"/>
        <w:jc w:val="both"/>
        <w:rPr>
          <w:color w:val="000000"/>
          <w:sz w:val="24"/>
          <w:szCs w:val="24"/>
        </w:rPr>
      </w:pPr>
      <w:r w:rsidRPr="00C972E2">
        <w:rPr>
          <w:color w:val="000000"/>
          <w:sz w:val="24"/>
          <w:szCs w:val="24"/>
        </w:rPr>
        <w:t>в) введение новой унифицированной формы профессионального суждения вне зависимости от типа контрагента.</w:t>
      </w:r>
    </w:p>
    <w:p w:rsidR="00635258" w:rsidRPr="00963D62" w:rsidRDefault="00635258" w:rsidP="00131D2B">
      <w:pPr>
        <w:ind w:firstLine="425"/>
        <w:jc w:val="both"/>
        <w:rPr>
          <w:strike/>
          <w:color w:val="000000"/>
          <w:sz w:val="24"/>
          <w:szCs w:val="24"/>
        </w:rPr>
      </w:pPr>
      <w:r w:rsidRPr="00963D62">
        <w:rPr>
          <w:color w:val="000000"/>
          <w:sz w:val="24"/>
          <w:szCs w:val="24"/>
        </w:rPr>
        <w:t>Кроме этого</w:t>
      </w:r>
      <w:r>
        <w:rPr>
          <w:color w:val="000000"/>
          <w:sz w:val="24"/>
          <w:szCs w:val="24"/>
        </w:rPr>
        <w:t>,</w:t>
      </w:r>
      <w:r w:rsidRPr="00963D62">
        <w:rPr>
          <w:color w:val="000000"/>
          <w:sz w:val="24"/>
          <w:szCs w:val="24"/>
        </w:rPr>
        <w:t xml:space="preserve"> был принят внутренний нормативный акт Приднестровского республиканского банка, регламентирующий порядок взаимодействия структурных подразделений в рамках системы анализа рисков понесения потерь.</w:t>
      </w:r>
    </w:p>
    <w:p w:rsidR="00635258" w:rsidRPr="00C972E2" w:rsidRDefault="00635258" w:rsidP="00131D2B">
      <w:pPr>
        <w:pStyle w:val="ListParagraph1"/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D62">
        <w:rPr>
          <w:rFonts w:ascii="Times New Roman" w:hAnsi="Times New Roman" w:cs="Times New Roman"/>
          <w:color w:val="000000"/>
          <w:sz w:val="24"/>
          <w:szCs w:val="24"/>
        </w:rPr>
        <w:t>Внедрённые изменения нормативной базы позволили:</w:t>
      </w:r>
    </w:p>
    <w:p w:rsidR="00635258" w:rsidRPr="00C972E2" w:rsidRDefault="00635258" w:rsidP="00131D2B">
      <w:pPr>
        <w:pStyle w:val="ListParagraph1"/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2E2">
        <w:rPr>
          <w:rFonts w:ascii="Times New Roman" w:hAnsi="Times New Roman" w:cs="Times New Roman"/>
          <w:color w:val="000000"/>
          <w:sz w:val="24"/>
          <w:szCs w:val="24"/>
        </w:rPr>
        <w:t>а) проводить углублённую и объективную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2E2">
        <w:rPr>
          <w:rFonts w:ascii="Times New Roman" w:hAnsi="Times New Roman" w:cs="Times New Roman"/>
          <w:color w:val="000000"/>
          <w:sz w:val="24"/>
          <w:szCs w:val="24"/>
        </w:rPr>
        <w:t>оценку финансового положения кредитных организаций-контрагентов Приднестровского республиканского банка;</w:t>
      </w:r>
    </w:p>
    <w:p w:rsidR="00635258" w:rsidRPr="00C972E2" w:rsidRDefault="00635258" w:rsidP="00131D2B">
      <w:pPr>
        <w:pStyle w:val="ListParagraph1"/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2E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принимать решения о формировании резервов в адекватном объёме</w:t>
      </w:r>
      <w:r w:rsidRPr="00C972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5258" w:rsidRPr="005376DD" w:rsidRDefault="00635258" w:rsidP="00131D2B">
      <w:pPr>
        <w:pStyle w:val="ListParagraph1"/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2E2">
        <w:rPr>
          <w:rFonts w:ascii="Times New Roman" w:hAnsi="Times New Roman" w:cs="Times New Roman"/>
          <w:color w:val="000000"/>
          <w:sz w:val="24"/>
          <w:szCs w:val="24"/>
        </w:rPr>
        <w:t>в) провести ч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C972E2">
        <w:rPr>
          <w:rFonts w:ascii="Times New Roman" w:hAnsi="Times New Roman" w:cs="Times New Roman"/>
          <w:color w:val="000000"/>
          <w:sz w:val="24"/>
          <w:szCs w:val="24"/>
        </w:rPr>
        <w:t>ткое разграничение функций структурных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6DD">
        <w:rPr>
          <w:rFonts w:ascii="Times New Roman" w:hAnsi="Times New Roman" w:cs="Times New Roman"/>
          <w:snapToGrid w:val="0"/>
          <w:sz w:val="24"/>
          <w:szCs w:val="24"/>
        </w:rPr>
        <w:t>подразделений;</w:t>
      </w:r>
    </w:p>
    <w:p w:rsidR="00635258" w:rsidRPr="005376DD" w:rsidRDefault="00635258" w:rsidP="00131D2B">
      <w:pPr>
        <w:pStyle w:val="ListParagraph1"/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76DD">
        <w:rPr>
          <w:rFonts w:ascii="Times New Roman" w:hAnsi="Times New Roman" w:cs="Times New Roman"/>
          <w:snapToGrid w:val="0"/>
          <w:sz w:val="24"/>
          <w:szCs w:val="24"/>
        </w:rPr>
        <w:t>г) оптимизировать документооборот.</w:t>
      </w:r>
    </w:p>
    <w:p w:rsidR="00635258" w:rsidRPr="00C952ED" w:rsidRDefault="00635258" w:rsidP="00131D2B">
      <w:pPr>
        <w:spacing w:before="120" w:after="120"/>
        <w:ind w:left="11" w:firstLine="425"/>
        <w:jc w:val="both"/>
        <w:rPr>
          <w:i/>
          <w:iCs/>
          <w:sz w:val="24"/>
          <w:szCs w:val="24"/>
        </w:rPr>
      </w:pPr>
      <w:r w:rsidRPr="00C952ED">
        <w:rPr>
          <w:i/>
          <w:iCs/>
          <w:sz w:val="24"/>
          <w:szCs w:val="24"/>
        </w:rPr>
        <w:t xml:space="preserve">Информационно-разъяснительная деятельность </w:t>
      </w:r>
    </w:p>
    <w:p w:rsidR="00635258" w:rsidRDefault="00635258" w:rsidP="00131D2B">
      <w:pPr>
        <w:pStyle w:val="Default"/>
        <w:ind w:firstLine="425"/>
        <w:jc w:val="both"/>
        <w:rPr>
          <w:color w:val="auto"/>
        </w:rPr>
      </w:pPr>
      <w:r w:rsidRPr="00733956">
        <w:rPr>
          <w:color w:val="auto"/>
        </w:rPr>
        <w:t xml:space="preserve">Для освещения направлений деятельности </w:t>
      </w:r>
      <w:r w:rsidRPr="00ED6DE1">
        <w:t>Приднестровск</w:t>
      </w:r>
      <w:r>
        <w:t>ого</w:t>
      </w:r>
      <w:r w:rsidRPr="00ED6DE1">
        <w:t xml:space="preserve"> республиканск</w:t>
      </w:r>
      <w:r>
        <w:t>ого банка</w:t>
      </w:r>
      <w:r w:rsidRPr="00ED6DE1">
        <w:t xml:space="preserve"> </w:t>
      </w:r>
      <w:r w:rsidRPr="00733956">
        <w:rPr>
          <w:color w:val="auto"/>
        </w:rPr>
        <w:t>по реализации задач</w:t>
      </w:r>
      <w:r>
        <w:rPr>
          <w:color w:val="auto"/>
        </w:rPr>
        <w:t xml:space="preserve"> и функций, закреплённых в Законе Приднестровской Молдавской Республики «О центральном банке ПМР»</w:t>
      </w:r>
      <w:r w:rsidRPr="00733956">
        <w:rPr>
          <w:color w:val="auto"/>
        </w:rPr>
        <w:t xml:space="preserve">, </w:t>
      </w:r>
      <w:r>
        <w:rPr>
          <w:color w:val="auto"/>
        </w:rPr>
        <w:t>в отчётном году проводилась большая информационно-разъяснительная</w:t>
      </w:r>
      <w:r w:rsidRPr="00733956">
        <w:rPr>
          <w:color w:val="auto"/>
        </w:rPr>
        <w:t xml:space="preserve"> работ</w:t>
      </w:r>
      <w:r>
        <w:rPr>
          <w:color w:val="auto"/>
        </w:rPr>
        <w:t>а</w:t>
      </w:r>
      <w:r w:rsidRPr="00733956">
        <w:rPr>
          <w:color w:val="auto"/>
        </w:rPr>
        <w:t xml:space="preserve">. </w:t>
      </w:r>
    </w:p>
    <w:p w:rsidR="00635258" w:rsidRDefault="00635258" w:rsidP="00131D2B">
      <w:pPr>
        <w:pStyle w:val="Default"/>
        <w:ind w:firstLine="425"/>
        <w:jc w:val="both"/>
        <w:rPr>
          <w:color w:val="auto"/>
        </w:rPr>
      </w:pPr>
      <w:r w:rsidRPr="00733956">
        <w:rPr>
          <w:color w:val="auto"/>
        </w:rPr>
        <w:t>За 201</w:t>
      </w:r>
      <w:r>
        <w:rPr>
          <w:color w:val="auto"/>
        </w:rPr>
        <w:t>5</w:t>
      </w:r>
      <w:r w:rsidRPr="00733956">
        <w:rPr>
          <w:color w:val="auto"/>
        </w:rPr>
        <w:t xml:space="preserve"> год </w:t>
      </w:r>
      <w:r>
        <w:t xml:space="preserve">в </w:t>
      </w:r>
      <w:r w:rsidRPr="00B94683">
        <w:t>газет</w:t>
      </w:r>
      <w:r>
        <w:t>е</w:t>
      </w:r>
      <w:r w:rsidRPr="00B94683">
        <w:t xml:space="preserve"> «Приднестровье»</w:t>
      </w:r>
      <w:r>
        <w:t xml:space="preserve"> было </w:t>
      </w:r>
      <w:r w:rsidRPr="00733956">
        <w:rPr>
          <w:color w:val="auto"/>
        </w:rPr>
        <w:t>опубликовано</w:t>
      </w:r>
      <w:r>
        <w:rPr>
          <w:color w:val="auto"/>
        </w:rPr>
        <w:t xml:space="preserve"> 36</w:t>
      </w:r>
      <w:r w:rsidRPr="00733956">
        <w:rPr>
          <w:color w:val="auto"/>
        </w:rPr>
        <w:t xml:space="preserve"> пресс-релизов, </w:t>
      </w:r>
      <w:r w:rsidRPr="00B94683">
        <w:t>10 информационно-познавательных статей</w:t>
      </w:r>
      <w:r w:rsidRPr="007C1818">
        <w:t xml:space="preserve"> </w:t>
      </w:r>
      <w:r>
        <w:t xml:space="preserve">из </w:t>
      </w:r>
      <w:r w:rsidRPr="00B94683">
        <w:t>сери</w:t>
      </w:r>
      <w:r>
        <w:t>и</w:t>
      </w:r>
      <w:r w:rsidRPr="00B94683">
        <w:t xml:space="preserve"> очерков «О самых необычных деньгах России и мира»</w:t>
      </w:r>
      <w:r>
        <w:t>.</w:t>
      </w:r>
      <w:r w:rsidRPr="00761AAC">
        <w:t xml:space="preserve"> </w:t>
      </w:r>
      <w:r w:rsidRPr="00DD6468">
        <w:t>Что касается взаимодействия со средствами массовой информации</w:t>
      </w:r>
      <w:r>
        <w:t>,</w:t>
      </w:r>
      <w:r w:rsidRPr="00DD6468">
        <w:t xml:space="preserve"> в эфире Первого </w:t>
      </w:r>
      <w:r>
        <w:t>приднестровского</w:t>
      </w:r>
      <w:r w:rsidRPr="00DD6468">
        <w:t xml:space="preserve"> телеканала</w:t>
      </w:r>
      <w:r>
        <w:t xml:space="preserve"> показано </w:t>
      </w:r>
      <w:r w:rsidRPr="00B94683">
        <w:t>4 видеосюжета</w:t>
      </w:r>
      <w:r w:rsidRPr="00761AAC">
        <w:t xml:space="preserve"> </w:t>
      </w:r>
      <w:r w:rsidRPr="00B94683">
        <w:t>о новых выпусках памятных монет</w:t>
      </w:r>
      <w:r>
        <w:t>,</w:t>
      </w:r>
      <w:r w:rsidRPr="00761AAC">
        <w:t xml:space="preserve"> </w:t>
      </w:r>
      <w:r w:rsidRPr="00B94683">
        <w:t xml:space="preserve">в прямом эфире «Радио 1» </w:t>
      </w:r>
      <w:r w:rsidRPr="00DD6468">
        <w:t>прозвучало 2 тематических сообщени</w:t>
      </w:r>
      <w:r>
        <w:t>я.</w:t>
      </w:r>
    </w:p>
    <w:p w:rsidR="00635258" w:rsidRPr="00956717" w:rsidRDefault="00635258" w:rsidP="00131D2B">
      <w:pPr>
        <w:pStyle w:val="BodyText"/>
        <w:spacing w:before="0" w:after="0"/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Pr="002F71C3">
        <w:rPr>
          <w:rFonts w:ascii="Times New Roman" w:hAnsi="Times New Roman" w:cs="Times New Roman"/>
          <w:color w:val="000000"/>
          <w:sz w:val="24"/>
          <w:szCs w:val="24"/>
        </w:rPr>
        <w:t>значимых мероприятий, направленных на формирование положительного имиджа Приднестровского республиканского банка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F71C3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целом</w:t>
      </w:r>
      <w:r w:rsidRPr="002F7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рубежом</w:t>
      </w:r>
      <w:r w:rsidRPr="002F71C3">
        <w:rPr>
          <w:rFonts w:ascii="Times New Roman" w:hAnsi="Times New Roman" w:cs="Times New Roman"/>
          <w:color w:val="000000"/>
          <w:sz w:val="24"/>
          <w:szCs w:val="24"/>
        </w:rPr>
        <w:t>, является участие в шестой Международной конференции и выставке монет «COINS-2015». В 2015 году была 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ована также масштабная</w:t>
      </w:r>
      <w:r w:rsidRPr="002F71C3">
        <w:rPr>
          <w:rFonts w:ascii="Times New Roman" w:hAnsi="Times New Roman" w:cs="Times New Roman"/>
          <w:color w:val="000000"/>
          <w:sz w:val="24"/>
          <w:szCs w:val="24"/>
        </w:rPr>
        <w:t xml:space="preserve"> выездн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F71C3">
        <w:rPr>
          <w:rFonts w:ascii="Times New Roman" w:hAnsi="Times New Roman" w:cs="Times New Roman"/>
          <w:color w:val="000000"/>
          <w:sz w:val="24"/>
          <w:szCs w:val="24"/>
        </w:rPr>
        <w:t xml:space="preserve"> выставка памятных монет ПРБ 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71C3">
        <w:rPr>
          <w:rFonts w:ascii="Times New Roman" w:hAnsi="Times New Roman" w:cs="Times New Roman"/>
          <w:color w:val="000000"/>
          <w:sz w:val="24"/>
          <w:szCs w:val="24"/>
        </w:rPr>
        <w:t>г. Сухум, по итогам которой был снят телевизионны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F71C3">
        <w:rPr>
          <w:rFonts w:ascii="Times New Roman" w:hAnsi="Times New Roman" w:cs="Times New Roman"/>
          <w:color w:val="000000"/>
          <w:sz w:val="24"/>
          <w:szCs w:val="24"/>
        </w:rPr>
        <w:t xml:space="preserve"> фильм,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транслировав</w:t>
      </w:r>
      <w:r w:rsidRPr="002F71C3">
        <w:rPr>
          <w:rFonts w:ascii="Times New Roman" w:hAnsi="Times New Roman" w:cs="Times New Roman"/>
          <w:color w:val="000000"/>
          <w:sz w:val="24"/>
          <w:szCs w:val="24"/>
        </w:rPr>
        <w:t>шийся в эфире Первого приднестровского телеканала.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Важным событием в расширении информированности международного сообщества о Приднестровской Молдавской Республике в целом стало участие в </w:t>
      </w:r>
      <w:r w:rsidRPr="00956717">
        <w:rPr>
          <w:rFonts w:ascii="Times New Roman" w:hAnsi="Times New Roman" w:cs="Times New Roman"/>
          <w:color w:val="000000"/>
          <w:sz w:val="24"/>
          <w:szCs w:val="24"/>
        </w:rPr>
        <w:t>Шест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56717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56717">
        <w:rPr>
          <w:rFonts w:ascii="Times New Roman" w:hAnsi="Times New Roman" w:cs="Times New Roman"/>
          <w:color w:val="000000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56717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6717">
        <w:rPr>
          <w:rFonts w:ascii="Times New Roman" w:hAnsi="Times New Roman" w:cs="Times New Roman"/>
          <w:color w:val="000000"/>
          <w:sz w:val="24"/>
          <w:szCs w:val="24"/>
        </w:rPr>
        <w:t xml:space="preserve"> по защищённой печати «Watermark Conference-2015»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конкурсной программе которой приднестровские монеты из композитных материалов, выпущенные впервые в мире Приднестровским республиканским банком в августе 2014 года, стали </w:t>
      </w:r>
      <w:r w:rsidRPr="00956717">
        <w:rPr>
          <w:rFonts w:ascii="Times New Roman" w:hAnsi="Times New Roman" w:cs="Times New Roman"/>
          <w:color w:val="000000"/>
          <w:sz w:val="24"/>
          <w:szCs w:val="24"/>
        </w:rPr>
        <w:t>победителем в категории «Модификации субстрата для денежных знаков».</w:t>
      </w:r>
      <w:r w:rsidRPr="007C614E">
        <w:rPr>
          <w:rFonts w:ascii="Times New Roman" w:hAnsi="Times New Roman" w:cs="Times New Roman"/>
          <w:color w:val="000000"/>
          <w:sz w:val="24"/>
          <w:szCs w:val="24"/>
        </w:rPr>
        <w:t xml:space="preserve"> На известном российском интернет-портале «Золотой червонец» были опубликованы 10 тематических информационных релизов о памятных монетах ПРБ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614E">
        <w:rPr>
          <w:rFonts w:ascii="Times New Roman" w:hAnsi="Times New Roman" w:cs="Times New Roman"/>
          <w:color w:val="000000"/>
          <w:sz w:val="24"/>
          <w:szCs w:val="24"/>
        </w:rPr>
        <w:t>в российском журнале «Водяной знак»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C614E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hAnsi="Times New Roman" w:cs="Times New Roman"/>
          <w:color w:val="000000"/>
          <w:sz w:val="24"/>
          <w:szCs w:val="24"/>
        </w:rPr>
        <w:t>подобных</w:t>
      </w:r>
      <w:r w:rsidRPr="007C614E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сообщений.</w:t>
      </w:r>
    </w:p>
    <w:p w:rsidR="00635258" w:rsidRPr="00866FB6" w:rsidRDefault="00635258" w:rsidP="00131D2B">
      <w:pPr>
        <w:pStyle w:val="BodyText"/>
        <w:spacing w:before="0" w:after="0"/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761AAC">
        <w:rPr>
          <w:rFonts w:ascii="Times New Roman" w:hAnsi="Times New Roman" w:cs="Times New Roman"/>
          <w:color w:val="000000"/>
          <w:sz w:val="24"/>
          <w:szCs w:val="24"/>
        </w:rPr>
        <w:t>Ещё одним направлен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ием информационной деятельности</w:t>
      </w:r>
      <w:r w:rsidRPr="00761AAC">
        <w:rPr>
          <w:rFonts w:ascii="Times New Roman" w:hAnsi="Times New Roman" w:cs="Times New Roman"/>
          <w:color w:val="000000"/>
          <w:sz w:val="24"/>
          <w:szCs w:val="24"/>
        </w:rPr>
        <w:t xml:space="preserve"> являлась работа по содержательному и своевременному наполнению официального веб-сайта ПРБ</w:t>
      </w:r>
      <w:r w:rsidRPr="00866FB6">
        <w:rPr>
          <w:rFonts w:ascii="Times New Roman" w:hAnsi="Times New Roman" w:cs="Times New Roman"/>
          <w:color w:val="000000"/>
          <w:sz w:val="24"/>
          <w:szCs w:val="24"/>
        </w:rPr>
        <w:t>. В 2015 году был создан новый, отвечающий всем современным навигационным и дизайнерским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6FB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 </w:t>
      </w:r>
      <w:r w:rsidRPr="00761AAC">
        <w:rPr>
          <w:rFonts w:ascii="Times New Roman" w:hAnsi="Times New Roman" w:cs="Times New Roman"/>
          <w:color w:val="000000"/>
          <w:sz w:val="24"/>
          <w:szCs w:val="24"/>
        </w:rPr>
        <w:t>веб-сайт</w:t>
      </w:r>
      <w:r w:rsidRPr="00866FB6">
        <w:rPr>
          <w:rFonts w:ascii="Times New Roman" w:hAnsi="Times New Roman" w:cs="Times New Roman"/>
          <w:color w:val="000000"/>
          <w:sz w:val="24"/>
          <w:szCs w:val="24"/>
        </w:rPr>
        <w:t xml:space="preserve"> с повышенной степенью современной защиты, адаптированный к базе данных старой версии.</w:t>
      </w:r>
      <w:r w:rsidRPr="00761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6FB6">
        <w:rPr>
          <w:rFonts w:ascii="Times New Roman" w:hAnsi="Times New Roman" w:cs="Times New Roman"/>
          <w:color w:val="000000"/>
          <w:sz w:val="24"/>
          <w:szCs w:val="24"/>
        </w:rPr>
        <w:t>Для интерактивной связи с населением республики и ответов на наиболее часто задаваемые вопросы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6FB6">
        <w:rPr>
          <w:rFonts w:ascii="Times New Roman" w:hAnsi="Times New Roman" w:cs="Times New Roman"/>
          <w:color w:val="000000"/>
          <w:sz w:val="24"/>
          <w:szCs w:val="24"/>
        </w:rPr>
        <w:t>была создана рубрика «Вопрос-ответ»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66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отчётном году на официальном сайте центрального банка был</w:t>
      </w:r>
      <w:r w:rsidRPr="00866FB6">
        <w:rPr>
          <w:rFonts w:ascii="Times New Roman" w:hAnsi="Times New Roman" w:cs="Times New Roman"/>
          <w:color w:val="000000"/>
          <w:sz w:val="24"/>
          <w:szCs w:val="24"/>
        </w:rPr>
        <w:t xml:space="preserve"> размещён 81 пресс-релиз.</w:t>
      </w:r>
    </w:p>
    <w:p w:rsidR="00635258" w:rsidRPr="002879A6" w:rsidRDefault="00635258" w:rsidP="00131D2B">
      <w:pPr>
        <w:pStyle w:val="BodyTextIndent"/>
        <w:spacing w:after="0"/>
        <w:ind w:left="0" w:firstLine="425"/>
        <w:jc w:val="both"/>
        <w:rPr>
          <w:color w:val="000000"/>
          <w:sz w:val="24"/>
          <w:szCs w:val="24"/>
        </w:rPr>
      </w:pPr>
      <w:r w:rsidRPr="00B26317">
        <w:rPr>
          <w:color w:val="000000"/>
          <w:sz w:val="24"/>
          <w:szCs w:val="24"/>
        </w:rPr>
        <w:t xml:space="preserve">Материалы </w:t>
      </w:r>
      <w:r>
        <w:rPr>
          <w:color w:val="000000"/>
          <w:sz w:val="24"/>
          <w:szCs w:val="24"/>
        </w:rPr>
        <w:t xml:space="preserve">Приднестровского республиканского банка </w:t>
      </w:r>
      <w:r w:rsidRPr="00B26317">
        <w:rPr>
          <w:color w:val="000000"/>
          <w:sz w:val="24"/>
          <w:szCs w:val="24"/>
        </w:rPr>
        <w:t>со ссылкой на первоисточник регулярно публиковались на сайт</w:t>
      </w:r>
      <w:r>
        <w:rPr>
          <w:color w:val="000000"/>
          <w:sz w:val="24"/>
          <w:szCs w:val="24"/>
        </w:rPr>
        <w:t>ах</w:t>
      </w:r>
      <w:r w:rsidRPr="00B26317">
        <w:rPr>
          <w:color w:val="000000"/>
          <w:sz w:val="24"/>
          <w:szCs w:val="24"/>
        </w:rPr>
        <w:t xml:space="preserve"> официального информагентства «Новости Приднестровья» и «Вести ПМР». В общей сложности этими масс-медиа было опубликовано 30 пресс-релизов</w:t>
      </w:r>
      <w:r>
        <w:rPr>
          <w:color w:val="000000"/>
          <w:sz w:val="24"/>
          <w:szCs w:val="24"/>
        </w:rPr>
        <w:t>.</w:t>
      </w:r>
      <w:r w:rsidRPr="00B26317">
        <w:rPr>
          <w:color w:val="000000"/>
          <w:sz w:val="24"/>
          <w:szCs w:val="24"/>
        </w:rPr>
        <w:t xml:space="preserve"> </w:t>
      </w:r>
    </w:p>
    <w:p w:rsidR="00635258" w:rsidRPr="002140A7" w:rsidRDefault="00635258" w:rsidP="00285194">
      <w:pPr>
        <w:ind w:left="11" w:right="7" w:firstLine="425"/>
        <w:jc w:val="both"/>
        <w:rPr>
          <w:sz w:val="24"/>
          <w:szCs w:val="24"/>
        </w:rPr>
      </w:pPr>
      <w:r w:rsidRPr="002140A7">
        <w:rPr>
          <w:sz w:val="24"/>
          <w:szCs w:val="24"/>
        </w:rPr>
        <w:t>В 2015 году пут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м публикаций и интервью Приднестровским республиканским банком освещались в средствах массовой информации вопросы развития безналичных расч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тов. Данная деятельность направлена на популяризацию использования в расч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тах современных электронных плат</w:t>
      </w:r>
      <w:r>
        <w:rPr>
          <w:sz w:val="24"/>
          <w:szCs w:val="24"/>
        </w:rPr>
        <w:t>ё</w:t>
      </w:r>
      <w:r w:rsidRPr="002140A7">
        <w:rPr>
          <w:sz w:val="24"/>
          <w:szCs w:val="24"/>
        </w:rPr>
        <w:t>жных инструментов и средств платежа, систем дистанционного банковского обслуживания.</w:t>
      </w:r>
    </w:p>
    <w:p w:rsidR="00635258" w:rsidRDefault="00635258" w:rsidP="00131D2B">
      <w:pPr>
        <w:ind w:firstLine="426"/>
        <w:jc w:val="both"/>
        <w:rPr>
          <w:color w:val="000000"/>
          <w:sz w:val="24"/>
          <w:szCs w:val="24"/>
        </w:rPr>
      </w:pPr>
      <w:r w:rsidRPr="00761AAC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15</w:t>
      </w:r>
      <w:r w:rsidRPr="00761AAC">
        <w:rPr>
          <w:color w:val="000000"/>
          <w:sz w:val="24"/>
          <w:szCs w:val="24"/>
        </w:rPr>
        <w:t xml:space="preserve"> году продолжилась публикация ежемесячного издания Банка информационно-аналитического журнала </w:t>
      </w:r>
      <w:r>
        <w:rPr>
          <w:color w:val="000000"/>
          <w:sz w:val="24"/>
          <w:szCs w:val="24"/>
        </w:rPr>
        <w:t>«</w:t>
      </w:r>
      <w:r w:rsidRPr="00761AAC">
        <w:rPr>
          <w:color w:val="000000"/>
          <w:sz w:val="24"/>
          <w:szCs w:val="24"/>
        </w:rPr>
        <w:t>Вестник Приднестровского республиканского банка</w:t>
      </w:r>
      <w:r>
        <w:rPr>
          <w:color w:val="000000"/>
          <w:sz w:val="24"/>
          <w:szCs w:val="24"/>
        </w:rPr>
        <w:t>»</w:t>
      </w:r>
      <w:r w:rsidRPr="00761AAC">
        <w:rPr>
          <w:color w:val="000000"/>
          <w:sz w:val="24"/>
          <w:szCs w:val="24"/>
        </w:rPr>
        <w:t>, в котором размещались наиболее актуальные и подробные аналитические материалы о состоянии и развитии банковской системы Приднестровской Молдавской Республики, денежно-кредитной сферы, отражалась ситуация в основных секторах экономики, публиковались результаты макроэкономических исследований, мониторинга предприятий республики</w:t>
      </w:r>
      <w:r>
        <w:rPr>
          <w:color w:val="000000"/>
          <w:sz w:val="24"/>
          <w:szCs w:val="24"/>
        </w:rPr>
        <w:t>,</w:t>
      </w:r>
      <w:r w:rsidRPr="00761AAC">
        <w:rPr>
          <w:color w:val="000000"/>
          <w:sz w:val="24"/>
          <w:szCs w:val="24"/>
        </w:rPr>
        <w:t xml:space="preserve"> данные платёжного баланса, банковская статистика и другая обзорная информация.</w:t>
      </w:r>
    </w:p>
    <w:p w:rsidR="00635258" w:rsidRDefault="00635258" w:rsidP="00131D2B">
      <w:pPr>
        <w:ind w:firstLine="426"/>
        <w:jc w:val="both"/>
        <w:rPr>
          <w:color w:val="000000"/>
          <w:sz w:val="24"/>
          <w:szCs w:val="24"/>
        </w:rPr>
      </w:pPr>
    </w:p>
    <w:p w:rsidR="00635258" w:rsidRPr="00761AAC" w:rsidRDefault="00635258" w:rsidP="00131D2B">
      <w:pPr>
        <w:ind w:firstLine="426"/>
        <w:jc w:val="both"/>
        <w:rPr>
          <w:color w:val="000000"/>
          <w:sz w:val="24"/>
          <w:szCs w:val="24"/>
        </w:rPr>
      </w:pPr>
    </w:p>
    <w:p w:rsidR="00635258" w:rsidRDefault="00635258" w:rsidP="00867C1F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  <w:r w:rsidRPr="000D082A">
        <w:rPr>
          <w:b/>
          <w:bCs/>
          <w:noProof/>
          <w:sz w:val="28"/>
          <w:szCs w:val="28"/>
        </w:rPr>
        <w:t xml:space="preserve">РАЗДЕЛ </w:t>
      </w:r>
      <w:r>
        <w:rPr>
          <w:b/>
          <w:bCs/>
          <w:noProof/>
          <w:sz w:val="28"/>
          <w:szCs w:val="28"/>
        </w:rPr>
        <w:t xml:space="preserve">3. </w:t>
      </w:r>
      <w:r w:rsidRPr="00FD21E2">
        <w:rPr>
          <w:b/>
          <w:bCs/>
          <w:noProof/>
          <w:sz w:val="28"/>
          <w:szCs w:val="28"/>
        </w:rPr>
        <w:t>ОСНОВНЫЕ МЕРОПРИЯТИЯ</w:t>
      </w:r>
      <w:r>
        <w:rPr>
          <w:b/>
          <w:bCs/>
          <w:noProof/>
          <w:sz w:val="28"/>
          <w:szCs w:val="28"/>
        </w:rPr>
        <w:t xml:space="preserve"> И НОРМАТИВНО-ПРАВОВЫЕ АКТЫ</w:t>
      </w:r>
      <w:r w:rsidRPr="00FD21E2">
        <w:rPr>
          <w:b/>
          <w:bCs/>
          <w:noProof/>
          <w:sz w:val="28"/>
          <w:szCs w:val="28"/>
        </w:rPr>
        <w:t xml:space="preserve"> ПРИДНЕСТРОВСКОГО РЕСПУБЛИКАНСКОГО БАНКА, </w:t>
      </w:r>
      <w:r>
        <w:rPr>
          <w:b/>
          <w:bCs/>
          <w:noProof/>
          <w:sz w:val="28"/>
          <w:szCs w:val="28"/>
        </w:rPr>
        <w:t>ПРИНЯТЫЕ</w:t>
      </w:r>
      <w:r w:rsidRPr="00FD21E2">
        <w:rPr>
          <w:b/>
          <w:bCs/>
          <w:noProof/>
          <w:sz w:val="28"/>
          <w:szCs w:val="28"/>
        </w:rPr>
        <w:t xml:space="preserve"> В 201</w:t>
      </w:r>
      <w:r>
        <w:rPr>
          <w:b/>
          <w:bCs/>
          <w:noProof/>
          <w:sz w:val="28"/>
          <w:szCs w:val="28"/>
        </w:rPr>
        <w:t>5</w:t>
      </w:r>
      <w:r w:rsidRPr="00FD21E2">
        <w:rPr>
          <w:b/>
          <w:bCs/>
          <w:noProof/>
          <w:sz w:val="28"/>
          <w:szCs w:val="28"/>
        </w:rPr>
        <w:t xml:space="preserve"> ГОДУ</w:t>
      </w:r>
    </w:p>
    <w:p w:rsidR="00635258" w:rsidRPr="006F3BAF" w:rsidRDefault="00635258" w:rsidP="00AD69DD">
      <w:pPr>
        <w:spacing w:before="120"/>
        <w:ind w:firstLine="425"/>
        <w:jc w:val="both"/>
        <w:rPr>
          <w:i/>
          <w:iCs/>
          <w:sz w:val="24"/>
          <w:szCs w:val="24"/>
        </w:rPr>
      </w:pPr>
      <w:r w:rsidRPr="006B60FB">
        <w:rPr>
          <w:i/>
          <w:iCs/>
          <w:sz w:val="24"/>
          <w:szCs w:val="24"/>
        </w:rPr>
        <w:t>В сфере регулирования и надзора кредитных организаций</w:t>
      </w:r>
      <w:r>
        <w:rPr>
          <w:i/>
          <w:iCs/>
          <w:sz w:val="24"/>
          <w:szCs w:val="24"/>
        </w:rPr>
        <w:t>:</w:t>
      </w:r>
    </w:p>
    <w:p w:rsidR="00635258" w:rsidRPr="00B96837" w:rsidRDefault="00635258" w:rsidP="00897612">
      <w:pPr>
        <w:autoSpaceDE w:val="0"/>
        <w:autoSpaceDN w:val="0"/>
        <w:adjustRightInd w:val="0"/>
        <w:spacing w:before="120"/>
        <w:ind w:firstLine="425"/>
        <w:jc w:val="both"/>
        <w:rPr>
          <w:snapToGrid w:val="0"/>
          <w:sz w:val="24"/>
          <w:szCs w:val="24"/>
        </w:rPr>
      </w:pPr>
      <w:r w:rsidRPr="00B96837">
        <w:rPr>
          <w:snapToGrid w:val="0"/>
          <w:sz w:val="24"/>
          <w:szCs w:val="24"/>
        </w:rPr>
        <w:t>1. Указание Приднестровского республиканского банка от 4 февраля 2015 года № 832-У «О внесении изменений и дополнений в Положение Приднестровского республиканского банка от 25 апреля 2007 года № 72-П «О порядке эмиссии банковских карт и об операциях, совершаемых с использованием платёжных карт» (Регистрационный № 7020 от 13 февраля 2015 года);</w:t>
      </w:r>
    </w:p>
    <w:p w:rsidR="00635258" w:rsidRDefault="00635258" w:rsidP="00B96837">
      <w:pPr>
        <w:pStyle w:val="Normal1"/>
        <w:spacing w:before="0" w:after="0"/>
        <w:ind w:firstLine="425"/>
        <w:jc w:val="both"/>
      </w:pPr>
      <w:r>
        <w:t>2.</w:t>
      </w:r>
      <w:r w:rsidRPr="006B60FB">
        <w:t xml:space="preserve"> Указание Приднестровского республиканского банка от 18 февраля 2015 года</w:t>
      </w:r>
      <w:r>
        <w:t xml:space="preserve"> №</w:t>
      </w:r>
      <w:r w:rsidRPr="006B60FB">
        <w:t xml:space="preserve"> 834-У «О внесении дополнения в Положение Приднестровского республиканского банка от </w:t>
      </w:r>
      <w:r>
        <w:br/>
      </w:r>
      <w:r w:rsidRPr="006B60FB">
        <w:t xml:space="preserve">21 ноября 2006 года </w:t>
      </w:r>
      <w:r>
        <w:t>№</w:t>
      </w:r>
      <w:r w:rsidRPr="006B60FB">
        <w:t xml:space="preserve"> 71-П «О внутренних структурных подразделениях (отделениях) банка и небанковской кредитной организации» (</w:t>
      </w:r>
      <w:r>
        <w:t>Р</w:t>
      </w:r>
      <w:r w:rsidRPr="006B60FB">
        <w:t xml:space="preserve">егистрационный </w:t>
      </w:r>
      <w:r>
        <w:t>№ 7059 от 18 марта 2015 года)</w:t>
      </w:r>
      <w:r w:rsidRPr="006B60FB">
        <w:t>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>
        <w:t>3.</w:t>
      </w:r>
      <w:r w:rsidRPr="006B60FB">
        <w:t xml:space="preserve"> Указание Приднестровского республиканского банка от 11 марта 2015 года</w:t>
      </w:r>
      <w:r>
        <w:t xml:space="preserve"> №</w:t>
      </w:r>
      <w:r w:rsidRPr="006B60FB">
        <w:t xml:space="preserve"> 837-У «О внесении изменений в Положение Приднестровского республиканского банка от 9 ноября 2007 года </w:t>
      </w:r>
      <w:r>
        <w:t>№</w:t>
      </w:r>
      <w:r w:rsidRPr="006B60FB">
        <w:t xml:space="preserve"> 83-П «О кредитных организациях, осуществляющих отдельные банковские операции» (Регистрационный </w:t>
      </w:r>
      <w:r>
        <w:t>№ 7073 от 2 апреля 2015 года)</w:t>
      </w:r>
      <w:r w:rsidRPr="006B60FB">
        <w:t>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4</w:t>
      </w:r>
      <w:r>
        <w:t>.</w:t>
      </w:r>
      <w:r w:rsidRPr="006B60FB">
        <w:t xml:space="preserve"> Указание Приднестровского республиканского банка от 23 марта 2015 года</w:t>
      </w:r>
      <w:r>
        <w:t xml:space="preserve"> №</w:t>
      </w:r>
      <w:r w:rsidRPr="006B60FB">
        <w:t xml:space="preserve"> 838-У «Об установлении нормативов обязательных резервов»</w:t>
      </w:r>
      <w:r>
        <w:t xml:space="preserve"> </w:t>
      </w:r>
      <w:r w:rsidRPr="006B60FB">
        <w:t xml:space="preserve">(Регистрационный </w:t>
      </w:r>
      <w:r>
        <w:t xml:space="preserve">№ 7066 от </w:t>
      </w:r>
      <w:r>
        <w:br/>
        <w:t>31 марта 2015 года)</w:t>
      </w:r>
      <w:r w:rsidRPr="006B60FB">
        <w:t xml:space="preserve">; 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5</w:t>
      </w:r>
      <w:r>
        <w:t>.</w:t>
      </w:r>
      <w:r w:rsidRPr="006B60FB">
        <w:t xml:space="preserve"> Указание Приднестровского республиканского банка от 8 мая 2015 года </w:t>
      </w:r>
      <w:r>
        <w:t>№</w:t>
      </w:r>
      <w:r w:rsidRPr="006B60FB">
        <w:t xml:space="preserve"> 844-У «О внесении изменений в Положение Приднестровского республиканского банка от 10 ноября 2009 года </w:t>
      </w:r>
      <w:r>
        <w:t>№</w:t>
      </w:r>
      <w:r w:rsidRPr="006B60FB">
        <w:t xml:space="preserve"> 91-П «О порядке формирования и использования кредитными организациями фонда риска» (Регистрационный </w:t>
      </w:r>
      <w:r>
        <w:t>№ 7138 от 3 июня 2015 года)</w:t>
      </w:r>
      <w:r w:rsidRPr="006B60FB">
        <w:t xml:space="preserve">; 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6</w:t>
      </w:r>
      <w:r>
        <w:t>.</w:t>
      </w:r>
      <w:r w:rsidRPr="006B60FB">
        <w:t xml:space="preserve"> Указание Приднестровского республиканск</w:t>
      </w:r>
      <w:r>
        <w:t>ого банка от 9 июня 2015 года №</w:t>
      </w:r>
      <w:r w:rsidRPr="006B60FB">
        <w:t xml:space="preserve"> 847-У «О внесении изменений и дополнений в Положение Приднестровского республиканского банка от 26 июня 2007 года </w:t>
      </w:r>
      <w:r>
        <w:t>№</w:t>
      </w:r>
      <w:r w:rsidRPr="006B60FB">
        <w:t xml:space="preserve"> 78-П «Об осуществлении банками операций с драгоценными металлами» (Регистрационный </w:t>
      </w:r>
      <w:r>
        <w:t>№</w:t>
      </w:r>
      <w:r w:rsidRPr="006B60FB">
        <w:t xml:space="preserve"> </w:t>
      </w:r>
      <w:r>
        <w:t>7160 от 24 июня 2015 года</w:t>
      </w:r>
      <w:r w:rsidRPr="006B60FB">
        <w:t xml:space="preserve">); 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7</w:t>
      </w:r>
      <w:r>
        <w:t>.</w:t>
      </w:r>
      <w:r w:rsidRPr="006B60FB">
        <w:t xml:space="preserve"> Указание Приднестровского республиканс</w:t>
      </w:r>
      <w:r>
        <w:t>кого банка от 15 июня 2015 года №</w:t>
      </w:r>
      <w:r w:rsidRPr="006B60FB">
        <w:t xml:space="preserve"> 851-У «О внесении дополнения в Положение Приднестровского республиканского банка от </w:t>
      </w:r>
      <w:r>
        <w:br/>
      </w:r>
      <w:r w:rsidRPr="006B60FB">
        <w:t xml:space="preserve">25 апреля 2007 года </w:t>
      </w:r>
      <w:r>
        <w:t>№</w:t>
      </w:r>
      <w:r w:rsidRPr="006B60FB">
        <w:t xml:space="preserve"> 72-П «О порядке эмиссии банковских карт и об операциях, совершаемых с использованием плат</w:t>
      </w:r>
      <w:r>
        <w:t>ё</w:t>
      </w:r>
      <w:r w:rsidRPr="006B60FB">
        <w:t>жных карт» (</w:t>
      </w:r>
      <w:r>
        <w:t>Р</w:t>
      </w:r>
      <w:r w:rsidRPr="006B60FB">
        <w:t xml:space="preserve">егистрационный </w:t>
      </w:r>
      <w:r>
        <w:t>№</w:t>
      </w:r>
      <w:r w:rsidRPr="006B60FB">
        <w:t xml:space="preserve"> </w:t>
      </w:r>
      <w:r>
        <w:t xml:space="preserve">7169 от 8 июля </w:t>
      </w:r>
      <w:r>
        <w:br/>
        <w:t>2015 года</w:t>
      </w:r>
      <w:r w:rsidRPr="006B60FB">
        <w:t xml:space="preserve">); 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8</w:t>
      </w:r>
      <w:r>
        <w:t>.</w:t>
      </w:r>
      <w:r w:rsidRPr="006B60FB">
        <w:t xml:space="preserve"> Указание Приднестровского республиканск</w:t>
      </w:r>
      <w:r>
        <w:t>ого банка от 25 июня 2015 года №</w:t>
      </w:r>
      <w:r w:rsidRPr="006B60FB">
        <w:t xml:space="preserve"> 855-У «О внесении изменений в Инструкцию Приднестровского республиканского банка от </w:t>
      </w:r>
      <w:r>
        <w:br/>
      </w:r>
      <w:r w:rsidRPr="006B60FB">
        <w:t xml:space="preserve">12 ноября 2002 года </w:t>
      </w:r>
      <w:r>
        <w:t>№</w:t>
      </w:r>
      <w:r w:rsidRPr="006B60FB">
        <w:t xml:space="preserve"> 9-И «О безналичных расч</w:t>
      </w:r>
      <w:r>
        <w:t>ё</w:t>
      </w:r>
      <w:r w:rsidRPr="006B60FB">
        <w:t xml:space="preserve">тах в Приднестровской Молдавской Республике» (Регистрационный </w:t>
      </w:r>
      <w:r>
        <w:t>№ 7194 от 30 июля 2015 года)</w:t>
      </w:r>
      <w:r w:rsidRPr="006B60FB">
        <w:t xml:space="preserve">; 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9</w:t>
      </w:r>
      <w:r>
        <w:t>.</w:t>
      </w:r>
      <w:r w:rsidRPr="006B60FB">
        <w:t xml:space="preserve"> Указание Приднестровского республиканско</w:t>
      </w:r>
      <w:r>
        <w:t>го банка от 16 июля 2015 года №</w:t>
      </w:r>
      <w:r w:rsidRPr="006B60FB">
        <w:t xml:space="preserve"> 859-У «О внесении изменений и дополнений в Положение Приднестровского республиканского банка от 10 ноября 2009 года </w:t>
      </w:r>
      <w:r>
        <w:t>№</w:t>
      </w:r>
      <w:r w:rsidRPr="006B60FB">
        <w:t xml:space="preserve"> 91-П «О порядке формирования и использования кредитными организациями фонда риска» (Регистрационный </w:t>
      </w:r>
      <w:r>
        <w:t xml:space="preserve">№ 7210 от 13 августа </w:t>
      </w:r>
      <w:r>
        <w:br/>
        <w:t>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10</w:t>
      </w:r>
      <w:r>
        <w:t>.</w:t>
      </w:r>
      <w:r w:rsidRPr="006B60FB">
        <w:t xml:space="preserve"> Указание Приднестровского республиканс</w:t>
      </w:r>
      <w:r>
        <w:t>кого банка от 30 июля 2015 года №</w:t>
      </w:r>
      <w:r w:rsidRPr="006B60FB">
        <w:t xml:space="preserve"> 863-У «О внесении изменений и дополнений в Положение Приднестровского республиканского банка от 9 февраля 2011 года </w:t>
      </w:r>
      <w:r>
        <w:t>№</w:t>
      </w:r>
      <w:r w:rsidRPr="006B60FB">
        <w:t xml:space="preserve"> 102-П «О порядке формирования и использования кредитными организациями фонда риска по прочим операциям» (Регистрационный </w:t>
      </w:r>
      <w:r>
        <w:t>№ 7240 от 28 августа 2015 года</w:t>
      </w:r>
      <w:r w:rsidRPr="006B60FB">
        <w:t>);</w:t>
      </w:r>
    </w:p>
    <w:p w:rsidR="00635258" w:rsidRDefault="00635258" w:rsidP="00795BC1">
      <w:pPr>
        <w:pStyle w:val="Normal1"/>
        <w:spacing w:before="0" w:after="0"/>
        <w:ind w:firstLine="425"/>
        <w:jc w:val="both"/>
      </w:pPr>
      <w:r w:rsidRPr="006B60FB">
        <w:t>11</w:t>
      </w:r>
      <w:r>
        <w:t>.</w:t>
      </w:r>
      <w:r w:rsidRPr="006B60FB">
        <w:t xml:space="preserve"> Указание Приднестровского республиканского</w:t>
      </w:r>
      <w:r>
        <w:t xml:space="preserve"> банка от 4 августа 2015 года</w:t>
      </w:r>
      <w:r w:rsidRPr="006B60FB">
        <w:t xml:space="preserve"> </w:t>
      </w:r>
      <w:r>
        <w:t>№</w:t>
      </w:r>
      <w:r w:rsidRPr="006B60FB">
        <w:t xml:space="preserve"> 864-У «Об установлении нормативов обязательных резервов»</w:t>
      </w:r>
      <w:r>
        <w:t xml:space="preserve"> </w:t>
      </w:r>
      <w:r w:rsidRPr="006B60FB">
        <w:t xml:space="preserve">(Регистрационный </w:t>
      </w:r>
      <w:r>
        <w:t xml:space="preserve">№ 7228 от </w:t>
      </w:r>
      <w:r>
        <w:br/>
        <w:t>24 августа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12</w:t>
      </w:r>
      <w:r>
        <w:t>.</w:t>
      </w:r>
      <w:r w:rsidRPr="006B60FB">
        <w:t xml:space="preserve"> Указание Приднестровского республиканского банка от 4 августа 2015 года </w:t>
      </w:r>
      <w:r>
        <w:t>№</w:t>
      </w:r>
      <w:r w:rsidRPr="006B60FB">
        <w:t xml:space="preserve"> 865-У «О внесении изменения в Указание Приднестровского республиканского банка от 28 июня 2011 года </w:t>
      </w:r>
      <w:r>
        <w:t>№</w:t>
      </w:r>
      <w:r w:rsidRPr="006B60FB">
        <w:t xml:space="preserve"> 462-У «Об установлении ставки страховых взносов в страховые фонды» (Регистрационный </w:t>
      </w:r>
      <w:r>
        <w:t>№ 7230 от 24 августа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>
        <w:t>1</w:t>
      </w:r>
      <w:r w:rsidRPr="006B60FB">
        <w:t>3</w:t>
      </w:r>
      <w:r>
        <w:t>.</w:t>
      </w:r>
      <w:r w:rsidRPr="006B60FB">
        <w:t xml:space="preserve"> Указание Приднестровского республиканского банка от 20 августа 2015 года</w:t>
      </w:r>
      <w:r>
        <w:t xml:space="preserve"> </w:t>
      </w:r>
      <w:r>
        <w:br/>
        <w:t>№</w:t>
      </w:r>
      <w:r w:rsidRPr="006B60FB">
        <w:t xml:space="preserve"> 867-У «О внесении изменений в Инструкцию Приднестровского республиканского банка от 12 ноября 2002 года </w:t>
      </w:r>
      <w:r>
        <w:t>№</w:t>
      </w:r>
      <w:r w:rsidRPr="006B60FB">
        <w:t xml:space="preserve"> 9-И «О безналичных расч</w:t>
      </w:r>
      <w:r>
        <w:t>ё</w:t>
      </w:r>
      <w:r w:rsidRPr="006B60FB">
        <w:t xml:space="preserve">тах в Приднестровской Молдавской Республике» </w:t>
      </w:r>
      <w:r>
        <w:t>(</w:t>
      </w:r>
      <w:r w:rsidRPr="006B60FB">
        <w:t xml:space="preserve">Регистрационный </w:t>
      </w:r>
      <w:r>
        <w:t>№ 7247 от 23 сентября</w:t>
      </w:r>
      <w:r w:rsidRPr="004B430D">
        <w:t xml:space="preserve">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>
        <w:t>1</w:t>
      </w:r>
      <w:r w:rsidRPr="006B60FB">
        <w:t>4</w:t>
      </w:r>
      <w:r>
        <w:t>.</w:t>
      </w:r>
      <w:r w:rsidRPr="006B60FB">
        <w:t xml:space="preserve"> Указание Приднестровского республиканского банка от 21 октября 2015 года </w:t>
      </w:r>
      <w:r>
        <w:br/>
        <w:t>№</w:t>
      </w:r>
      <w:r w:rsidRPr="006B60FB">
        <w:t xml:space="preserve"> 871-У «Об отмене Инструкции Приднестровского республиканского банка от 21 октября 1997 года «Об отзыве лицензии на осуществление банковских операций у банков и иных кредитных организаций»;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15</w:t>
      </w:r>
      <w:r>
        <w:t>.</w:t>
      </w:r>
      <w:r w:rsidRPr="006B60FB">
        <w:t xml:space="preserve"> Указание Приднестровского республиканского банка от 28 октября 2015 года </w:t>
      </w:r>
      <w:r>
        <w:br/>
        <w:t>№</w:t>
      </w:r>
      <w:r w:rsidRPr="006B60FB">
        <w:t xml:space="preserve"> 873-У «О порядке осуществления платежей за импорт товаров, работ, услуг по договорам, заключаемым кредитными организациями Приднестровской Молдавской Республики, согласно Постановлению Правительства Приднестровской Молдавской Республики от </w:t>
      </w:r>
      <w:r>
        <w:br/>
      </w:r>
      <w:r w:rsidRPr="006B60FB">
        <w:t xml:space="preserve">7 октября 2015 года </w:t>
      </w:r>
      <w:r>
        <w:t>№</w:t>
      </w:r>
      <w:r w:rsidRPr="006B60FB">
        <w:t xml:space="preserve"> 253 «Об оперативных мерах регулирования импорта отдельных товаров, работ, услуг на территорию Приднестровской Молдавской Республики»</w:t>
      </w:r>
      <w:r w:rsidRPr="00795BC1">
        <w:t xml:space="preserve"> </w:t>
      </w:r>
      <w:r>
        <w:t>(</w:t>
      </w:r>
      <w:r w:rsidRPr="006B60FB">
        <w:t xml:space="preserve">Регистрационный </w:t>
      </w:r>
      <w:r>
        <w:t>№ 7307 от 14 декабря</w:t>
      </w:r>
      <w:r w:rsidRPr="004B430D">
        <w:t xml:space="preserve">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16</w:t>
      </w:r>
      <w:r>
        <w:t>.</w:t>
      </w:r>
      <w:r w:rsidRPr="006B60FB">
        <w:t xml:space="preserve"> Указание Приднестровского республиканского банка от 3 ноябр</w:t>
      </w:r>
      <w:r>
        <w:t>я 2015 года №</w:t>
      </w:r>
      <w:r w:rsidRPr="006B60FB">
        <w:t xml:space="preserve"> 875-У «О внесении изменений и дополнения в Положение Приднестровского республиканского банка от 13 сентября 2006 года </w:t>
      </w:r>
      <w:r>
        <w:t>№</w:t>
      </w:r>
      <w:r w:rsidRPr="006B60FB">
        <w:t xml:space="preserve"> 68-П «О порядке формирования банками Приднестровской Молдавской Республики страховых фондов» (Регистрационный </w:t>
      </w:r>
      <w:r>
        <w:t xml:space="preserve">№ 7298 от 9 декабря </w:t>
      </w:r>
      <w:r>
        <w:br/>
        <w:t>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17</w:t>
      </w:r>
      <w:r>
        <w:t>.</w:t>
      </w:r>
      <w:r w:rsidRPr="006B60FB">
        <w:t xml:space="preserve"> Указание Приднестровского республиканского банка от 17 ноября 2015 года</w:t>
      </w:r>
      <w:r>
        <w:t xml:space="preserve"> </w:t>
      </w:r>
      <w:r>
        <w:br/>
        <w:t>№</w:t>
      </w:r>
      <w:r w:rsidRPr="006B60FB">
        <w:t xml:space="preserve"> 878-У «О внесении изменений и дополнения в Положение Приднестровского республиканского банка от 14 августа 2007 года </w:t>
      </w:r>
      <w:r>
        <w:t>№</w:t>
      </w:r>
      <w:r w:rsidRPr="006B60FB">
        <w:t xml:space="preserve"> 80-П «Об обязательных резервах кредитных организаций» (Регистрационный </w:t>
      </w:r>
      <w:r>
        <w:t>№ 7304 от 10 декабря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18</w:t>
      </w:r>
      <w:r>
        <w:t>.</w:t>
      </w:r>
      <w:r w:rsidRPr="006B60FB">
        <w:t xml:space="preserve"> Указание Приднестровского республиканского банка от 26 ноября 2015 года</w:t>
      </w:r>
      <w:r>
        <w:t xml:space="preserve"> </w:t>
      </w:r>
      <w:r>
        <w:br/>
        <w:t>№</w:t>
      </w:r>
      <w:r w:rsidRPr="006B60FB">
        <w:t xml:space="preserve"> 881-У «О внесении изменений и дополнений в Инструкцию Приднестровского республиканского банка от 9 ноября 2007 года </w:t>
      </w:r>
      <w:r>
        <w:t>№</w:t>
      </w:r>
      <w:r w:rsidRPr="006B60FB">
        <w:t xml:space="preserve"> 22-И «О порядке регулирования деятельности кредитных организаций» (Регистрационный </w:t>
      </w:r>
      <w:r>
        <w:t>№ 7329 от 25 декабря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19</w:t>
      </w:r>
      <w:r>
        <w:t>.</w:t>
      </w:r>
      <w:r w:rsidRPr="006B60FB">
        <w:t xml:space="preserve"> Указание Приднестровского республиканского банка от 8 декабря 2015 года</w:t>
      </w:r>
      <w:r>
        <w:t xml:space="preserve"> </w:t>
      </w:r>
      <w:r>
        <w:br/>
        <w:t>№</w:t>
      </w:r>
      <w:r w:rsidRPr="006B60FB">
        <w:t xml:space="preserve"> 885-У «О внесении изменений и дополнения в Положение Приднестровского республиканского банка от 9 ноября 2007 года </w:t>
      </w:r>
      <w:r>
        <w:t>№</w:t>
      </w:r>
      <w:r w:rsidRPr="006B60FB">
        <w:t xml:space="preserve"> 81-П «О порядке организации эффективного управления и контроля за ликвидностью в кредитных организациях Приднестровской Молдавской Республики» (Регистрационный </w:t>
      </w:r>
      <w:r>
        <w:t xml:space="preserve">№ 7335 от 14 января </w:t>
      </w:r>
      <w:r>
        <w:br/>
        <w:t>2016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20</w:t>
      </w:r>
      <w:r>
        <w:t>.</w:t>
      </w:r>
      <w:r w:rsidRPr="006B60FB">
        <w:t xml:space="preserve"> Указание Приднестровского республиканского банка от 25 декабря 2015 года</w:t>
      </w:r>
      <w:r>
        <w:t xml:space="preserve"> </w:t>
      </w:r>
      <w:r>
        <w:br/>
        <w:t>№</w:t>
      </w:r>
      <w:r w:rsidRPr="006B60FB">
        <w:t xml:space="preserve"> 888-У «О внесении изменений в Положение Приднестровского республиканского банка от 25 апреля 2007 года </w:t>
      </w:r>
      <w:r>
        <w:t>№</w:t>
      </w:r>
      <w:r w:rsidRPr="006B60FB">
        <w:t xml:space="preserve"> 72-П «О порядке эмиссии банковских карт и об операциях, совершаемых с использованием плат</w:t>
      </w:r>
      <w:r>
        <w:t>ё</w:t>
      </w:r>
      <w:r w:rsidRPr="006B60FB">
        <w:t xml:space="preserve">жных карт» (Регистрационный </w:t>
      </w:r>
      <w:r>
        <w:t>№ 7332 от 14 января 2016 года</w:t>
      </w:r>
      <w:r w:rsidRPr="006B60FB">
        <w:t>).</w:t>
      </w:r>
    </w:p>
    <w:p w:rsidR="00635258" w:rsidRPr="00335B9C" w:rsidRDefault="00635258" w:rsidP="00335B9C">
      <w:pPr>
        <w:pStyle w:val="Normal1"/>
        <w:spacing w:before="120" w:after="120"/>
        <w:ind w:firstLine="425"/>
        <w:jc w:val="both"/>
        <w:rPr>
          <w:i/>
          <w:iCs/>
        </w:rPr>
      </w:pPr>
      <w:r w:rsidRPr="00335B9C">
        <w:rPr>
          <w:i/>
          <w:iCs/>
        </w:rPr>
        <w:t>В сфере противодействия легализации (отмыванию) доходов, полученных преступным путём, и финансированию терроризма:</w:t>
      </w:r>
    </w:p>
    <w:p w:rsidR="00635258" w:rsidRPr="006B60FB" w:rsidRDefault="00635258" w:rsidP="006B60FB">
      <w:pPr>
        <w:pStyle w:val="Normal1"/>
        <w:spacing w:before="0" w:after="0"/>
        <w:ind w:firstLine="425"/>
        <w:jc w:val="both"/>
      </w:pPr>
      <w:r w:rsidRPr="006B60FB">
        <w:t>1</w:t>
      </w:r>
      <w:r>
        <w:t>.</w:t>
      </w:r>
      <w:r w:rsidRPr="006B60FB">
        <w:t xml:space="preserve"> Указание Приднестровского республиканского банка от 19 июня 2015 года </w:t>
      </w:r>
      <w:r>
        <w:t>№</w:t>
      </w:r>
      <w:r w:rsidRPr="006B60FB">
        <w:t xml:space="preserve"> 852-У «О внесении изменений и дополнений в Указание Приднестровского республиканского банка от 9 ноября 2012 года </w:t>
      </w:r>
      <w:r>
        <w:t>№</w:t>
      </w:r>
      <w:r w:rsidRPr="006B60FB">
        <w:t xml:space="preserve"> 621-У «О рекомендациях по разработке организациями, осуществляющими операции с денежными средствами или иным имуществом, юридическими лицами, осуществляющими деятельность в сфере оказания юридических или бухгалтерских услуг правил внутреннего контроля в целях противодействия легализации (отмыванию) доходов, полученных преступным путём, и финансированию терроризма»;</w:t>
      </w:r>
    </w:p>
    <w:p w:rsidR="00635258" w:rsidRPr="006B60FB" w:rsidRDefault="00635258" w:rsidP="006B60FB">
      <w:pPr>
        <w:pStyle w:val="Normal1"/>
        <w:spacing w:before="0" w:after="0"/>
        <w:ind w:firstLine="425"/>
        <w:jc w:val="both"/>
      </w:pPr>
      <w:r w:rsidRPr="006B60FB">
        <w:t>2</w:t>
      </w:r>
      <w:r>
        <w:t>.</w:t>
      </w:r>
      <w:r w:rsidRPr="006B60FB">
        <w:t xml:space="preserve"> Указание Приднестровского республиканского банка от 3 ноября 2015 года </w:t>
      </w:r>
      <w:r>
        <w:t>№</w:t>
      </w:r>
      <w:r w:rsidRPr="006B60FB">
        <w:t xml:space="preserve"> 877-У «О внесении изменений в Указание Приднестровского республиканского банка от 9 ноября 2012 года </w:t>
      </w:r>
      <w:r>
        <w:t>№</w:t>
      </w:r>
      <w:r w:rsidRPr="006B60FB">
        <w:t xml:space="preserve"> 621-У «О рекомендациях по разработке организациями, осуществляющими операции с денежными средствами или иным имуществом, юридическими лицами, осуществляющими деятельность в сфере оказания юридических или бухгалтерских услуг правил внутреннего контроля в целях противодействия легализации (отмыванию) доходов, полученных преступным путём, и финансированию терроризма».</w:t>
      </w:r>
    </w:p>
    <w:p w:rsidR="00635258" w:rsidRPr="00335B9C" w:rsidRDefault="00635258" w:rsidP="00335B9C">
      <w:pPr>
        <w:pStyle w:val="Normal1"/>
        <w:spacing w:before="120" w:after="120"/>
        <w:ind w:firstLine="425"/>
        <w:jc w:val="both"/>
        <w:rPr>
          <w:i/>
          <w:iCs/>
        </w:rPr>
      </w:pPr>
      <w:r w:rsidRPr="00372E23">
        <w:rPr>
          <w:i/>
          <w:iCs/>
        </w:rPr>
        <w:t>В сфере бухгалтерского учёта и отчётности: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</w:t>
      </w:r>
      <w:r>
        <w:t>.</w:t>
      </w:r>
      <w:r w:rsidRPr="006B60FB">
        <w:t xml:space="preserve"> Положение Приднестровского республиканского банка от 21 января 2015 года</w:t>
      </w:r>
      <w:r>
        <w:t xml:space="preserve"> </w:t>
      </w:r>
      <w:r>
        <w:br/>
        <w:t>№</w:t>
      </w:r>
      <w:r w:rsidRPr="006B60FB">
        <w:t xml:space="preserve"> 118-П «О плане счетов бухгалтерского уч</w:t>
      </w:r>
      <w:r>
        <w:t>ё</w:t>
      </w:r>
      <w:r w:rsidRPr="006B60FB">
        <w:t>та в кредитных организациях, расположенных на территории Приднестровской Молдавской Республики»</w:t>
      </w:r>
      <w:r>
        <w:t xml:space="preserve"> </w:t>
      </w:r>
      <w:r w:rsidRPr="006B60FB">
        <w:t xml:space="preserve">(Регистрационный </w:t>
      </w:r>
      <w:r>
        <w:t xml:space="preserve">№ 7037 от </w:t>
      </w:r>
      <w:r>
        <w:br/>
        <w:t>5 марта 2015 года</w:t>
      </w:r>
      <w:r w:rsidRPr="006B60FB">
        <w:t xml:space="preserve">); </w:t>
      </w:r>
    </w:p>
    <w:p w:rsidR="00635258" w:rsidRDefault="00635258" w:rsidP="00C94023">
      <w:pPr>
        <w:pStyle w:val="Normal1"/>
        <w:spacing w:before="0" w:after="0"/>
        <w:ind w:firstLine="425"/>
        <w:jc w:val="both"/>
      </w:pPr>
      <w:r w:rsidRPr="006B60FB">
        <w:t>2</w:t>
      </w:r>
      <w:r>
        <w:t>.</w:t>
      </w:r>
      <w:r w:rsidRPr="006B60FB">
        <w:t xml:space="preserve"> Указание Приднестровского республиканского банка от 21 января 2015 года </w:t>
      </w:r>
      <w:r>
        <w:t>№</w:t>
      </w:r>
      <w:r w:rsidRPr="006B60FB">
        <w:t xml:space="preserve"> 829-У «О признании утратившими силу некоторых актов Приднестровского республиканского банка»</w:t>
      </w:r>
      <w:r>
        <w:t xml:space="preserve"> </w:t>
      </w:r>
      <w:r w:rsidRPr="006B60FB">
        <w:t xml:space="preserve">(Регистрационный </w:t>
      </w:r>
      <w:r>
        <w:t>№ 7034 от 4 марта 2015 года</w:t>
      </w:r>
      <w:r w:rsidRPr="006B60FB">
        <w:t xml:space="preserve">); 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3</w:t>
      </w:r>
      <w:r>
        <w:t>.</w:t>
      </w:r>
      <w:r w:rsidRPr="006B60FB">
        <w:t xml:space="preserve"> Указание Приднестровского республиканского банка от 21 января 2015 года </w:t>
      </w:r>
      <w:r>
        <w:t>№</w:t>
      </w:r>
      <w:r w:rsidRPr="006B60FB">
        <w:t xml:space="preserve"> 830-У «О внесении изменений и дополнений в Положение Приднестровского республиканского банка от 26 сентября 2013 года </w:t>
      </w:r>
      <w:r>
        <w:t>№</w:t>
      </w:r>
      <w:r w:rsidRPr="006B60FB">
        <w:t xml:space="preserve"> 116-П «О правилах ведения бухгалтерского уч</w:t>
      </w:r>
      <w:r>
        <w:t>ё</w:t>
      </w:r>
      <w:r w:rsidRPr="006B60FB">
        <w:t xml:space="preserve">та в кредитных организациях, расположенных на территории Приднестровской Молдавской Республики» (Регистрационный </w:t>
      </w:r>
      <w:r>
        <w:t>№ 7048 от 10 марта 2015 года</w:t>
      </w:r>
      <w:r w:rsidRPr="006B60FB">
        <w:t xml:space="preserve">); 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4</w:t>
      </w:r>
      <w:r>
        <w:t>.</w:t>
      </w:r>
      <w:r w:rsidRPr="006B60FB">
        <w:t xml:space="preserve"> Указание Приднестровского республиканского банка от 21 апреля 2015 года </w:t>
      </w:r>
      <w:r>
        <w:t>№</w:t>
      </w:r>
      <w:r w:rsidRPr="006B60FB">
        <w:t xml:space="preserve"> 842-У «О внесении дополнений в Положение Приднестровского республиканского банка от </w:t>
      </w:r>
      <w:r>
        <w:br/>
      </w:r>
      <w:r w:rsidRPr="006B60FB">
        <w:t xml:space="preserve">26 сентября 2013 года </w:t>
      </w:r>
      <w:r>
        <w:t>№</w:t>
      </w:r>
      <w:r w:rsidRPr="006B60FB">
        <w:t xml:space="preserve"> 116-П «О правилах ведения бухгалтерского уч</w:t>
      </w:r>
      <w:r>
        <w:t>ё</w:t>
      </w:r>
      <w:r w:rsidRPr="006B60FB">
        <w:t xml:space="preserve">та в кредитных организациях, расположенных на территории Приднестровской Молдавской Республики» (Регистрационный </w:t>
      </w:r>
      <w:r>
        <w:t>№ 7128 от 28 мая 2015 года</w:t>
      </w:r>
      <w:r w:rsidRPr="006B60FB">
        <w:t xml:space="preserve">); 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5</w:t>
      </w:r>
      <w:r>
        <w:t>.</w:t>
      </w:r>
      <w:r w:rsidRPr="006B60FB">
        <w:t xml:space="preserve"> Указание Приднестровского республиканского банка от 15 июня 2015 года</w:t>
      </w:r>
      <w:r>
        <w:t xml:space="preserve"> №</w:t>
      </w:r>
      <w:r w:rsidRPr="006B60FB">
        <w:t xml:space="preserve"> 848-У «О порядке переноса остатков денежных средств с отдельных лицевых счетов в связи со вступлением в силу Положения Приднестровского республиканского банка от 21 января 2015 года </w:t>
      </w:r>
      <w:r>
        <w:t>№</w:t>
      </w:r>
      <w:r w:rsidRPr="006B60FB">
        <w:t xml:space="preserve"> 118-П «О плане счетов бухгалтерского уч</w:t>
      </w:r>
      <w:r>
        <w:t>ё</w:t>
      </w:r>
      <w:r w:rsidRPr="006B60FB">
        <w:t xml:space="preserve">та в кредитных организациях, расположенных на территории Приднестровской Молдавской Республики» (Регистрационный </w:t>
      </w:r>
      <w:r>
        <w:t>№ 7175 от 14 июля 2015 года</w:t>
      </w:r>
      <w:r w:rsidRPr="006B60FB">
        <w:t xml:space="preserve">); 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>
        <w:t>6.</w:t>
      </w:r>
      <w:r w:rsidRPr="006B60FB">
        <w:t xml:space="preserve"> Указание Приднестровского республиканского банка от 28 июля 2015 года </w:t>
      </w:r>
      <w:r>
        <w:t>№</w:t>
      </w:r>
      <w:r w:rsidRPr="006B60FB">
        <w:t xml:space="preserve"> 862-У «О внесении изменений в Положение Приднестровского республиканского банка от </w:t>
      </w:r>
      <w:r>
        <w:br/>
      </w:r>
      <w:r w:rsidRPr="006B60FB">
        <w:t xml:space="preserve">26 сентября 2013 года </w:t>
      </w:r>
      <w:r>
        <w:t>№</w:t>
      </w:r>
      <w:r w:rsidRPr="006B60FB">
        <w:t xml:space="preserve"> 116-П «О правилах ведения бухгалтерского уч</w:t>
      </w:r>
      <w:r>
        <w:t>ё</w:t>
      </w:r>
      <w:r w:rsidRPr="006B60FB">
        <w:t xml:space="preserve">та в кредитных организациях, расположенных на территории Приднестровской Молдавской Республики» (Регистрационный </w:t>
      </w:r>
      <w:r>
        <w:t>№ 7221 от 19 августа 2015 года</w:t>
      </w:r>
      <w:r w:rsidRPr="006B60FB">
        <w:t xml:space="preserve">); 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>
        <w:t>7.</w:t>
      </w:r>
      <w:r w:rsidRPr="006B60FB">
        <w:t xml:space="preserve"> Указание Приднестровского республиканского банка от 21 сентября 2015 года </w:t>
      </w:r>
      <w:r>
        <w:br/>
        <w:t>№</w:t>
      </w:r>
      <w:r w:rsidRPr="006B60FB">
        <w:t xml:space="preserve"> 869-У «О внесении изменений в Положение Приднестровского республиканского банка от 21 января 2015 года </w:t>
      </w:r>
      <w:r>
        <w:t>№</w:t>
      </w:r>
      <w:r w:rsidRPr="006B60FB">
        <w:t xml:space="preserve"> 118-П «О</w:t>
      </w:r>
      <w:r>
        <w:t xml:space="preserve"> плане счетов бухгалтерского учё</w:t>
      </w:r>
      <w:r w:rsidRPr="006B60FB">
        <w:t xml:space="preserve">та в кредитных организациях, расположенных на территории Приднестровской Молдавской Республики» (Регистрационный </w:t>
      </w:r>
      <w:r>
        <w:t>№ 7270 от 29 октября 2015 года</w:t>
      </w:r>
      <w:r w:rsidRPr="006B60FB">
        <w:t xml:space="preserve">); </w:t>
      </w:r>
    </w:p>
    <w:p w:rsidR="00635258" w:rsidRPr="006B60FB" w:rsidRDefault="00635258" w:rsidP="006B60FB">
      <w:pPr>
        <w:pStyle w:val="Normal1"/>
        <w:spacing w:before="0" w:after="0"/>
        <w:ind w:firstLine="425"/>
        <w:jc w:val="both"/>
      </w:pPr>
      <w:r>
        <w:t>8.</w:t>
      </w:r>
      <w:r w:rsidRPr="006B60FB">
        <w:t xml:space="preserve"> Указание Приднестровского республиканско</w:t>
      </w:r>
      <w:r>
        <w:t>го банка от 3 ноября 2015 года №</w:t>
      </w:r>
      <w:r w:rsidRPr="006B60FB">
        <w:t xml:space="preserve"> 876-У «О внесении изменения в Положение Приднестровского республиканского банка от </w:t>
      </w:r>
      <w:r>
        <w:br/>
      </w:r>
      <w:r w:rsidRPr="006B60FB">
        <w:t xml:space="preserve">26 сентября 2013 года </w:t>
      </w:r>
      <w:r>
        <w:t>№</w:t>
      </w:r>
      <w:r w:rsidRPr="006B60FB">
        <w:t xml:space="preserve"> 116-П «О правилах ведения бухгалтерского уч</w:t>
      </w:r>
      <w:r>
        <w:t>ё</w:t>
      </w:r>
      <w:r w:rsidRPr="006B60FB">
        <w:t xml:space="preserve">та в кредитных организациях, расположенных на территории Приднестровской Молдавской Республики» (Регистрационный </w:t>
      </w:r>
      <w:r>
        <w:t>№ 7312 от 14 декабря 2015 года</w:t>
      </w:r>
      <w:r w:rsidRPr="006B60FB">
        <w:t xml:space="preserve">). </w:t>
      </w:r>
    </w:p>
    <w:p w:rsidR="00635258" w:rsidRDefault="00635258" w:rsidP="007D430E">
      <w:pPr>
        <w:pStyle w:val="Normal1"/>
        <w:spacing w:before="120" w:after="120"/>
        <w:ind w:firstLine="425"/>
        <w:jc w:val="both"/>
        <w:rPr>
          <w:i/>
          <w:iCs/>
        </w:rPr>
      </w:pPr>
    </w:p>
    <w:p w:rsidR="00635258" w:rsidRPr="007D430E" w:rsidRDefault="00635258" w:rsidP="007D430E">
      <w:pPr>
        <w:pStyle w:val="Normal1"/>
        <w:spacing w:before="120" w:after="120"/>
        <w:ind w:firstLine="425"/>
        <w:jc w:val="both"/>
        <w:rPr>
          <w:i/>
          <w:iCs/>
        </w:rPr>
      </w:pPr>
      <w:r w:rsidRPr="00372E23">
        <w:rPr>
          <w:i/>
          <w:iCs/>
        </w:rPr>
        <w:t>В сфере банковской статистики и отч</w:t>
      </w:r>
      <w:r>
        <w:rPr>
          <w:i/>
          <w:iCs/>
        </w:rPr>
        <w:t>ё</w:t>
      </w:r>
      <w:r w:rsidRPr="00372E23">
        <w:rPr>
          <w:i/>
          <w:iCs/>
        </w:rPr>
        <w:t>тности: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</w:t>
      </w:r>
      <w:r>
        <w:t>.</w:t>
      </w:r>
      <w:r w:rsidRPr="006B60FB">
        <w:t xml:space="preserve"> Указание Приднестровского республиканского банка от 16 июля 2015 года </w:t>
      </w:r>
      <w:r>
        <w:t>№</w:t>
      </w:r>
      <w:r w:rsidRPr="006B60FB">
        <w:t xml:space="preserve"> 860-У «О порядке составления кредитными организациями годовой бухгалтерской (финансовой) отч</w:t>
      </w:r>
      <w:r>
        <w:t>ё</w:t>
      </w:r>
      <w:r w:rsidRPr="006B60FB">
        <w:t>тности»</w:t>
      </w:r>
      <w:r w:rsidRPr="002A6A47">
        <w:t xml:space="preserve"> </w:t>
      </w:r>
      <w:r w:rsidRPr="006B60FB">
        <w:t xml:space="preserve">(Регистрационный </w:t>
      </w:r>
      <w:r>
        <w:t>№ 7215 от 17 августа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2</w:t>
      </w:r>
      <w:r>
        <w:t>.</w:t>
      </w:r>
      <w:r w:rsidRPr="006B60FB">
        <w:t xml:space="preserve"> Указание Приднестровского республиканског</w:t>
      </w:r>
      <w:r>
        <w:t>о банка от 16 июля 2015 года №</w:t>
      </w:r>
      <w:r w:rsidRPr="006B60FB">
        <w:t xml:space="preserve"> 861-У «О внесении изменения в Указание Приднестровского республиканского банка от 3 марта 2011 года </w:t>
      </w:r>
      <w:r>
        <w:t>№</w:t>
      </w:r>
      <w:r w:rsidRPr="006B60FB">
        <w:t xml:space="preserve"> 441-У «О порядке </w:t>
      </w:r>
      <w:r>
        <w:t>составления и представления отчё</w:t>
      </w:r>
      <w:r w:rsidRPr="006B60FB">
        <w:t xml:space="preserve">тности в Приднестровский республиканский банк» (Регистрационный </w:t>
      </w:r>
      <w:r>
        <w:t>№ 7214 от 17 августа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3</w:t>
      </w:r>
      <w:r>
        <w:t>.</w:t>
      </w:r>
      <w:r w:rsidRPr="006B60FB">
        <w:t xml:space="preserve"> Указание Приднестровского республиканского банка от 23 ноября 2015 года </w:t>
      </w:r>
      <w:r>
        <w:t>№</w:t>
      </w:r>
      <w:r w:rsidRPr="006B60FB">
        <w:t xml:space="preserve"> 879-У «О внесении изменений и дополнения в Инструкцию Приднестровского республиканского банка от 19 июня 2007 года </w:t>
      </w:r>
      <w:r>
        <w:t>№</w:t>
      </w:r>
      <w:r w:rsidRPr="006B60FB">
        <w:t xml:space="preserve"> 20-И «О порядке составления и представления кредитными организациями Приднестровской Молдавской Республики отч</w:t>
      </w:r>
      <w:r>
        <w:t>ё</w:t>
      </w:r>
      <w:r w:rsidRPr="006B60FB">
        <w:t xml:space="preserve">тности о средневзвешенных процентных ставках по операциям размещения и привлечения средств» (Регистрационный </w:t>
      </w:r>
      <w:r>
        <w:br/>
        <w:t>№ 7313 от 17 декабря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4</w:t>
      </w:r>
      <w:r>
        <w:t>.</w:t>
      </w:r>
      <w:r w:rsidRPr="006B60FB">
        <w:t xml:space="preserve"> Указание Приднестровского республиканског</w:t>
      </w:r>
      <w:r>
        <w:t>о банка от 23 ноября 2015 года №</w:t>
      </w:r>
      <w:r w:rsidRPr="006B60FB">
        <w:t xml:space="preserve"> 880-У «О внесении изменений в Инструкцию Приднестровского республиканского банка от 2 июля 2008 года </w:t>
      </w:r>
      <w:r>
        <w:t>№</w:t>
      </w:r>
      <w:r w:rsidRPr="006B60FB">
        <w:t xml:space="preserve"> 25-И «О порядке представления кредитными организациями отдельных форм отч</w:t>
      </w:r>
      <w:r>
        <w:t>ё</w:t>
      </w:r>
      <w:r w:rsidRPr="006B60FB">
        <w:t xml:space="preserve">тности в Приднестровский республиканский банк» (Регистрационный </w:t>
      </w:r>
      <w:r>
        <w:t xml:space="preserve">№ 7315 от </w:t>
      </w:r>
      <w:r>
        <w:br/>
        <w:t>17 декабря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5</w:t>
      </w:r>
      <w:r>
        <w:t>.</w:t>
      </w:r>
      <w:r w:rsidRPr="006B60FB">
        <w:t xml:space="preserve"> Указание Приднестровского республиканского банка от 8 декабря 2015 года </w:t>
      </w:r>
      <w:r>
        <w:t>№</w:t>
      </w:r>
      <w:r w:rsidRPr="006B60FB">
        <w:t xml:space="preserve"> 882-У «О внесении изменений и дополнения в </w:t>
      </w:r>
      <w:hyperlink r:id="rId12" w:history="1">
        <w:r w:rsidRPr="006B60FB">
          <w:t>Указание</w:t>
        </w:r>
      </w:hyperlink>
      <w:r w:rsidRPr="006B60FB">
        <w:t xml:space="preserve"> Приднестровского республиканского банка «О порядке составления и представления отч</w:t>
      </w:r>
      <w:r>
        <w:t>ё</w:t>
      </w:r>
      <w:r w:rsidRPr="006B60FB">
        <w:t>тности в Приднестровский республиканский банк»</w:t>
      </w:r>
      <w:r>
        <w:t xml:space="preserve"> </w:t>
      </w:r>
      <w:r w:rsidRPr="006B60FB">
        <w:t xml:space="preserve">(Регистрационный </w:t>
      </w:r>
      <w:r>
        <w:t>№ 7349 от 1 февраля 2016 года</w:t>
      </w:r>
      <w:r w:rsidRPr="006B60FB">
        <w:t>);</w:t>
      </w:r>
    </w:p>
    <w:p w:rsidR="00635258" w:rsidRDefault="00635258" w:rsidP="00C15B85">
      <w:pPr>
        <w:pStyle w:val="Normal1"/>
        <w:spacing w:before="0" w:after="0"/>
        <w:ind w:firstLine="425"/>
        <w:jc w:val="both"/>
      </w:pPr>
      <w:r w:rsidRPr="006B60FB">
        <w:t>6</w:t>
      </w:r>
      <w:r>
        <w:t>.</w:t>
      </w:r>
      <w:r w:rsidRPr="006B60FB">
        <w:t xml:space="preserve"> Указание Приднестровского республиканског</w:t>
      </w:r>
      <w:r>
        <w:t>о банка от 8 декабря 2015 года №</w:t>
      </w:r>
      <w:r w:rsidRPr="006B60FB">
        <w:t xml:space="preserve"> 883-У «О внесении изменений и дополнений в Инструкцию Приднестровского республиканского банка от 26 марта 2008 года №24-И «О порядке представления отч</w:t>
      </w:r>
      <w:r>
        <w:t>ё</w:t>
      </w:r>
      <w:r w:rsidRPr="006B60FB">
        <w:t>тности для составления плат</w:t>
      </w:r>
      <w:r>
        <w:t>ё</w:t>
      </w:r>
      <w:r w:rsidRPr="006B60FB">
        <w:t>жного баланса Приднестровской Молдавской Республики»</w:t>
      </w:r>
      <w:r>
        <w:t xml:space="preserve"> (</w:t>
      </w:r>
      <w:r w:rsidRPr="006B60FB">
        <w:t xml:space="preserve">(Регистрационный </w:t>
      </w:r>
      <w:r>
        <w:t>№ 7330 от 11 января 2016 года</w:t>
      </w:r>
      <w:r w:rsidRPr="006B60FB">
        <w:t>)</w:t>
      </w:r>
      <w:r>
        <w:t>.</w:t>
      </w:r>
    </w:p>
    <w:p w:rsidR="00635258" w:rsidRPr="009068A8" w:rsidRDefault="00635258" w:rsidP="009068A8">
      <w:pPr>
        <w:pStyle w:val="Normal1"/>
        <w:spacing w:before="120" w:after="120"/>
        <w:ind w:firstLine="425"/>
        <w:jc w:val="both"/>
        <w:rPr>
          <w:i/>
          <w:iCs/>
        </w:rPr>
      </w:pPr>
      <w:r w:rsidRPr="009068A8">
        <w:rPr>
          <w:i/>
          <w:iCs/>
        </w:rPr>
        <w:t>В области валютного регулирования и валютного контроля: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</w:t>
      </w:r>
      <w:r>
        <w:t>.</w:t>
      </w:r>
      <w:r w:rsidRPr="006B60FB">
        <w:t xml:space="preserve"> Указание Приднестровского республиканского банка от 6 февраля 2015 года </w:t>
      </w:r>
      <w:r>
        <w:t>№</w:t>
      </w:r>
      <w:r w:rsidRPr="006B60FB">
        <w:t xml:space="preserve"> 831-У «О внесении дополнения в Положение Приднестровского республиканского банка от </w:t>
      </w:r>
      <w:r>
        <w:br/>
      </w:r>
      <w:r w:rsidRPr="006B60FB">
        <w:t xml:space="preserve">20 ноября 2002 года </w:t>
      </w:r>
      <w:r>
        <w:t>№</w:t>
      </w:r>
      <w:r w:rsidRPr="006B60FB">
        <w:t xml:space="preserve"> 25-П «О порядке реализации гражданам на территории Приднестровской Молдавской Республики товаров (работ, услуг) за</w:t>
      </w:r>
      <w:r>
        <w:t xml:space="preserve"> наличную иностранную валюту» (Р</w:t>
      </w:r>
      <w:r w:rsidRPr="006B60FB">
        <w:t xml:space="preserve">егистрационный </w:t>
      </w:r>
      <w:r>
        <w:t>№ 7022 от 17 февраля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2</w:t>
      </w:r>
      <w:r>
        <w:t>.</w:t>
      </w:r>
      <w:r w:rsidRPr="006B60FB">
        <w:t xml:space="preserve"> Указание Приднестровского республиканского банка от 21 апреля 2015 года</w:t>
      </w:r>
      <w:r>
        <w:t xml:space="preserve"> №</w:t>
      </w:r>
      <w:r w:rsidRPr="006B60FB">
        <w:t xml:space="preserve"> 843-У «О внесении изменения в Положение Приднестровского республиканского банка от </w:t>
      </w:r>
      <w:r>
        <w:br/>
      </w:r>
      <w:r w:rsidRPr="006B60FB">
        <w:t xml:space="preserve">17 августа 2006 года </w:t>
      </w:r>
      <w:r>
        <w:t>№</w:t>
      </w:r>
      <w:r w:rsidRPr="006B60FB">
        <w:t xml:space="preserve"> 65-П «О порядке проведения операций с иностранной валютой в Приднестровской Молдавской Республике» </w:t>
      </w:r>
      <w:r w:rsidRPr="008660A2">
        <w:t>(Регистрационный № 7120 от</w:t>
      </w:r>
      <w:r>
        <w:t xml:space="preserve"> </w:t>
      </w:r>
      <w:r w:rsidRPr="008660A2">
        <w:t>26 мая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3</w:t>
      </w:r>
      <w:r>
        <w:t>.</w:t>
      </w:r>
      <w:r w:rsidRPr="006B60FB">
        <w:t xml:space="preserve"> Указание Приднестровского республиканского банка от 19 июня 2015 года </w:t>
      </w:r>
      <w:r>
        <w:t>№</w:t>
      </w:r>
      <w:r w:rsidRPr="006B60FB">
        <w:t xml:space="preserve"> 853-У «О внесении дополнения в Инструкцию Приднестровского республиканского банка от </w:t>
      </w:r>
      <w:r>
        <w:br/>
      </w:r>
      <w:r w:rsidRPr="006B60FB">
        <w:t xml:space="preserve">9 июля 2010 года </w:t>
      </w:r>
      <w:r>
        <w:t>№</w:t>
      </w:r>
      <w:r w:rsidRPr="006B60FB">
        <w:t xml:space="preserve"> 31-И «О порядке осуществления валютного контроля за платежами в иностранной валюте в пользу нерезидентов» (</w:t>
      </w:r>
      <w:r>
        <w:t>Р</w:t>
      </w:r>
      <w:r w:rsidRPr="006B60FB">
        <w:t xml:space="preserve">егистрационный </w:t>
      </w:r>
      <w:r>
        <w:t xml:space="preserve">№ 7166 от 7 июля </w:t>
      </w:r>
      <w:r>
        <w:br/>
        <w:t>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4</w:t>
      </w:r>
      <w:r>
        <w:t>.</w:t>
      </w:r>
      <w:r w:rsidRPr="006B60FB">
        <w:t xml:space="preserve"> Указание Приднестровского республиканского</w:t>
      </w:r>
      <w:r>
        <w:t xml:space="preserve"> банка от 21 сентября 2015 года </w:t>
      </w:r>
      <w:r>
        <w:br/>
        <w:t>№</w:t>
      </w:r>
      <w:r w:rsidRPr="006B60FB">
        <w:t xml:space="preserve"> 868-У «О внесении изменений в Инструкцию Приднестровского республиканского банка от 9 июля 2010 года </w:t>
      </w:r>
      <w:r>
        <w:t>№</w:t>
      </w:r>
      <w:r w:rsidRPr="006B60FB">
        <w:t xml:space="preserve"> 31-И «О порядке осуществления валютного контроля за платежами в иностранной валюте в пользу нерезидентов» (Регистрационный </w:t>
      </w:r>
      <w:r>
        <w:t xml:space="preserve">№ 7257 от 19 октября </w:t>
      </w:r>
      <w:r>
        <w:br/>
        <w:t>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5</w:t>
      </w:r>
      <w:r>
        <w:t>.</w:t>
      </w:r>
      <w:r w:rsidRPr="006B60FB">
        <w:t xml:space="preserve"> Указание Приднестровского республиканског</w:t>
      </w:r>
      <w:r>
        <w:t>о банка от 13 октября 2015 года №</w:t>
      </w:r>
      <w:r w:rsidRPr="006B60FB">
        <w:t xml:space="preserve"> 870-У «О внесении дополнения в Положение Приднестровского республиканского банка от </w:t>
      </w:r>
      <w:r>
        <w:br/>
      </w:r>
      <w:r w:rsidRPr="006B60FB">
        <w:t xml:space="preserve">23 апреля 2002 года </w:t>
      </w:r>
      <w:r>
        <w:t>№</w:t>
      </w:r>
      <w:r w:rsidRPr="006B60FB">
        <w:t xml:space="preserve"> 23-П «О порядке совершения хозяйствующими субъектами Приднестровской Молдавской Республики операций покупки и обязательной обратной продажи иностранной валюты на внутреннем валютном рынке Приднестровской Молдавской Республики» (</w:t>
      </w:r>
      <w:r>
        <w:t>Р</w:t>
      </w:r>
      <w:r w:rsidRPr="006B60FB">
        <w:t xml:space="preserve">егистрационный </w:t>
      </w:r>
      <w:r>
        <w:t>№ 7251 от 13 октября 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6</w:t>
      </w:r>
      <w:r>
        <w:t>.</w:t>
      </w:r>
      <w:r w:rsidRPr="006B60FB">
        <w:t xml:space="preserve"> Указание Приднестровского республиканског</w:t>
      </w:r>
      <w:r>
        <w:t>о банка от 21 октября 2015 года №</w:t>
      </w:r>
      <w:r w:rsidRPr="006B60FB">
        <w:t xml:space="preserve"> 872-У «О внесении дополнения в Инструкцию Приднестровского республиканского банка от </w:t>
      </w:r>
      <w:r>
        <w:br/>
      </w:r>
      <w:r w:rsidRPr="006B60FB">
        <w:t xml:space="preserve">9 июля 2010 года </w:t>
      </w:r>
      <w:r>
        <w:t>№</w:t>
      </w:r>
      <w:r w:rsidRPr="006B60FB">
        <w:t xml:space="preserve"> 31-И «О порядке осуществления валютного контроля за платежами в иностранной</w:t>
      </w:r>
      <w:r>
        <w:t xml:space="preserve"> валюте в пользу нерезидентов» </w:t>
      </w:r>
      <w:r w:rsidRPr="006B60FB">
        <w:t>(</w:t>
      </w:r>
      <w:r>
        <w:t>Р</w:t>
      </w:r>
      <w:r w:rsidRPr="006B60FB">
        <w:t xml:space="preserve">егистрационный </w:t>
      </w:r>
      <w:r>
        <w:t xml:space="preserve">№ 7286 от 20 ноября </w:t>
      </w:r>
      <w:r>
        <w:br/>
        <w:t>2015 года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7</w:t>
      </w:r>
      <w:r>
        <w:t>.</w:t>
      </w:r>
      <w:r w:rsidRPr="006B60FB">
        <w:t xml:space="preserve"> Указание Приднестровского республиканского </w:t>
      </w:r>
      <w:r>
        <w:t>банка от 30 октября 2015 года</w:t>
      </w:r>
      <w:r w:rsidRPr="006B60FB">
        <w:t xml:space="preserve"> </w:t>
      </w:r>
      <w:r>
        <w:t>№</w:t>
      </w:r>
      <w:r w:rsidRPr="006B60FB">
        <w:t xml:space="preserve"> 874-У «О внесении изменений и дополнений в Положение Приднестровского республиканского банка от 13 июня 2006 года </w:t>
      </w:r>
      <w:r>
        <w:t>№</w:t>
      </w:r>
      <w:r w:rsidRPr="006B60FB">
        <w:t xml:space="preserve"> 63-П «О порядке деятельности обменных пунктов на территории Приднестровской Молдавской Республики» (Регистрационный </w:t>
      </w:r>
      <w:r>
        <w:t xml:space="preserve">№ </w:t>
      </w:r>
      <w:r w:rsidRPr="008660A2">
        <w:t xml:space="preserve">7302 </w:t>
      </w:r>
      <w:r>
        <w:t xml:space="preserve">от </w:t>
      </w:r>
      <w:r>
        <w:br/>
      </w:r>
      <w:r w:rsidRPr="008660A2">
        <w:t>14 декабря 2015 года).</w:t>
      </w:r>
    </w:p>
    <w:p w:rsidR="00635258" w:rsidRPr="00674DCF" w:rsidRDefault="00635258" w:rsidP="00674DCF">
      <w:pPr>
        <w:spacing w:before="120" w:after="120"/>
        <w:ind w:firstLine="425"/>
        <w:jc w:val="both"/>
        <w:rPr>
          <w:i/>
          <w:iCs/>
          <w:snapToGrid w:val="0"/>
          <w:sz w:val="24"/>
          <w:szCs w:val="24"/>
        </w:rPr>
      </w:pPr>
      <w:r w:rsidRPr="00674DCF">
        <w:rPr>
          <w:i/>
          <w:iCs/>
          <w:snapToGrid w:val="0"/>
          <w:sz w:val="24"/>
          <w:szCs w:val="24"/>
        </w:rPr>
        <w:t>В сфере общих вопросов деятельности кредитных организаций: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1</w:t>
      </w:r>
      <w:r>
        <w:t>.</w:t>
      </w:r>
      <w:r w:rsidRPr="006B60FB">
        <w:t xml:space="preserve"> Положение Приднестровского республиканского банка от 14 октября 2015 года </w:t>
      </w:r>
      <w:r>
        <w:br/>
        <w:t>№</w:t>
      </w:r>
      <w:r w:rsidRPr="006B60FB">
        <w:t xml:space="preserve"> 119-П «О принудительной ликвидации кредитных организаций»</w:t>
      </w:r>
      <w:r>
        <w:t xml:space="preserve"> </w:t>
      </w:r>
      <w:r w:rsidRPr="006B60FB">
        <w:t xml:space="preserve">(Регистрационный </w:t>
      </w:r>
      <w:r>
        <w:br/>
        <w:t xml:space="preserve">№ </w:t>
      </w:r>
      <w:r w:rsidRPr="008F5776">
        <w:t>7308 от 14 декабря 2015 года);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2</w:t>
      </w:r>
      <w:r>
        <w:t>.</w:t>
      </w:r>
      <w:r w:rsidRPr="006B60FB">
        <w:t xml:space="preserve"> Указание Приднестровского республиканского банка от 7 апреля 2015 года </w:t>
      </w:r>
      <w:r>
        <w:t>№</w:t>
      </w:r>
      <w:r w:rsidRPr="006B60FB">
        <w:t xml:space="preserve"> 839-У «О внесении изменений в Инструкцию Приднестровского республиканского банка от 2 июля 2008 года </w:t>
      </w:r>
      <w:r>
        <w:t>№</w:t>
      </w:r>
      <w:r w:rsidRPr="006B60FB">
        <w:t xml:space="preserve"> 26-И «О порядке представления Приднестровским республиканским банком отч</w:t>
      </w:r>
      <w:r>
        <w:t>ё</w:t>
      </w:r>
      <w:r w:rsidRPr="006B60FB">
        <w:t xml:space="preserve">тности по операциям, связанным с движением средств республиканского бюджета и Единого государственного фонда социального страхования Приднестровской Молдавской Республики» (Регистрационный </w:t>
      </w:r>
      <w:r>
        <w:t xml:space="preserve">№ </w:t>
      </w:r>
      <w:r w:rsidRPr="006B60FB">
        <w:t>);</w:t>
      </w:r>
    </w:p>
    <w:p w:rsidR="00635258" w:rsidRDefault="00635258" w:rsidP="006B60FB">
      <w:pPr>
        <w:pStyle w:val="Normal1"/>
        <w:spacing w:before="0" w:after="0"/>
        <w:ind w:firstLine="425"/>
        <w:jc w:val="both"/>
      </w:pPr>
      <w:r w:rsidRPr="006B60FB">
        <w:t>3</w:t>
      </w:r>
      <w:r>
        <w:t>.</w:t>
      </w:r>
      <w:r w:rsidRPr="006B60FB">
        <w:t xml:space="preserve"> Указание Приднестровского республиканского банка от 29 мая 2015 года </w:t>
      </w:r>
      <w:r>
        <w:t>№</w:t>
      </w:r>
      <w:r w:rsidRPr="006B60FB">
        <w:t xml:space="preserve"> 845-У «О внесении изменений и дополнения в Инструкцию Приднестровского республиканского банка от 8 августа 2006 года </w:t>
      </w:r>
      <w:r>
        <w:t>№</w:t>
      </w:r>
      <w:r w:rsidRPr="006B60FB">
        <w:t xml:space="preserve"> 17-И «О порядке открытия, ведения, переоформления и закрытия счетов в банках Приднестровской Молдавской Республики» (</w:t>
      </w:r>
      <w:r>
        <w:t>Р</w:t>
      </w:r>
      <w:r w:rsidRPr="006B60FB">
        <w:t xml:space="preserve">егистрационный </w:t>
      </w:r>
      <w:r>
        <w:br/>
        <w:t>№ 7168 от 8 июля 2015 года</w:t>
      </w:r>
      <w:r w:rsidRPr="006B60FB">
        <w:t>);</w:t>
      </w:r>
    </w:p>
    <w:p w:rsidR="00635258" w:rsidRPr="002140A7" w:rsidRDefault="00635258" w:rsidP="00035DD5">
      <w:pPr>
        <w:ind w:firstLine="425"/>
        <w:jc w:val="both"/>
        <w:rPr>
          <w:sz w:val="24"/>
          <w:szCs w:val="24"/>
        </w:rPr>
      </w:pPr>
      <w:r w:rsidRPr="00897612">
        <w:rPr>
          <w:sz w:val="24"/>
          <w:szCs w:val="24"/>
        </w:rPr>
        <w:t xml:space="preserve">4. Указание Приднестровского республиканского банка от 15 июня 2015 года № 850-У «О правилах Национальной платёжной системы» (Регистрационный № 7170 от 8 июля </w:t>
      </w:r>
      <w:r w:rsidRPr="00897612">
        <w:rPr>
          <w:sz w:val="24"/>
          <w:szCs w:val="24"/>
        </w:rPr>
        <w:br/>
        <w:t xml:space="preserve">2015 года). </w:t>
      </w:r>
    </w:p>
    <w:p w:rsidR="00635258" w:rsidRPr="006B60FB" w:rsidRDefault="00635258" w:rsidP="00674DCF">
      <w:pPr>
        <w:spacing w:before="120" w:after="120"/>
        <w:ind w:left="28" w:firstLine="425"/>
        <w:jc w:val="both"/>
        <w:rPr>
          <w:i/>
          <w:iCs/>
          <w:sz w:val="24"/>
          <w:szCs w:val="24"/>
        </w:rPr>
      </w:pPr>
      <w:r w:rsidRPr="006B60FB">
        <w:rPr>
          <w:i/>
          <w:iCs/>
          <w:sz w:val="24"/>
          <w:szCs w:val="24"/>
        </w:rPr>
        <w:t>Межведомственное взаимодействие</w:t>
      </w:r>
      <w:r>
        <w:rPr>
          <w:i/>
          <w:iCs/>
          <w:sz w:val="24"/>
          <w:szCs w:val="24"/>
        </w:rPr>
        <w:t>:</w:t>
      </w:r>
    </w:p>
    <w:p w:rsidR="00635258" w:rsidRPr="006B60FB" w:rsidRDefault="00635258" w:rsidP="006B60FB">
      <w:pPr>
        <w:pStyle w:val="Normal1"/>
        <w:spacing w:before="0" w:after="0"/>
        <w:ind w:firstLine="425"/>
        <w:jc w:val="both"/>
      </w:pPr>
      <w:r>
        <w:t xml:space="preserve">1. </w:t>
      </w:r>
      <w:r w:rsidRPr="006B60FB">
        <w:t xml:space="preserve">Приказ Комитета цен и антимонопольной деятельности Приднестровской Молдавской Республики, Министерства экономического развития Приднестровской Молдавской Республики, Министерства сельского хозяйства и природных ресурсов Приднестровской Молдавской Республики и Приднестровского республиканского банка от 27 февраля </w:t>
      </w:r>
      <w:r>
        <w:br/>
      </w:r>
      <w:r w:rsidRPr="00A00EEA">
        <w:t>2015 г</w:t>
      </w:r>
      <w:r w:rsidRPr="006B60FB">
        <w:t xml:space="preserve">ода </w:t>
      </w:r>
      <w:r>
        <w:t>№</w:t>
      </w:r>
      <w:r w:rsidRPr="006B60FB">
        <w:t xml:space="preserve"> 16/36/63/68/01-06/18;</w:t>
      </w:r>
    </w:p>
    <w:p w:rsidR="00635258" w:rsidRPr="006B60FB" w:rsidRDefault="00635258" w:rsidP="006B60FB">
      <w:pPr>
        <w:pStyle w:val="Normal1"/>
        <w:spacing w:before="0" w:after="0"/>
        <w:ind w:firstLine="425"/>
        <w:jc w:val="both"/>
      </w:pPr>
      <w:r>
        <w:t xml:space="preserve">2. </w:t>
      </w:r>
      <w:r w:rsidRPr="006B60FB">
        <w:t>Приказ Государственного таможенного комитета Приднестровской Молдавской Республики и Приднестровского республиканского банка «О внесении дополнения в приказ Государственного таможенного комитета Приднестровской Молдавской Республики и Приднестровского республиканского банка от 1 сентября 2010 года № 194/01-05/90 «Об утверждении классификатора валют и классификатора стран мира</w:t>
      </w:r>
      <w:r w:rsidRPr="00963D62">
        <w:t>»</w:t>
      </w:r>
      <w:r>
        <w:t xml:space="preserve"> (№398/01-06/81 от 12.11.2015 г.).</w:t>
      </w:r>
    </w:p>
    <w:p w:rsidR="00635258" w:rsidRPr="006B60FB" w:rsidRDefault="00635258" w:rsidP="00674DCF">
      <w:pPr>
        <w:widowControl w:val="0"/>
        <w:tabs>
          <w:tab w:val="num" w:pos="426"/>
          <w:tab w:val="num" w:pos="540"/>
        </w:tabs>
        <w:autoSpaceDE w:val="0"/>
        <w:autoSpaceDN w:val="0"/>
        <w:adjustRightInd w:val="0"/>
        <w:spacing w:before="120" w:after="120"/>
        <w:ind w:firstLine="425"/>
        <w:jc w:val="both"/>
        <w:rPr>
          <w:i/>
          <w:iCs/>
          <w:sz w:val="24"/>
          <w:szCs w:val="24"/>
        </w:rPr>
      </w:pPr>
      <w:r w:rsidRPr="006B60FB">
        <w:rPr>
          <w:i/>
          <w:iCs/>
          <w:sz w:val="24"/>
          <w:szCs w:val="24"/>
        </w:rPr>
        <w:tab/>
        <w:t xml:space="preserve">В области регулирования деятельности Приднестровского республиканского банка </w:t>
      </w:r>
    </w:p>
    <w:p w:rsidR="00635258" w:rsidRPr="006B60FB" w:rsidRDefault="00635258" w:rsidP="006B60FB">
      <w:pPr>
        <w:widowControl w:val="0"/>
        <w:spacing w:line="238" w:lineRule="auto"/>
        <w:ind w:firstLine="425"/>
        <w:jc w:val="both"/>
        <w:rPr>
          <w:b/>
          <w:bCs/>
          <w:color w:val="000000"/>
          <w:sz w:val="24"/>
          <w:szCs w:val="24"/>
        </w:rPr>
      </w:pPr>
      <w:r w:rsidRPr="006B60FB">
        <w:rPr>
          <w:sz w:val="24"/>
          <w:szCs w:val="24"/>
        </w:rPr>
        <w:t xml:space="preserve">В целях регулирования внутренней деятельности Приднестровского республиканского банка было принято </w:t>
      </w:r>
      <w:r w:rsidRPr="00963D62">
        <w:rPr>
          <w:sz w:val="24"/>
          <w:szCs w:val="24"/>
        </w:rPr>
        <w:t>27</w:t>
      </w:r>
      <w:r w:rsidRPr="006B60FB">
        <w:rPr>
          <w:sz w:val="24"/>
          <w:szCs w:val="24"/>
        </w:rPr>
        <w:t xml:space="preserve"> внутренних нормативных актов.</w:t>
      </w:r>
    </w:p>
    <w:p w:rsidR="00635258" w:rsidRPr="002E747E" w:rsidRDefault="00635258" w:rsidP="00716041">
      <w:pPr>
        <w:pStyle w:val="BodyText"/>
        <w:widowControl w:val="0"/>
        <w:spacing w:before="0" w:after="0"/>
        <w:ind w:firstLine="425"/>
        <w:rPr>
          <w:rFonts w:ascii="Times New Roman" w:hAnsi="Times New Roman" w:cs="Times New Roman"/>
          <w:shadow/>
          <w:sz w:val="24"/>
          <w:szCs w:val="24"/>
        </w:rPr>
        <w:sectPr w:rsidR="00635258" w:rsidRPr="002E747E" w:rsidSect="00865075">
          <w:pgSz w:w="11906" w:h="16838" w:code="9"/>
          <w:pgMar w:top="1418" w:right="1134" w:bottom="1134" w:left="1134" w:header="992" w:footer="595" w:gutter="0"/>
          <w:pgNumType w:start="3"/>
          <w:cols w:space="720"/>
        </w:sectPr>
      </w:pPr>
    </w:p>
    <w:p w:rsidR="00635258" w:rsidRDefault="00635258" w:rsidP="00DA44D6">
      <w:pPr>
        <w:pStyle w:val="Heading2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635258" w:rsidRDefault="00635258" w:rsidP="008F4A28">
      <w:pPr>
        <w:jc w:val="center"/>
        <w:rPr>
          <w:b/>
          <w:bCs/>
          <w:i/>
          <w:iCs/>
          <w:sz w:val="24"/>
          <w:szCs w:val="24"/>
        </w:rPr>
      </w:pPr>
      <w:r w:rsidRPr="00837730">
        <w:rPr>
          <w:b/>
          <w:bCs/>
          <w:i/>
          <w:iCs/>
          <w:sz w:val="24"/>
          <w:szCs w:val="24"/>
        </w:rPr>
        <w:t>Отчёт о</w:t>
      </w:r>
      <w:r w:rsidRPr="00263C29">
        <w:rPr>
          <w:b/>
          <w:bCs/>
          <w:i/>
          <w:iCs/>
          <w:sz w:val="24"/>
          <w:szCs w:val="24"/>
        </w:rPr>
        <w:t xml:space="preserve">б исполнении сметы доходов и расходов </w:t>
      </w:r>
    </w:p>
    <w:p w:rsidR="00635258" w:rsidRDefault="00635258" w:rsidP="008F4A28">
      <w:pPr>
        <w:jc w:val="center"/>
        <w:rPr>
          <w:b/>
          <w:bCs/>
          <w:i/>
          <w:iCs/>
          <w:sz w:val="24"/>
          <w:szCs w:val="24"/>
        </w:rPr>
      </w:pPr>
      <w:r w:rsidRPr="00263C29">
        <w:rPr>
          <w:b/>
          <w:bCs/>
          <w:i/>
          <w:iCs/>
          <w:sz w:val="24"/>
          <w:szCs w:val="24"/>
        </w:rPr>
        <w:t xml:space="preserve">Приднестровского республиканского банка </w:t>
      </w:r>
      <w:r>
        <w:rPr>
          <w:b/>
          <w:bCs/>
          <w:i/>
          <w:iCs/>
          <w:sz w:val="24"/>
          <w:szCs w:val="24"/>
        </w:rPr>
        <w:t>за 2015</w:t>
      </w:r>
      <w:r w:rsidRPr="00263C29">
        <w:rPr>
          <w:b/>
          <w:bCs/>
          <w:i/>
          <w:iCs/>
          <w:sz w:val="24"/>
          <w:szCs w:val="24"/>
        </w:rPr>
        <w:t xml:space="preserve"> год</w:t>
      </w:r>
    </w:p>
    <w:p w:rsidR="00635258" w:rsidRPr="008F4A28" w:rsidRDefault="00635258" w:rsidP="008F4A28">
      <w:pPr>
        <w:jc w:val="right"/>
        <w:rPr>
          <w:sz w:val="22"/>
          <w:szCs w:val="22"/>
        </w:rPr>
      </w:pPr>
      <w:r w:rsidRPr="000739FA">
        <w:rPr>
          <w:b/>
          <w:bCs/>
          <w:i/>
          <w:iCs/>
          <w:sz w:val="22"/>
          <w:szCs w:val="22"/>
        </w:rPr>
        <w:t xml:space="preserve"> </w:t>
      </w:r>
      <w:r w:rsidRPr="008F4A28">
        <w:rPr>
          <w:sz w:val="22"/>
          <w:szCs w:val="22"/>
        </w:rPr>
        <w:t>тыс. 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4807"/>
        <w:gridCol w:w="1367"/>
        <w:gridCol w:w="1367"/>
        <w:gridCol w:w="1509"/>
      </w:tblGrid>
      <w:tr w:rsidR="00635258" w:rsidRPr="00B004E4">
        <w:tc>
          <w:tcPr>
            <w:tcW w:w="69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5258" w:rsidRDefault="00635258" w:rsidP="000A243D">
            <w:pPr>
              <w:ind w:left="-108" w:right="-1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35258" w:rsidRPr="008F4A28" w:rsidRDefault="00635258" w:rsidP="000A243D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п/п</w:t>
            </w:r>
          </w:p>
        </w:tc>
        <w:tc>
          <w:tcPr>
            <w:tcW w:w="480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5258" w:rsidRPr="008F4A28" w:rsidRDefault="00635258" w:rsidP="000A243D">
            <w:pPr>
              <w:jc w:val="center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5258" w:rsidRPr="008F4A28" w:rsidRDefault="00635258" w:rsidP="000A243D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 xml:space="preserve">Утверждено </w:t>
            </w:r>
            <w:r w:rsidRPr="00FC3529">
              <w:rPr>
                <w:sz w:val="22"/>
                <w:szCs w:val="22"/>
              </w:rPr>
              <w:t>на 2015 год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5258" w:rsidRPr="008F4A28" w:rsidRDefault="00635258" w:rsidP="000A243D">
            <w:pPr>
              <w:ind w:left="-94" w:right="-108"/>
              <w:jc w:val="center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 xml:space="preserve">Фактическое </w:t>
            </w:r>
            <w:r w:rsidRPr="00FC3529">
              <w:rPr>
                <w:sz w:val="22"/>
                <w:szCs w:val="22"/>
              </w:rPr>
              <w:t>исполнение за 2015 год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35258" w:rsidRPr="008F4A28" w:rsidRDefault="00635258" w:rsidP="000A243D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Вып</w:t>
            </w:r>
            <w:r>
              <w:rPr>
                <w:sz w:val="22"/>
                <w:szCs w:val="22"/>
              </w:rPr>
              <w:t>олнение</w:t>
            </w:r>
            <w:r w:rsidRPr="008F4A28">
              <w:rPr>
                <w:sz w:val="22"/>
                <w:szCs w:val="22"/>
              </w:rPr>
              <w:t xml:space="preserve"> плана за отч</w:t>
            </w:r>
            <w:r>
              <w:rPr>
                <w:sz w:val="22"/>
                <w:szCs w:val="22"/>
              </w:rPr>
              <w:t xml:space="preserve">ётный </w:t>
            </w:r>
            <w:r w:rsidRPr="008F4A28">
              <w:rPr>
                <w:sz w:val="22"/>
                <w:szCs w:val="22"/>
              </w:rPr>
              <w:t xml:space="preserve"> пер</w:t>
            </w:r>
            <w:r>
              <w:rPr>
                <w:sz w:val="22"/>
                <w:szCs w:val="22"/>
              </w:rPr>
              <w:t>иод</w:t>
            </w:r>
            <w:r w:rsidRPr="008F4A28">
              <w:rPr>
                <w:sz w:val="22"/>
                <w:szCs w:val="22"/>
              </w:rPr>
              <w:t>, %</w:t>
            </w:r>
          </w:p>
        </w:tc>
      </w:tr>
      <w:tr w:rsidR="00635258" w:rsidRPr="00B004E4">
        <w:tc>
          <w:tcPr>
            <w:tcW w:w="695" w:type="dxa"/>
            <w:tcBorders>
              <w:top w:val="double" w:sz="4" w:space="0" w:color="auto"/>
            </w:tcBorders>
          </w:tcPr>
          <w:p w:rsidR="00635258" w:rsidRPr="008F4A28" w:rsidRDefault="00635258" w:rsidP="000A243D">
            <w:pPr>
              <w:jc w:val="center"/>
              <w:rPr>
                <w:b/>
                <w:bCs/>
                <w:sz w:val="22"/>
                <w:szCs w:val="22"/>
              </w:rPr>
            </w:pPr>
            <w:r w:rsidRPr="008F4A28">
              <w:rPr>
                <w:b/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4807" w:type="dxa"/>
            <w:tcBorders>
              <w:top w:val="double" w:sz="4" w:space="0" w:color="auto"/>
            </w:tcBorders>
          </w:tcPr>
          <w:p w:rsidR="00635258" w:rsidRPr="008F4A28" w:rsidRDefault="00635258" w:rsidP="008F4A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367" w:type="dxa"/>
            <w:tcBorders>
              <w:top w:val="double" w:sz="4" w:space="0" w:color="auto"/>
            </w:tcBorders>
          </w:tcPr>
          <w:p w:rsidR="00635258" w:rsidRPr="008F4A28" w:rsidRDefault="00635258" w:rsidP="000A24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</w:tcPr>
          <w:p w:rsidR="00635258" w:rsidRPr="008F4A28" w:rsidRDefault="00635258" w:rsidP="000A24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ouble" w:sz="4" w:space="0" w:color="auto"/>
            </w:tcBorders>
          </w:tcPr>
          <w:p w:rsidR="00635258" w:rsidRPr="008F4A28" w:rsidRDefault="00635258" w:rsidP="000A243D">
            <w:pPr>
              <w:jc w:val="center"/>
              <w:rPr>
                <w:sz w:val="22"/>
                <w:szCs w:val="22"/>
              </w:rPr>
            </w:pP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Pr="005A6BF4" w:rsidRDefault="00635258" w:rsidP="008F4A28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2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807" w:type="dxa"/>
          </w:tcPr>
          <w:p w:rsidR="00635258" w:rsidRDefault="00635258" w:rsidP="000A243D">
            <w:pPr>
              <w:rPr>
                <w:color w:val="000000"/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 xml:space="preserve">Процентные доходы, </w:t>
            </w:r>
          </w:p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367" w:type="dxa"/>
          </w:tcPr>
          <w:p w:rsidR="00635258" w:rsidRPr="008F4A28" w:rsidRDefault="00635258" w:rsidP="007F508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73 433</w:t>
            </w:r>
          </w:p>
        </w:tc>
        <w:tc>
          <w:tcPr>
            <w:tcW w:w="1367" w:type="dxa"/>
          </w:tcPr>
          <w:p w:rsidR="00635258" w:rsidRPr="008F4A28" w:rsidRDefault="00635258" w:rsidP="007F508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25 922</w:t>
            </w:r>
          </w:p>
        </w:tc>
        <w:tc>
          <w:tcPr>
            <w:tcW w:w="1509" w:type="dxa"/>
          </w:tcPr>
          <w:p w:rsidR="00635258" w:rsidRPr="008F4A28" w:rsidRDefault="00635258" w:rsidP="007F508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35,3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Pr="005A6BF4" w:rsidRDefault="00635258" w:rsidP="000A243D">
            <w:pPr>
              <w:tabs>
                <w:tab w:val="num" w:pos="176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5A6BF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5A6BF4">
              <w:rPr>
                <w:sz w:val="22"/>
                <w:szCs w:val="22"/>
              </w:rPr>
              <w:t>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38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по ценным бумагам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30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30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100,0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Pr="005A6BF4" w:rsidRDefault="00635258" w:rsidP="000A243D">
            <w:pPr>
              <w:tabs>
                <w:tab w:val="num" w:pos="176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5A6BF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6BF4">
              <w:rPr>
                <w:sz w:val="22"/>
                <w:szCs w:val="22"/>
              </w:rPr>
              <w:t>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38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по размещениям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68 802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20 119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29,2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Pr="005A6BF4" w:rsidRDefault="00635258" w:rsidP="000A243D">
            <w:pPr>
              <w:tabs>
                <w:tab w:val="num" w:pos="176"/>
                <w:tab w:val="num" w:pos="318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38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по кредитам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4 601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5 773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125,5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A6BF4">
              <w:rPr>
                <w:sz w:val="22"/>
                <w:szCs w:val="22"/>
              </w:rPr>
              <w:t>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Доходы от операций с ценными бумагами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351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Доходы от операций с драгоценными металлами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A6BF4">
              <w:rPr>
                <w:sz w:val="22"/>
                <w:szCs w:val="22"/>
              </w:rPr>
              <w:t>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Доходы от участия в капиталах кредитных и иных организаций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35 620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44 600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125,2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0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Чистые доходы от восстановления резервов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11 385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0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07" w:type="dxa"/>
          </w:tcPr>
          <w:p w:rsidR="00635258" w:rsidRDefault="00635258" w:rsidP="000A243D">
            <w:pPr>
              <w:rPr>
                <w:color w:val="000000"/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 xml:space="preserve">Прочие доходы, </w:t>
            </w:r>
          </w:p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367" w:type="dxa"/>
          </w:tcPr>
          <w:p w:rsidR="00635258" w:rsidRPr="008F4A28" w:rsidRDefault="00635258" w:rsidP="007F508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32 137</w:t>
            </w:r>
          </w:p>
        </w:tc>
        <w:tc>
          <w:tcPr>
            <w:tcW w:w="1367" w:type="dxa"/>
          </w:tcPr>
          <w:p w:rsidR="00635258" w:rsidRPr="008F4A28" w:rsidRDefault="00635258" w:rsidP="007F508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45 201</w:t>
            </w:r>
          </w:p>
        </w:tc>
        <w:tc>
          <w:tcPr>
            <w:tcW w:w="1509" w:type="dxa"/>
          </w:tcPr>
          <w:p w:rsidR="00635258" w:rsidRPr="008F4A28" w:rsidRDefault="00635258" w:rsidP="007F508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140,7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52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доходы от операций с иностранной валютой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29 952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38 508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128,6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52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комиссионные доходы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1 194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1 655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138,6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52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доходы от реализации памятных (юбилейных) банкнот и монет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842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1 038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123,3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52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доходы от аренды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28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28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100,0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52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доходы от выбытия прочих активов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30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351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1 170,0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52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другие доходы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91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3 621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3 979,1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52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полученные штрафы, пени, неустойки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</w:tr>
      <w:tr w:rsidR="00635258" w:rsidRPr="00B004E4">
        <w:tc>
          <w:tcPr>
            <w:tcW w:w="695" w:type="dxa"/>
            <w:shd w:val="clear" w:color="auto" w:fill="D9D9D9"/>
            <w:vAlign w:val="center"/>
          </w:tcPr>
          <w:p w:rsidR="00635258" w:rsidRPr="00E63867" w:rsidRDefault="00635258" w:rsidP="000A243D">
            <w:pPr>
              <w:pStyle w:val="Heading6"/>
              <w:spacing w:before="20" w:after="20"/>
              <w:ind w:firstLine="0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7</w:t>
            </w:r>
            <w:r w:rsidRPr="00E63867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4807" w:type="dxa"/>
            <w:shd w:val="clear" w:color="auto" w:fill="D9D9D9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367" w:type="dxa"/>
            <w:shd w:val="clear" w:color="auto" w:fill="D9D9D9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141 190</w:t>
            </w:r>
          </w:p>
        </w:tc>
        <w:tc>
          <w:tcPr>
            <w:tcW w:w="1367" w:type="dxa"/>
            <w:shd w:val="clear" w:color="auto" w:fill="D9D9D9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127 108</w:t>
            </w:r>
          </w:p>
        </w:tc>
        <w:tc>
          <w:tcPr>
            <w:tcW w:w="1509" w:type="dxa"/>
            <w:shd w:val="clear" w:color="auto" w:fill="D9D9D9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90,0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Pr="00EB55AE" w:rsidRDefault="00635258" w:rsidP="000A243D">
            <w:pPr>
              <w:tabs>
                <w:tab w:val="num" w:pos="176"/>
              </w:tabs>
              <w:spacing w:before="20" w:after="20"/>
              <w:rPr>
                <w:b/>
                <w:bCs/>
                <w:sz w:val="22"/>
                <w:szCs w:val="22"/>
              </w:rPr>
            </w:pPr>
            <w:r w:rsidRPr="00EB55AE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4807" w:type="dxa"/>
          </w:tcPr>
          <w:p w:rsidR="00635258" w:rsidRPr="008F4A28" w:rsidRDefault="00635258" w:rsidP="008F4A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A6BF4">
              <w:rPr>
                <w:sz w:val="22"/>
                <w:szCs w:val="22"/>
              </w:rPr>
              <w:t>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Процентные расходы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3 784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2 948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77,9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A6BF4">
              <w:rPr>
                <w:sz w:val="22"/>
                <w:szCs w:val="22"/>
              </w:rPr>
              <w:t>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Расходы по операциям с ценными бумагами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A6BF4">
              <w:rPr>
                <w:sz w:val="22"/>
                <w:szCs w:val="22"/>
              </w:rPr>
              <w:t>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Расходы по операциям с драгоценными металлами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309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A6BF4">
              <w:rPr>
                <w:sz w:val="22"/>
                <w:szCs w:val="22"/>
              </w:rPr>
              <w:t>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Расходы по организации налично-денежного обращения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4 453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3 406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76,5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Pr="005A6BF4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Чистые расходы от формирования резервов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2 539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-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Pr="005A6BF4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807" w:type="dxa"/>
          </w:tcPr>
          <w:p w:rsidR="00635258" w:rsidRDefault="00635258" w:rsidP="000A243D">
            <w:pPr>
              <w:rPr>
                <w:color w:val="000000"/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 xml:space="preserve">Прочие расходы, </w:t>
            </w:r>
          </w:p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367" w:type="dxa"/>
          </w:tcPr>
          <w:p w:rsidR="00635258" w:rsidRPr="008F4A28" w:rsidRDefault="00635258" w:rsidP="007F508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70 155</w:t>
            </w:r>
          </w:p>
        </w:tc>
        <w:tc>
          <w:tcPr>
            <w:tcW w:w="1367" w:type="dxa"/>
          </w:tcPr>
          <w:p w:rsidR="00635258" w:rsidRPr="008F4A28" w:rsidRDefault="00635258" w:rsidP="007F508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78 780</w:t>
            </w:r>
          </w:p>
        </w:tc>
        <w:tc>
          <w:tcPr>
            <w:tcW w:w="1509" w:type="dxa"/>
          </w:tcPr>
          <w:p w:rsidR="00635258" w:rsidRPr="008F4A28" w:rsidRDefault="00635258" w:rsidP="007F508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112,3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Pr="005A6BF4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52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административно-хозяйственные расходы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13 498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12 905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95,6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52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расходы на содержание служащих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44 344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44 344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100,0</w:t>
            </w:r>
          </w:p>
        </w:tc>
      </w:tr>
      <w:tr w:rsidR="00635258" w:rsidRPr="00B004E4">
        <w:tc>
          <w:tcPr>
            <w:tcW w:w="695" w:type="dxa"/>
            <w:vAlign w:val="center"/>
          </w:tcPr>
          <w:p w:rsidR="00635258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</w:t>
            </w:r>
          </w:p>
        </w:tc>
        <w:tc>
          <w:tcPr>
            <w:tcW w:w="4807" w:type="dxa"/>
          </w:tcPr>
          <w:p w:rsidR="00635258" w:rsidRPr="008F4A28" w:rsidRDefault="00635258" w:rsidP="000A243D">
            <w:pPr>
              <w:ind w:left="152"/>
              <w:rPr>
                <w:sz w:val="22"/>
                <w:szCs w:val="22"/>
              </w:rPr>
            </w:pPr>
            <w:r w:rsidRPr="008F4A28">
              <w:rPr>
                <w:color w:val="000000"/>
                <w:sz w:val="22"/>
                <w:szCs w:val="22"/>
              </w:rPr>
              <w:t>другие расходы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12 313</w:t>
            </w:r>
          </w:p>
        </w:tc>
        <w:tc>
          <w:tcPr>
            <w:tcW w:w="1367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21 531</w:t>
            </w:r>
          </w:p>
        </w:tc>
        <w:tc>
          <w:tcPr>
            <w:tcW w:w="1509" w:type="dxa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174,9</w:t>
            </w:r>
          </w:p>
        </w:tc>
      </w:tr>
      <w:tr w:rsidR="00635258" w:rsidRPr="00B004E4">
        <w:tc>
          <w:tcPr>
            <w:tcW w:w="695" w:type="dxa"/>
            <w:shd w:val="clear" w:color="auto" w:fill="D9D9D9"/>
            <w:vAlign w:val="center"/>
          </w:tcPr>
          <w:p w:rsidR="00635258" w:rsidRPr="00EB55AE" w:rsidRDefault="00635258" w:rsidP="000A243D">
            <w:pPr>
              <w:tabs>
                <w:tab w:val="num" w:pos="176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807" w:type="dxa"/>
            <w:shd w:val="clear" w:color="auto" w:fill="D9D9D9"/>
          </w:tcPr>
          <w:p w:rsidR="00635258" w:rsidRPr="008F4A28" w:rsidRDefault="00635258" w:rsidP="000A243D">
            <w:pPr>
              <w:rPr>
                <w:sz w:val="22"/>
                <w:szCs w:val="22"/>
              </w:rPr>
            </w:pPr>
            <w:r w:rsidRPr="008F4A28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367" w:type="dxa"/>
            <w:shd w:val="clear" w:color="auto" w:fill="D9D9D9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80 931</w:t>
            </w:r>
          </w:p>
        </w:tc>
        <w:tc>
          <w:tcPr>
            <w:tcW w:w="1367" w:type="dxa"/>
            <w:shd w:val="clear" w:color="auto" w:fill="D9D9D9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85 443</w:t>
            </w:r>
          </w:p>
        </w:tc>
        <w:tc>
          <w:tcPr>
            <w:tcW w:w="1509" w:type="dxa"/>
            <w:shd w:val="clear" w:color="auto" w:fill="D9D9D9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sz w:val="22"/>
                <w:szCs w:val="22"/>
              </w:rPr>
            </w:pPr>
            <w:r w:rsidRPr="008F4A28">
              <w:rPr>
                <w:sz w:val="22"/>
                <w:szCs w:val="22"/>
              </w:rPr>
              <w:t>105,6</w:t>
            </w:r>
          </w:p>
        </w:tc>
      </w:tr>
      <w:tr w:rsidR="00635258" w:rsidRPr="00B004E4">
        <w:trPr>
          <w:trHeight w:val="70"/>
        </w:trPr>
        <w:tc>
          <w:tcPr>
            <w:tcW w:w="695" w:type="dxa"/>
            <w:shd w:val="clear" w:color="auto" w:fill="D9D9D9"/>
            <w:vAlign w:val="center"/>
          </w:tcPr>
          <w:p w:rsidR="00635258" w:rsidRPr="00EB55AE" w:rsidRDefault="00635258" w:rsidP="000A243D">
            <w:pPr>
              <w:tabs>
                <w:tab w:val="num" w:pos="176"/>
              </w:tabs>
              <w:spacing w:before="20" w:after="20"/>
              <w:rPr>
                <w:b/>
                <w:bCs/>
                <w:sz w:val="22"/>
                <w:szCs w:val="22"/>
              </w:rPr>
            </w:pPr>
            <w:r w:rsidRPr="00EB55AE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4807" w:type="dxa"/>
            <w:shd w:val="clear" w:color="auto" w:fill="D9D9D9"/>
            <w:vAlign w:val="center"/>
          </w:tcPr>
          <w:p w:rsidR="00635258" w:rsidRPr="00E63867" w:rsidRDefault="00635258" w:rsidP="000A243D">
            <w:pPr>
              <w:pStyle w:val="Heading6"/>
              <w:tabs>
                <w:tab w:val="left" w:pos="34"/>
              </w:tabs>
              <w:spacing w:before="20" w:after="20"/>
              <w:ind w:right="-108" w:firstLine="34"/>
              <w:jc w:val="left"/>
              <w:rPr>
                <w:b/>
                <w:bCs/>
                <w:sz w:val="22"/>
                <w:szCs w:val="22"/>
              </w:rPr>
            </w:pPr>
            <w:r w:rsidRPr="00E63867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БАЛАНСОВАЯ ПРИБЫЛЬ (УБЫТОК)</w:t>
            </w:r>
          </w:p>
        </w:tc>
        <w:tc>
          <w:tcPr>
            <w:tcW w:w="1367" w:type="dxa"/>
            <w:shd w:val="clear" w:color="auto" w:fill="D9D9D9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b/>
                <w:bCs/>
                <w:sz w:val="22"/>
                <w:szCs w:val="22"/>
              </w:rPr>
            </w:pPr>
            <w:r w:rsidRPr="008F4A28">
              <w:rPr>
                <w:b/>
                <w:bCs/>
                <w:sz w:val="22"/>
                <w:szCs w:val="22"/>
              </w:rPr>
              <w:t>60 259</w:t>
            </w:r>
          </w:p>
        </w:tc>
        <w:tc>
          <w:tcPr>
            <w:tcW w:w="1367" w:type="dxa"/>
            <w:shd w:val="clear" w:color="auto" w:fill="D9D9D9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b/>
                <w:bCs/>
                <w:sz w:val="22"/>
                <w:szCs w:val="22"/>
              </w:rPr>
            </w:pPr>
            <w:r w:rsidRPr="008F4A28">
              <w:rPr>
                <w:b/>
                <w:bCs/>
                <w:sz w:val="22"/>
                <w:szCs w:val="22"/>
              </w:rPr>
              <w:t>41 665</w:t>
            </w:r>
          </w:p>
        </w:tc>
        <w:tc>
          <w:tcPr>
            <w:tcW w:w="1509" w:type="dxa"/>
            <w:shd w:val="clear" w:color="auto" w:fill="D9D9D9"/>
            <w:vAlign w:val="center"/>
          </w:tcPr>
          <w:p w:rsidR="00635258" w:rsidRPr="008F4A28" w:rsidRDefault="00635258" w:rsidP="000A243D">
            <w:pPr>
              <w:ind w:left="-122" w:right="102"/>
              <w:jc w:val="right"/>
              <w:rPr>
                <w:b/>
                <w:bCs/>
                <w:sz w:val="22"/>
                <w:szCs w:val="22"/>
              </w:rPr>
            </w:pPr>
            <w:r w:rsidRPr="008F4A28">
              <w:rPr>
                <w:b/>
                <w:bCs/>
                <w:sz w:val="22"/>
                <w:szCs w:val="22"/>
              </w:rPr>
              <w:t>69,1</w:t>
            </w:r>
          </w:p>
        </w:tc>
      </w:tr>
    </w:tbl>
    <w:p w:rsidR="00635258" w:rsidRDefault="00635258" w:rsidP="008F4A28"/>
    <w:p w:rsidR="00635258" w:rsidRPr="007206E3" w:rsidRDefault="00635258" w:rsidP="00C27E1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П</w:t>
      </w:r>
      <w:r w:rsidRPr="000A4E3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0A4E36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0A4E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0A4E36">
        <w:rPr>
          <w:sz w:val="24"/>
          <w:szCs w:val="24"/>
        </w:rPr>
        <w:t xml:space="preserve">  </w:t>
      </w:r>
      <w:r>
        <w:rPr>
          <w:sz w:val="24"/>
          <w:szCs w:val="24"/>
        </w:rPr>
        <w:t>Э</w:t>
      </w:r>
      <w:r w:rsidRPr="007206E3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7206E3">
        <w:rPr>
          <w:sz w:val="24"/>
          <w:szCs w:val="24"/>
        </w:rPr>
        <w:t>.</w:t>
      </w:r>
      <w:r>
        <w:rPr>
          <w:sz w:val="24"/>
          <w:szCs w:val="24"/>
        </w:rPr>
        <w:t xml:space="preserve"> Косовский</w:t>
      </w:r>
    </w:p>
    <w:p w:rsidR="00635258" w:rsidRDefault="00635258" w:rsidP="00E63867">
      <w:pPr>
        <w:rPr>
          <w:sz w:val="24"/>
          <w:szCs w:val="24"/>
        </w:rPr>
      </w:pPr>
    </w:p>
    <w:p w:rsidR="00635258" w:rsidRPr="00C27E1A" w:rsidRDefault="00635258" w:rsidP="00C27E1A">
      <w:pPr>
        <w:rPr>
          <w:sz w:val="24"/>
          <w:szCs w:val="24"/>
        </w:rPr>
      </w:pPr>
      <w:r w:rsidRPr="00C27E1A">
        <w:rPr>
          <w:sz w:val="24"/>
          <w:szCs w:val="24"/>
        </w:rPr>
        <w:t>Главный бухгалтер                                                                                                     С.Л. Руссов</w:t>
      </w:r>
    </w:p>
    <w:sectPr w:rsidR="00635258" w:rsidRPr="00C27E1A" w:rsidSect="00337157">
      <w:headerReference w:type="default" r:id="rId13"/>
      <w:footerReference w:type="default" r:id="rId14"/>
      <w:pgSz w:w="11906" w:h="16838" w:code="9"/>
      <w:pgMar w:top="1418" w:right="1134" w:bottom="1418" w:left="1134" w:header="987" w:footer="87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58" w:rsidRDefault="00635258">
      <w:r>
        <w:separator/>
      </w:r>
    </w:p>
  </w:endnote>
  <w:endnote w:type="continuationSeparator" w:id="1">
    <w:p w:rsidR="00635258" w:rsidRDefault="0063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FreeSet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58" w:rsidRPr="008E7F6E" w:rsidRDefault="00635258" w:rsidP="00CB6077">
    <w:pPr>
      <w:pStyle w:val="Footer"/>
      <w:framePr w:w="374" w:wrap="auto" w:vAnchor="text" w:hAnchor="page" w:x="5690" w:y="15"/>
      <w:jc w:val="center"/>
      <w:rPr>
        <w:rStyle w:val="PageNumber"/>
        <w:sz w:val="22"/>
        <w:szCs w:val="22"/>
      </w:rPr>
    </w:pPr>
    <w:r w:rsidRPr="008E7F6E">
      <w:rPr>
        <w:rStyle w:val="PageNumber"/>
        <w:sz w:val="22"/>
        <w:szCs w:val="22"/>
      </w:rPr>
      <w:fldChar w:fldCharType="begin"/>
    </w:r>
    <w:r w:rsidRPr="008E7F6E">
      <w:rPr>
        <w:rStyle w:val="PageNumber"/>
        <w:sz w:val="22"/>
        <w:szCs w:val="22"/>
      </w:rPr>
      <w:instrText xml:space="preserve">PAGE  </w:instrText>
    </w:r>
    <w:r w:rsidRPr="008E7F6E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49</w:t>
    </w:r>
    <w:r w:rsidRPr="008E7F6E">
      <w:rPr>
        <w:rStyle w:val="PageNumber"/>
        <w:sz w:val="22"/>
        <w:szCs w:val="22"/>
      </w:rPr>
      <w:fldChar w:fldCharType="end"/>
    </w:r>
  </w:p>
  <w:p w:rsidR="00635258" w:rsidRPr="003326A1" w:rsidRDefault="00635258" w:rsidP="003326A1">
    <w:pPr>
      <w:pStyle w:val="Footer"/>
      <w:ind w:left="-142"/>
      <w:jc w:val="center"/>
    </w:pPr>
    <w:r>
      <w:t>———      ———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58" w:rsidRPr="003326A1" w:rsidRDefault="00635258" w:rsidP="003C1C59">
    <w:pPr>
      <w:pStyle w:val="Footer"/>
      <w:ind w:left="-14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58" w:rsidRDefault="00635258">
      <w:r>
        <w:separator/>
      </w:r>
    </w:p>
  </w:footnote>
  <w:footnote w:type="continuationSeparator" w:id="1">
    <w:p w:rsidR="00635258" w:rsidRDefault="00635258">
      <w:r>
        <w:continuationSeparator/>
      </w:r>
    </w:p>
  </w:footnote>
  <w:footnote w:id="2">
    <w:p w:rsidR="00635258" w:rsidRDefault="00635258" w:rsidP="00FA1021">
      <w:pPr>
        <w:pStyle w:val="FootnoteText"/>
      </w:pPr>
      <w:r w:rsidRPr="00D07D36">
        <w:rPr>
          <w:rStyle w:val="FootnoteReference"/>
          <w:sz w:val="22"/>
          <w:szCs w:val="22"/>
        </w:rPr>
        <w:footnoteRef/>
      </w:r>
      <w:r w:rsidRPr="00D07D36">
        <w:rPr>
          <w:sz w:val="22"/>
          <w:szCs w:val="22"/>
        </w:rPr>
        <w:t xml:space="preserve"> в таблицах 1.</w:t>
      </w:r>
      <w:r>
        <w:rPr>
          <w:sz w:val="22"/>
          <w:szCs w:val="22"/>
        </w:rPr>
        <w:t>3</w:t>
      </w:r>
      <w:r w:rsidRPr="00D07D36">
        <w:rPr>
          <w:sz w:val="22"/>
          <w:szCs w:val="22"/>
        </w:rPr>
        <w:t xml:space="preserve"> и 1.</w:t>
      </w:r>
      <w:r>
        <w:rPr>
          <w:sz w:val="22"/>
          <w:szCs w:val="22"/>
        </w:rPr>
        <w:t>4 данные приведены</w:t>
      </w:r>
      <w:r w:rsidRPr="00D07D36">
        <w:rPr>
          <w:sz w:val="22"/>
          <w:szCs w:val="22"/>
        </w:rPr>
        <w:t xml:space="preserve"> по отношению к декабрю предыдущего года </w:t>
      </w:r>
    </w:p>
  </w:footnote>
  <w:footnote w:id="3">
    <w:p w:rsidR="00635258" w:rsidRDefault="00635258" w:rsidP="00D41471">
      <w:pPr>
        <w:pStyle w:val="FootnoteText"/>
      </w:pPr>
      <w:r w:rsidRPr="005D3E76">
        <w:rPr>
          <w:rStyle w:val="FootnoteReference"/>
          <w:sz w:val="22"/>
          <w:szCs w:val="22"/>
        </w:rPr>
        <w:footnoteRef/>
      </w:r>
      <w:r w:rsidRPr="005D3E76">
        <w:rPr>
          <w:sz w:val="22"/>
          <w:szCs w:val="22"/>
        </w:rPr>
        <w:t xml:space="preserve"> </w:t>
      </w:r>
      <w:r w:rsidRPr="005D3E76">
        <w:rPr>
          <w:color w:val="000000"/>
          <w:sz w:val="22"/>
          <w:szCs w:val="22"/>
        </w:rPr>
        <w:t>объём денежных доходов за вычетом обязательных платежей и разнообразных взносов</w:t>
      </w:r>
    </w:p>
  </w:footnote>
  <w:footnote w:id="4">
    <w:p w:rsidR="00635258" w:rsidRDefault="00635258" w:rsidP="00D41471">
      <w:pPr>
        <w:pStyle w:val="FootnoteText"/>
      </w:pPr>
      <w:r w:rsidRPr="003A2BEB">
        <w:rPr>
          <w:rStyle w:val="FootnoteReference"/>
          <w:sz w:val="22"/>
          <w:szCs w:val="22"/>
        </w:rPr>
        <w:footnoteRef/>
      </w:r>
      <w:r w:rsidRPr="003A2BEB">
        <w:rPr>
          <w:sz w:val="22"/>
          <w:szCs w:val="22"/>
        </w:rPr>
        <w:t xml:space="preserve"> согласно данным Единого Государственного фонда социального страхования ПМР </w:t>
      </w:r>
    </w:p>
  </w:footnote>
  <w:footnote w:id="5">
    <w:p w:rsidR="00635258" w:rsidRDefault="00635258" w:rsidP="00D41471">
      <w:pPr>
        <w:pStyle w:val="FootnoteText"/>
        <w:jc w:val="both"/>
      </w:pPr>
      <w:r w:rsidRPr="00136DDC">
        <w:rPr>
          <w:rStyle w:val="FootnoteReference"/>
          <w:sz w:val="22"/>
          <w:szCs w:val="22"/>
        </w:rPr>
        <w:footnoteRef/>
      </w:r>
      <w:r w:rsidRPr="00136DDC">
        <w:rPr>
          <w:sz w:val="22"/>
          <w:szCs w:val="22"/>
        </w:rPr>
        <w:t xml:space="preserve"> численность незанятых граждан, зарегистрированных в органах службы занятости, в расчёте на одну вакансию</w:t>
      </w:r>
    </w:p>
  </w:footnote>
  <w:footnote w:id="6">
    <w:p w:rsidR="00635258" w:rsidRDefault="00635258" w:rsidP="00AA518A">
      <w:pPr>
        <w:pStyle w:val="FootnoteText"/>
      </w:pPr>
      <w:r w:rsidRPr="007675C7">
        <w:rPr>
          <w:rStyle w:val="FootnoteReference"/>
          <w:sz w:val="22"/>
          <w:szCs w:val="22"/>
        </w:rPr>
        <w:footnoteRef/>
      </w:r>
      <w:r w:rsidRPr="007675C7">
        <w:rPr>
          <w:rStyle w:val="FootnoteReference"/>
          <w:sz w:val="22"/>
          <w:szCs w:val="22"/>
        </w:rPr>
        <w:t xml:space="preserve"> </w:t>
      </w:r>
      <w:r w:rsidRPr="007675C7">
        <w:rPr>
          <w:sz w:val="22"/>
          <w:szCs w:val="22"/>
        </w:rPr>
        <w:t xml:space="preserve"> без учёта ЗАО «Банк сельхозразвития»</w:t>
      </w:r>
    </w:p>
  </w:footnote>
  <w:footnote w:id="7">
    <w:p w:rsidR="00635258" w:rsidRDefault="00635258" w:rsidP="00AA518A">
      <w:pPr>
        <w:pStyle w:val="FootnoteText"/>
        <w:jc w:val="both"/>
      </w:pPr>
      <w:r w:rsidRPr="00961D65">
        <w:rPr>
          <w:rStyle w:val="FootnoteReference"/>
          <w:sz w:val="22"/>
          <w:szCs w:val="22"/>
        </w:rPr>
        <w:footnoteRef/>
      </w:r>
      <w:r w:rsidRPr="00961D65">
        <w:rPr>
          <w:sz w:val="22"/>
          <w:szCs w:val="22"/>
        </w:rPr>
        <w:t xml:space="preserve"> доля средств клиентов (юридических и физических лиц) в общем объёме привлечённых средств</w:t>
      </w:r>
    </w:p>
  </w:footnote>
  <w:footnote w:id="8">
    <w:p w:rsidR="00635258" w:rsidRDefault="00635258" w:rsidP="00946E2F">
      <w:pPr>
        <w:pStyle w:val="FootnoteText"/>
        <w:spacing w:line="235" w:lineRule="auto"/>
        <w:jc w:val="both"/>
      </w:pPr>
      <w:r w:rsidRPr="00946E2F">
        <w:rPr>
          <w:rStyle w:val="FootnoteReference"/>
        </w:rPr>
        <w:footnoteRef/>
      </w:r>
      <w:r w:rsidRPr="00946E2F">
        <w:t xml:space="preserve"> </w:t>
      </w:r>
      <w:r w:rsidRPr="00946E2F">
        <w:rPr>
          <w:sz w:val="22"/>
          <w:szCs w:val="22"/>
        </w:rPr>
        <w:t>(задолженность по кредитам – просроченная задолженность по кредитам) / задолженность по кредитам</w:t>
      </w:r>
    </w:p>
  </w:footnote>
  <w:footnote w:id="9">
    <w:p w:rsidR="00635258" w:rsidRDefault="00635258" w:rsidP="00AA518A">
      <w:pPr>
        <w:pStyle w:val="FootnoteText"/>
      </w:pPr>
      <w:r w:rsidRPr="003731CA">
        <w:rPr>
          <w:rStyle w:val="FootnoteReference"/>
          <w:sz w:val="22"/>
          <w:szCs w:val="22"/>
        </w:rPr>
        <w:footnoteRef/>
      </w:r>
      <w:r w:rsidRPr="003731CA">
        <w:rPr>
          <w:rStyle w:val="FootnoteReference"/>
          <w:sz w:val="22"/>
          <w:szCs w:val="22"/>
        </w:rPr>
        <w:t xml:space="preserve"> </w:t>
      </w:r>
      <w:r w:rsidRPr="003731CA">
        <w:rPr>
          <w:sz w:val="22"/>
          <w:szCs w:val="22"/>
        </w:rPr>
        <w:t xml:space="preserve"> без учёта ЗАО «Банк сельхозразвития»</w:t>
      </w:r>
    </w:p>
  </w:footnote>
  <w:footnote w:id="10">
    <w:p w:rsidR="00635258" w:rsidRDefault="00635258" w:rsidP="00493748">
      <w:pPr>
        <w:pStyle w:val="FootnoteText"/>
      </w:pPr>
      <w:r w:rsidRPr="00892253">
        <w:rPr>
          <w:rStyle w:val="FootnoteReference"/>
          <w:sz w:val="22"/>
          <w:szCs w:val="22"/>
        </w:rPr>
        <w:footnoteRef/>
      </w:r>
      <w:r w:rsidRPr="00892253">
        <w:rPr>
          <w:sz w:val="22"/>
          <w:szCs w:val="22"/>
        </w:rPr>
        <w:t xml:space="preserve"> данные за </w:t>
      </w:r>
      <w:r>
        <w:rPr>
          <w:sz w:val="22"/>
          <w:szCs w:val="22"/>
        </w:rPr>
        <w:t>2</w:t>
      </w:r>
      <w:r w:rsidRPr="00892253">
        <w:rPr>
          <w:sz w:val="22"/>
          <w:szCs w:val="22"/>
        </w:rPr>
        <w:t>013 и 2014 годы уточнены</w:t>
      </w:r>
    </w:p>
  </w:footnote>
  <w:footnote w:id="11">
    <w:p w:rsidR="00635258" w:rsidRDefault="00635258" w:rsidP="00493748">
      <w:pPr>
        <w:pStyle w:val="FootnoteText"/>
        <w:jc w:val="both"/>
      </w:pPr>
      <w:r w:rsidRPr="00892253">
        <w:rPr>
          <w:rStyle w:val="FootnoteReference"/>
          <w:sz w:val="22"/>
          <w:szCs w:val="22"/>
        </w:rPr>
        <w:footnoteRef/>
      </w:r>
      <w:r w:rsidRPr="00892253">
        <w:rPr>
          <w:sz w:val="22"/>
          <w:szCs w:val="22"/>
        </w:rPr>
        <w:t xml:space="preserve"> в некоторых случаях незначительные расхождения между показателями объясняются округлением величин</w:t>
      </w:r>
    </w:p>
  </w:footnote>
  <w:footnote w:id="12">
    <w:p w:rsidR="00635258" w:rsidRDefault="00635258" w:rsidP="00493748">
      <w:pPr>
        <w:pStyle w:val="FootnoteText"/>
      </w:pPr>
      <w:r w:rsidRPr="00BC2934">
        <w:rPr>
          <w:rStyle w:val="FootnoteReference"/>
          <w:sz w:val="22"/>
          <w:szCs w:val="22"/>
        </w:rPr>
        <w:footnoteRef/>
      </w:r>
      <w:r w:rsidRPr="00BC2934">
        <w:rPr>
          <w:sz w:val="22"/>
          <w:szCs w:val="22"/>
        </w:rPr>
        <w:t xml:space="preserve"> по методике платёжного баланса</w:t>
      </w:r>
    </w:p>
  </w:footnote>
  <w:footnote w:id="13">
    <w:p w:rsidR="00635258" w:rsidRDefault="00635258" w:rsidP="00957743">
      <w:pPr>
        <w:pStyle w:val="FootnoteText"/>
        <w:jc w:val="both"/>
      </w:pPr>
      <w:r w:rsidRPr="002722FD">
        <w:rPr>
          <w:rStyle w:val="FootnoteReference"/>
          <w:sz w:val="22"/>
          <w:szCs w:val="22"/>
        </w:rPr>
        <w:footnoteRef/>
      </w:r>
      <w:r w:rsidRPr="002722FD">
        <w:rPr>
          <w:sz w:val="22"/>
          <w:szCs w:val="22"/>
        </w:rPr>
        <w:t xml:space="preserve"> средний объём рассчитан по формуле средней </w:t>
      </w:r>
      <w:r>
        <w:rPr>
          <w:sz w:val="22"/>
          <w:szCs w:val="22"/>
        </w:rPr>
        <w:t xml:space="preserve">арифметической </w:t>
      </w:r>
      <w:r w:rsidRPr="002722FD">
        <w:rPr>
          <w:sz w:val="22"/>
          <w:szCs w:val="22"/>
        </w:rPr>
        <w:t>исходя из данных на первое число месяца</w:t>
      </w:r>
    </w:p>
  </w:footnote>
  <w:footnote w:id="14">
    <w:p w:rsidR="00635258" w:rsidRDefault="00635258" w:rsidP="00131D2B">
      <w:pPr>
        <w:pStyle w:val="FootnoteText"/>
        <w:jc w:val="both"/>
      </w:pPr>
      <w:r w:rsidRPr="00781919"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 без учёта привлечё</w:t>
      </w:r>
      <w:r w:rsidRPr="00781919">
        <w:rPr>
          <w:sz w:val="22"/>
          <w:szCs w:val="22"/>
        </w:rPr>
        <w:t>нных кредитов (ссуд), займов;</w:t>
      </w:r>
    </w:p>
  </w:footnote>
  <w:footnote w:id="15">
    <w:p w:rsidR="00635258" w:rsidRDefault="00635258" w:rsidP="00131D2B">
      <w:pPr>
        <w:pStyle w:val="FootnoteText"/>
        <w:jc w:val="both"/>
      </w:pPr>
      <w:r w:rsidRPr="00781919">
        <w:rPr>
          <w:rStyle w:val="FootnoteReference"/>
          <w:sz w:val="22"/>
          <w:szCs w:val="22"/>
        </w:rPr>
        <w:footnoteRef/>
      </w:r>
      <w:r w:rsidRPr="00781919">
        <w:rPr>
          <w:sz w:val="22"/>
          <w:szCs w:val="22"/>
        </w:rPr>
        <w:t xml:space="preserve"> в доходах 2014 года также не учитываются средства, полученные от размещения государственных облигаций. Согласно Закону ПМР «О бюджетной классификации ПМР» статья «Поступления средств по ценным бумагам (ГКО, ГО, векселям)» включена в налоговые доходы. По экономической сущности денежные средства, полученные от размещения государственных облигаций, являются привлечённым кредитом. Справочно: поступления выручки от продажи ГКО составили </w:t>
      </w:r>
      <w:r>
        <w:rPr>
          <w:sz w:val="22"/>
          <w:szCs w:val="22"/>
        </w:rPr>
        <w:br/>
      </w:r>
      <w:r w:rsidRPr="00781919">
        <w:rPr>
          <w:sz w:val="22"/>
          <w:szCs w:val="22"/>
        </w:rPr>
        <w:t>228,7 млн руб.</w:t>
      </w:r>
    </w:p>
  </w:footnote>
  <w:footnote w:id="16">
    <w:p w:rsidR="00635258" w:rsidRDefault="00635258" w:rsidP="00131D2B">
      <w:pPr>
        <w:pStyle w:val="FootnoteText"/>
        <w:jc w:val="both"/>
      </w:pPr>
      <w:r w:rsidRPr="00781919">
        <w:rPr>
          <w:rStyle w:val="FootnoteReference"/>
          <w:sz w:val="22"/>
          <w:szCs w:val="22"/>
        </w:rPr>
        <w:footnoteRef/>
      </w:r>
      <w:r w:rsidRPr="00781919">
        <w:rPr>
          <w:sz w:val="22"/>
          <w:szCs w:val="22"/>
        </w:rPr>
        <w:t xml:space="preserve"> в расходах 2014 года не учитываются средства, направленные на возврат кредитов по государственному долгу и процентов по ним, в общей сумме 228,7 млн руб.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bottom w:val="single" w:sz="4" w:space="0" w:color="auto"/>
      </w:tblBorders>
      <w:tblLayout w:type="fixed"/>
      <w:tblLook w:val="0000"/>
    </w:tblPr>
    <w:tblGrid>
      <w:gridCol w:w="9639"/>
    </w:tblGrid>
    <w:tr w:rsidR="00635258">
      <w:tc>
        <w:tcPr>
          <w:tcW w:w="9639" w:type="dxa"/>
          <w:tcBorders>
            <w:bottom w:val="double" w:sz="6" w:space="0" w:color="auto"/>
          </w:tcBorders>
        </w:tcPr>
        <w:p w:rsidR="00635258" w:rsidRDefault="00635258">
          <w:pPr>
            <w:pStyle w:val="Header"/>
            <w:jc w:val="center"/>
            <w:rPr>
              <w:rFonts w:ascii="Verdana" w:hAnsi="Verdana" w:cs="Verdana"/>
              <w:b/>
              <w:bCs/>
              <w:i/>
              <w:iCs/>
              <w:color w:val="C0C0C0"/>
              <w:sz w:val="24"/>
              <w:szCs w:val="24"/>
            </w:rPr>
          </w:pPr>
          <w:r>
            <w:rPr>
              <w:b/>
              <w:bCs/>
              <w:i/>
              <w:iCs/>
              <w:color w:val="C0C0C0"/>
              <w:sz w:val="24"/>
              <w:szCs w:val="24"/>
            </w:rPr>
            <w:t>Годовой отчёт Приднестровского республиканского банка за 2015 год</w:t>
          </w:r>
        </w:p>
      </w:tc>
    </w:tr>
  </w:tbl>
  <w:p w:rsidR="00635258" w:rsidRPr="00AD4E1E" w:rsidRDefault="00635258">
    <w:pPr>
      <w:pStyle w:val="Head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58" w:rsidRPr="00FE03DA" w:rsidRDefault="00635258" w:rsidP="00FE03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ADB"/>
    <w:multiLevelType w:val="hybridMultilevel"/>
    <w:tmpl w:val="F63637EA"/>
    <w:lvl w:ilvl="0" w:tplc="0419000F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>
    <w:nsid w:val="0ACF465E"/>
    <w:multiLevelType w:val="hybridMultilevel"/>
    <w:tmpl w:val="81CE36C8"/>
    <w:lvl w:ilvl="0" w:tplc="B89E3C46">
      <w:start w:val="1"/>
      <w:numFmt w:val="bullet"/>
      <w:lvlText w:val=""/>
      <w:lvlJc w:val="left"/>
      <w:pPr>
        <w:ind w:left="1931" w:hanging="360"/>
      </w:pPr>
      <w:rPr>
        <w:rFonts w:ascii="Symbol" w:hAnsi="Symbol" w:cs="Symbol" w:hint="default"/>
      </w:rPr>
    </w:lvl>
    <w:lvl w:ilvl="1" w:tplc="B89E3C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9B4241"/>
    <w:multiLevelType w:val="multilevel"/>
    <w:tmpl w:val="FD36904A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3">
    <w:nsid w:val="145E0C31"/>
    <w:multiLevelType w:val="hybridMultilevel"/>
    <w:tmpl w:val="C0BA34EA"/>
    <w:lvl w:ilvl="0" w:tplc="25F44E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0F0DDE"/>
    <w:multiLevelType w:val="hybridMultilevel"/>
    <w:tmpl w:val="650295F4"/>
    <w:lvl w:ilvl="0" w:tplc="25F44E10">
      <w:start w:val="1"/>
      <w:numFmt w:val="bullet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5">
    <w:nsid w:val="1FCC7D65"/>
    <w:multiLevelType w:val="hybridMultilevel"/>
    <w:tmpl w:val="F52C36DC"/>
    <w:lvl w:ilvl="0" w:tplc="07408A16">
      <w:start w:val="1"/>
      <w:numFmt w:val="decimal"/>
      <w:lvlText w:val="%1."/>
      <w:lvlJc w:val="left"/>
      <w:pPr>
        <w:tabs>
          <w:tab w:val="num" w:pos="1235"/>
        </w:tabs>
        <w:ind w:left="1235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20953026"/>
    <w:multiLevelType w:val="hybridMultilevel"/>
    <w:tmpl w:val="A9D8503A"/>
    <w:lvl w:ilvl="0" w:tplc="04D48C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281025C9"/>
    <w:multiLevelType w:val="hybridMultilevel"/>
    <w:tmpl w:val="72605FAC"/>
    <w:lvl w:ilvl="0" w:tplc="0419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B219E1"/>
    <w:multiLevelType w:val="hybridMultilevel"/>
    <w:tmpl w:val="FD36904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9">
    <w:nsid w:val="2ED60BDA"/>
    <w:multiLevelType w:val="hybridMultilevel"/>
    <w:tmpl w:val="CA721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80651"/>
    <w:multiLevelType w:val="hybridMultilevel"/>
    <w:tmpl w:val="F232E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68E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EB3277"/>
    <w:multiLevelType w:val="hybridMultilevel"/>
    <w:tmpl w:val="5B90FDC6"/>
    <w:lvl w:ilvl="0" w:tplc="30CA44F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2">
    <w:nsid w:val="380E3888"/>
    <w:multiLevelType w:val="hybridMultilevel"/>
    <w:tmpl w:val="DED094B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9326A01"/>
    <w:multiLevelType w:val="hybridMultilevel"/>
    <w:tmpl w:val="D12CFB1E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3A8A02DF"/>
    <w:multiLevelType w:val="multilevel"/>
    <w:tmpl w:val="1CE49E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B6C7148"/>
    <w:multiLevelType w:val="hybridMultilevel"/>
    <w:tmpl w:val="2118E35C"/>
    <w:lvl w:ilvl="0" w:tplc="F4FC17F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3D006B12"/>
    <w:multiLevelType w:val="multilevel"/>
    <w:tmpl w:val="DFC63A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0A12EA0"/>
    <w:multiLevelType w:val="hybridMultilevel"/>
    <w:tmpl w:val="EA4AD7C0"/>
    <w:lvl w:ilvl="0" w:tplc="0419000F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8">
    <w:nsid w:val="45EA5552"/>
    <w:multiLevelType w:val="hybridMultilevel"/>
    <w:tmpl w:val="D8F032AC"/>
    <w:lvl w:ilvl="0" w:tplc="AE5A2974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cs="Symbol" w:hint="default"/>
      </w:rPr>
    </w:lvl>
    <w:lvl w:ilvl="1" w:tplc="B89E3C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A433C34"/>
    <w:multiLevelType w:val="multilevel"/>
    <w:tmpl w:val="81CE36C8"/>
    <w:lvl w:ilvl="0">
      <w:start w:val="1"/>
      <w:numFmt w:val="bullet"/>
      <w:lvlText w:val=""/>
      <w:lvlJc w:val="left"/>
      <w:pPr>
        <w:ind w:left="1931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DB56F61"/>
    <w:multiLevelType w:val="hybridMultilevel"/>
    <w:tmpl w:val="3DE28DB2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1">
    <w:nsid w:val="50CB3FA7"/>
    <w:multiLevelType w:val="multilevel"/>
    <w:tmpl w:val="CF7C5E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3553BC2"/>
    <w:multiLevelType w:val="hybridMultilevel"/>
    <w:tmpl w:val="E14A94E8"/>
    <w:lvl w:ilvl="0" w:tplc="18F6F482">
      <w:start w:val="1"/>
      <w:numFmt w:val="decimal"/>
      <w:lvlText w:val="%1."/>
      <w:lvlJc w:val="left"/>
      <w:pPr>
        <w:tabs>
          <w:tab w:val="num" w:pos="1100"/>
        </w:tabs>
        <w:ind w:left="1100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>
    <w:nsid w:val="5E5703B6"/>
    <w:multiLevelType w:val="hybridMultilevel"/>
    <w:tmpl w:val="F52881B6"/>
    <w:lvl w:ilvl="0" w:tplc="25F44E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4">
    <w:nsid w:val="643E6545"/>
    <w:multiLevelType w:val="hybridMultilevel"/>
    <w:tmpl w:val="4CA0E812"/>
    <w:lvl w:ilvl="0" w:tplc="CE6ECD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97A3E54"/>
    <w:multiLevelType w:val="hybridMultilevel"/>
    <w:tmpl w:val="A87A04F8"/>
    <w:lvl w:ilvl="0" w:tplc="25F44E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6">
    <w:nsid w:val="6F031486"/>
    <w:multiLevelType w:val="hybridMultilevel"/>
    <w:tmpl w:val="1292ACB8"/>
    <w:lvl w:ilvl="0" w:tplc="25F44E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5731CE5"/>
    <w:multiLevelType w:val="hybridMultilevel"/>
    <w:tmpl w:val="7332C16C"/>
    <w:lvl w:ilvl="0" w:tplc="25F44E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8">
    <w:nsid w:val="77F67A4C"/>
    <w:multiLevelType w:val="hybridMultilevel"/>
    <w:tmpl w:val="EAB4C372"/>
    <w:lvl w:ilvl="0" w:tplc="25F44E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A2C39BF"/>
    <w:multiLevelType w:val="hybridMultilevel"/>
    <w:tmpl w:val="CDD8586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>
    <w:nsid w:val="7A624915"/>
    <w:multiLevelType w:val="hybridMultilevel"/>
    <w:tmpl w:val="C330828C"/>
    <w:lvl w:ilvl="0" w:tplc="04D48C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1">
    <w:nsid w:val="7CD1403F"/>
    <w:multiLevelType w:val="multilevel"/>
    <w:tmpl w:val="72605FAC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FE82B28"/>
    <w:multiLevelType w:val="hybridMultilevel"/>
    <w:tmpl w:val="8C74AD94"/>
    <w:lvl w:ilvl="0" w:tplc="25F44E1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"/>
  </w:num>
  <w:num w:numId="5">
    <w:abstractNumId w:val="16"/>
  </w:num>
  <w:num w:numId="6">
    <w:abstractNumId w:val="24"/>
  </w:num>
  <w:num w:numId="7">
    <w:abstractNumId w:val="29"/>
  </w:num>
  <w:num w:numId="8">
    <w:abstractNumId w:val="20"/>
  </w:num>
  <w:num w:numId="9">
    <w:abstractNumId w:val="26"/>
  </w:num>
  <w:num w:numId="10">
    <w:abstractNumId w:val="3"/>
  </w:num>
  <w:num w:numId="11">
    <w:abstractNumId w:val="4"/>
  </w:num>
  <w:num w:numId="12">
    <w:abstractNumId w:val="12"/>
  </w:num>
  <w:num w:numId="13">
    <w:abstractNumId w:val="0"/>
  </w:num>
  <w:num w:numId="14">
    <w:abstractNumId w:val="17"/>
  </w:num>
  <w:num w:numId="15">
    <w:abstractNumId w:val="15"/>
  </w:num>
  <w:num w:numId="16">
    <w:abstractNumId w:val="5"/>
  </w:num>
  <w:num w:numId="17">
    <w:abstractNumId w:val="22"/>
  </w:num>
  <w:num w:numId="18">
    <w:abstractNumId w:val="6"/>
  </w:num>
  <w:num w:numId="19">
    <w:abstractNumId w:val="30"/>
  </w:num>
  <w:num w:numId="20">
    <w:abstractNumId w:val="9"/>
  </w:num>
  <w:num w:numId="21">
    <w:abstractNumId w:val="8"/>
  </w:num>
  <w:num w:numId="22">
    <w:abstractNumId w:val="13"/>
  </w:num>
  <w:num w:numId="23">
    <w:abstractNumId w:val="7"/>
  </w:num>
  <w:num w:numId="24">
    <w:abstractNumId w:val="32"/>
  </w:num>
  <w:num w:numId="25">
    <w:abstractNumId w:val="31"/>
  </w:num>
  <w:num w:numId="26">
    <w:abstractNumId w:val="28"/>
  </w:num>
  <w:num w:numId="27">
    <w:abstractNumId w:val="27"/>
  </w:num>
  <w:num w:numId="28">
    <w:abstractNumId w:val="23"/>
  </w:num>
  <w:num w:numId="29">
    <w:abstractNumId w:val="2"/>
  </w:num>
  <w:num w:numId="30">
    <w:abstractNumId w:val="25"/>
  </w:num>
  <w:num w:numId="31">
    <w:abstractNumId w:val="11"/>
  </w:num>
  <w:num w:numId="32">
    <w:abstractNumId w:val="19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5F6"/>
    <w:rsid w:val="00000DB1"/>
    <w:rsid w:val="000015AE"/>
    <w:rsid w:val="000015CB"/>
    <w:rsid w:val="000020E5"/>
    <w:rsid w:val="00002215"/>
    <w:rsid w:val="00002915"/>
    <w:rsid w:val="000033AC"/>
    <w:rsid w:val="00003E6F"/>
    <w:rsid w:val="00004D45"/>
    <w:rsid w:val="000067BF"/>
    <w:rsid w:val="000077FF"/>
    <w:rsid w:val="0001009B"/>
    <w:rsid w:val="0001069B"/>
    <w:rsid w:val="00010AC0"/>
    <w:rsid w:val="00011401"/>
    <w:rsid w:val="000117F0"/>
    <w:rsid w:val="0001321F"/>
    <w:rsid w:val="00013937"/>
    <w:rsid w:val="000139F8"/>
    <w:rsid w:val="00013EFF"/>
    <w:rsid w:val="00014336"/>
    <w:rsid w:val="00014992"/>
    <w:rsid w:val="00015243"/>
    <w:rsid w:val="000163D5"/>
    <w:rsid w:val="00016893"/>
    <w:rsid w:val="00017214"/>
    <w:rsid w:val="00017914"/>
    <w:rsid w:val="00017925"/>
    <w:rsid w:val="00020ACA"/>
    <w:rsid w:val="0002193A"/>
    <w:rsid w:val="0002224A"/>
    <w:rsid w:val="000229D5"/>
    <w:rsid w:val="0002422F"/>
    <w:rsid w:val="00025BF5"/>
    <w:rsid w:val="00026088"/>
    <w:rsid w:val="0002621D"/>
    <w:rsid w:val="000273C9"/>
    <w:rsid w:val="00032167"/>
    <w:rsid w:val="00032409"/>
    <w:rsid w:val="00032F5D"/>
    <w:rsid w:val="0003335B"/>
    <w:rsid w:val="000348DA"/>
    <w:rsid w:val="000356DB"/>
    <w:rsid w:val="00035DD5"/>
    <w:rsid w:val="0003627D"/>
    <w:rsid w:val="0003760F"/>
    <w:rsid w:val="00040079"/>
    <w:rsid w:val="000408C9"/>
    <w:rsid w:val="00040A61"/>
    <w:rsid w:val="000415AF"/>
    <w:rsid w:val="00042448"/>
    <w:rsid w:val="0004302C"/>
    <w:rsid w:val="000430F3"/>
    <w:rsid w:val="00043AB9"/>
    <w:rsid w:val="00044F4D"/>
    <w:rsid w:val="00045214"/>
    <w:rsid w:val="0004566B"/>
    <w:rsid w:val="000479D0"/>
    <w:rsid w:val="000502F7"/>
    <w:rsid w:val="000503C3"/>
    <w:rsid w:val="00052792"/>
    <w:rsid w:val="000528B9"/>
    <w:rsid w:val="00054BDB"/>
    <w:rsid w:val="00055344"/>
    <w:rsid w:val="00055B55"/>
    <w:rsid w:val="00057C64"/>
    <w:rsid w:val="00060515"/>
    <w:rsid w:val="000609BF"/>
    <w:rsid w:val="00060AAA"/>
    <w:rsid w:val="0006149B"/>
    <w:rsid w:val="00061A8E"/>
    <w:rsid w:val="00063754"/>
    <w:rsid w:val="00064509"/>
    <w:rsid w:val="00066B6D"/>
    <w:rsid w:val="00067D98"/>
    <w:rsid w:val="00070A95"/>
    <w:rsid w:val="0007119A"/>
    <w:rsid w:val="000725C3"/>
    <w:rsid w:val="0007294D"/>
    <w:rsid w:val="000739FA"/>
    <w:rsid w:val="00073FD6"/>
    <w:rsid w:val="00074A1C"/>
    <w:rsid w:val="00074E9F"/>
    <w:rsid w:val="0007709F"/>
    <w:rsid w:val="00077177"/>
    <w:rsid w:val="00077642"/>
    <w:rsid w:val="000776A1"/>
    <w:rsid w:val="00077EAA"/>
    <w:rsid w:val="000803C1"/>
    <w:rsid w:val="000805B7"/>
    <w:rsid w:val="00080BA6"/>
    <w:rsid w:val="00080C67"/>
    <w:rsid w:val="00082FDE"/>
    <w:rsid w:val="00083696"/>
    <w:rsid w:val="00083EAB"/>
    <w:rsid w:val="00087DAF"/>
    <w:rsid w:val="000902D5"/>
    <w:rsid w:val="00090763"/>
    <w:rsid w:val="000909A0"/>
    <w:rsid w:val="00090E5D"/>
    <w:rsid w:val="00091112"/>
    <w:rsid w:val="000919D3"/>
    <w:rsid w:val="00091B2F"/>
    <w:rsid w:val="0009207A"/>
    <w:rsid w:val="000926F9"/>
    <w:rsid w:val="0009387E"/>
    <w:rsid w:val="0009481C"/>
    <w:rsid w:val="000949B6"/>
    <w:rsid w:val="00094A2A"/>
    <w:rsid w:val="00094B59"/>
    <w:rsid w:val="00095BA5"/>
    <w:rsid w:val="00095ECA"/>
    <w:rsid w:val="00097B32"/>
    <w:rsid w:val="000A07F8"/>
    <w:rsid w:val="000A21C8"/>
    <w:rsid w:val="000A21FF"/>
    <w:rsid w:val="000A243D"/>
    <w:rsid w:val="000A266C"/>
    <w:rsid w:val="000A32F7"/>
    <w:rsid w:val="000A4E36"/>
    <w:rsid w:val="000A5871"/>
    <w:rsid w:val="000A58F3"/>
    <w:rsid w:val="000A79FE"/>
    <w:rsid w:val="000B097A"/>
    <w:rsid w:val="000B2356"/>
    <w:rsid w:val="000B35F6"/>
    <w:rsid w:val="000B3BC6"/>
    <w:rsid w:val="000B3CB8"/>
    <w:rsid w:val="000B4BB6"/>
    <w:rsid w:val="000B51EE"/>
    <w:rsid w:val="000B5C32"/>
    <w:rsid w:val="000B7634"/>
    <w:rsid w:val="000B7D82"/>
    <w:rsid w:val="000C04DE"/>
    <w:rsid w:val="000C060C"/>
    <w:rsid w:val="000C0CA5"/>
    <w:rsid w:val="000C2726"/>
    <w:rsid w:val="000C398F"/>
    <w:rsid w:val="000C47E4"/>
    <w:rsid w:val="000C4E3C"/>
    <w:rsid w:val="000C598D"/>
    <w:rsid w:val="000C5BAA"/>
    <w:rsid w:val="000D002A"/>
    <w:rsid w:val="000D0822"/>
    <w:rsid w:val="000D082A"/>
    <w:rsid w:val="000D0A9F"/>
    <w:rsid w:val="000D1CE0"/>
    <w:rsid w:val="000D3750"/>
    <w:rsid w:val="000D3B39"/>
    <w:rsid w:val="000D4647"/>
    <w:rsid w:val="000D529E"/>
    <w:rsid w:val="000D71F9"/>
    <w:rsid w:val="000E04ED"/>
    <w:rsid w:val="000E0777"/>
    <w:rsid w:val="000E1B7E"/>
    <w:rsid w:val="000E2E33"/>
    <w:rsid w:val="000E3014"/>
    <w:rsid w:val="000E32BD"/>
    <w:rsid w:val="000E443F"/>
    <w:rsid w:val="000E51ED"/>
    <w:rsid w:val="000E68A0"/>
    <w:rsid w:val="000E68CF"/>
    <w:rsid w:val="000E753C"/>
    <w:rsid w:val="000E7A5A"/>
    <w:rsid w:val="000F01E9"/>
    <w:rsid w:val="000F03C4"/>
    <w:rsid w:val="000F0D53"/>
    <w:rsid w:val="000F1699"/>
    <w:rsid w:val="000F185A"/>
    <w:rsid w:val="000F1DCE"/>
    <w:rsid w:val="000F2094"/>
    <w:rsid w:val="000F27C3"/>
    <w:rsid w:val="000F3414"/>
    <w:rsid w:val="000F3A4F"/>
    <w:rsid w:val="000F3E51"/>
    <w:rsid w:val="000F5A7A"/>
    <w:rsid w:val="000F5BC7"/>
    <w:rsid w:val="000F610A"/>
    <w:rsid w:val="000F6B24"/>
    <w:rsid w:val="000F6BE3"/>
    <w:rsid w:val="000F796D"/>
    <w:rsid w:val="00100197"/>
    <w:rsid w:val="00100C32"/>
    <w:rsid w:val="001014D8"/>
    <w:rsid w:val="001014EF"/>
    <w:rsid w:val="0010178E"/>
    <w:rsid w:val="00103393"/>
    <w:rsid w:val="00103D1B"/>
    <w:rsid w:val="00105BDB"/>
    <w:rsid w:val="00106095"/>
    <w:rsid w:val="001060F0"/>
    <w:rsid w:val="0010630D"/>
    <w:rsid w:val="001067DC"/>
    <w:rsid w:val="00111017"/>
    <w:rsid w:val="00111754"/>
    <w:rsid w:val="00111B2A"/>
    <w:rsid w:val="00112B66"/>
    <w:rsid w:val="00112B81"/>
    <w:rsid w:val="001136F8"/>
    <w:rsid w:val="001168C2"/>
    <w:rsid w:val="00117B47"/>
    <w:rsid w:val="00117F05"/>
    <w:rsid w:val="001202C2"/>
    <w:rsid w:val="00121362"/>
    <w:rsid w:val="001220BE"/>
    <w:rsid w:val="00122119"/>
    <w:rsid w:val="001226F3"/>
    <w:rsid w:val="00122861"/>
    <w:rsid w:val="00123CE2"/>
    <w:rsid w:val="00124824"/>
    <w:rsid w:val="00125665"/>
    <w:rsid w:val="00126ECC"/>
    <w:rsid w:val="001270E4"/>
    <w:rsid w:val="00127EE8"/>
    <w:rsid w:val="001304A6"/>
    <w:rsid w:val="001306DE"/>
    <w:rsid w:val="001311A6"/>
    <w:rsid w:val="00131B43"/>
    <w:rsid w:val="00131D2B"/>
    <w:rsid w:val="0013273F"/>
    <w:rsid w:val="00133679"/>
    <w:rsid w:val="00134EEF"/>
    <w:rsid w:val="0013653B"/>
    <w:rsid w:val="00136BA9"/>
    <w:rsid w:val="00136C68"/>
    <w:rsid w:val="00136DDC"/>
    <w:rsid w:val="00136F7C"/>
    <w:rsid w:val="001370F7"/>
    <w:rsid w:val="00137C66"/>
    <w:rsid w:val="00140911"/>
    <w:rsid w:val="00141B50"/>
    <w:rsid w:val="00142364"/>
    <w:rsid w:val="001423F2"/>
    <w:rsid w:val="0014251C"/>
    <w:rsid w:val="00142F2B"/>
    <w:rsid w:val="00142F96"/>
    <w:rsid w:val="001439FC"/>
    <w:rsid w:val="00143A66"/>
    <w:rsid w:val="00143B97"/>
    <w:rsid w:val="00143BFF"/>
    <w:rsid w:val="00143DB1"/>
    <w:rsid w:val="0014549B"/>
    <w:rsid w:val="0014562E"/>
    <w:rsid w:val="001457A5"/>
    <w:rsid w:val="001463E4"/>
    <w:rsid w:val="00146E29"/>
    <w:rsid w:val="00146E97"/>
    <w:rsid w:val="001470C7"/>
    <w:rsid w:val="001471AD"/>
    <w:rsid w:val="00147F55"/>
    <w:rsid w:val="00150009"/>
    <w:rsid w:val="001504E3"/>
    <w:rsid w:val="00151016"/>
    <w:rsid w:val="0015176E"/>
    <w:rsid w:val="00152247"/>
    <w:rsid w:val="00152B81"/>
    <w:rsid w:val="001549A1"/>
    <w:rsid w:val="00154C69"/>
    <w:rsid w:val="00154D13"/>
    <w:rsid w:val="001553E5"/>
    <w:rsid w:val="00156343"/>
    <w:rsid w:val="001570CD"/>
    <w:rsid w:val="00157736"/>
    <w:rsid w:val="00160336"/>
    <w:rsid w:val="00160A97"/>
    <w:rsid w:val="00161D65"/>
    <w:rsid w:val="00162EFA"/>
    <w:rsid w:val="00163DE0"/>
    <w:rsid w:val="0016444E"/>
    <w:rsid w:val="0016469C"/>
    <w:rsid w:val="00165670"/>
    <w:rsid w:val="00165AB5"/>
    <w:rsid w:val="00166727"/>
    <w:rsid w:val="00167205"/>
    <w:rsid w:val="00167A7F"/>
    <w:rsid w:val="00171438"/>
    <w:rsid w:val="00171C51"/>
    <w:rsid w:val="0017246A"/>
    <w:rsid w:val="00172985"/>
    <w:rsid w:val="00174419"/>
    <w:rsid w:val="00174FA4"/>
    <w:rsid w:val="00175516"/>
    <w:rsid w:val="00175738"/>
    <w:rsid w:val="00176315"/>
    <w:rsid w:val="0017660F"/>
    <w:rsid w:val="001769EA"/>
    <w:rsid w:val="00177257"/>
    <w:rsid w:val="001772AD"/>
    <w:rsid w:val="00177642"/>
    <w:rsid w:val="00177861"/>
    <w:rsid w:val="00180723"/>
    <w:rsid w:val="001819C2"/>
    <w:rsid w:val="00181ADE"/>
    <w:rsid w:val="00183902"/>
    <w:rsid w:val="001848F3"/>
    <w:rsid w:val="00184B95"/>
    <w:rsid w:val="00184D46"/>
    <w:rsid w:val="00184F72"/>
    <w:rsid w:val="00185302"/>
    <w:rsid w:val="00185637"/>
    <w:rsid w:val="001869A1"/>
    <w:rsid w:val="001869C9"/>
    <w:rsid w:val="00187979"/>
    <w:rsid w:val="00187B85"/>
    <w:rsid w:val="00187E37"/>
    <w:rsid w:val="00190034"/>
    <w:rsid w:val="00192F1D"/>
    <w:rsid w:val="0019302D"/>
    <w:rsid w:val="0019306D"/>
    <w:rsid w:val="0019335E"/>
    <w:rsid w:val="00193ADB"/>
    <w:rsid w:val="00194E83"/>
    <w:rsid w:val="001969DC"/>
    <w:rsid w:val="00196F53"/>
    <w:rsid w:val="00197ABA"/>
    <w:rsid w:val="001A0019"/>
    <w:rsid w:val="001A0CF5"/>
    <w:rsid w:val="001A139D"/>
    <w:rsid w:val="001A1A33"/>
    <w:rsid w:val="001A3FD4"/>
    <w:rsid w:val="001A5383"/>
    <w:rsid w:val="001A5BF3"/>
    <w:rsid w:val="001A5E90"/>
    <w:rsid w:val="001A6265"/>
    <w:rsid w:val="001A7CC0"/>
    <w:rsid w:val="001B00A8"/>
    <w:rsid w:val="001B253B"/>
    <w:rsid w:val="001B2605"/>
    <w:rsid w:val="001B2D2D"/>
    <w:rsid w:val="001B6395"/>
    <w:rsid w:val="001B720A"/>
    <w:rsid w:val="001B7326"/>
    <w:rsid w:val="001B761F"/>
    <w:rsid w:val="001B7B2B"/>
    <w:rsid w:val="001B7DD6"/>
    <w:rsid w:val="001C08E4"/>
    <w:rsid w:val="001C1D99"/>
    <w:rsid w:val="001C3A3B"/>
    <w:rsid w:val="001C5716"/>
    <w:rsid w:val="001C5765"/>
    <w:rsid w:val="001C657D"/>
    <w:rsid w:val="001C65D9"/>
    <w:rsid w:val="001C6966"/>
    <w:rsid w:val="001D1174"/>
    <w:rsid w:val="001D1F94"/>
    <w:rsid w:val="001D2948"/>
    <w:rsid w:val="001D2B39"/>
    <w:rsid w:val="001D31B8"/>
    <w:rsid w:val="001D3D1D"/>
    <w:rsid w:val="001D6311"/>
    <w:rsid w:val="001D77EC"/>
    <w:rsid w:val="001E0BE6"/>
    <w:rsid w:val="001E0C36"/>
    <w:rsid w:val="001E1CB9"/>
    <w:rsid w:val="001E2049"/>
    <w:rsid w:val="001E251F"/>
    <w:rsid w:val="001E2CEF"/>
    <w:rsid w:val="001E3095"/>
    <w:rsid w:val="001E3B93"/>
    <w:rsid w:val="001E509D"/>
    <w:rsid w:val="001E5228"/>
    <w:rsid w:val="001E61A8"/>
    <w:rsid w:val="001E70C3"/>
    <w:rsid w:val="001E7118"/>
    <w:rsid w:val="001F0915"/>
    <w:rsid w:val="001F17A4"/>
    <w:rsid w:val="001F1F27"/>
    <w:rsid w:val="001F1F5A"/>
    <w:rsid w:val="001F3BA6"/>
    <w:rsid w:val="001F3E4E"/>
    <w:rsid w:val="001F4621"/>
    <w:rsid w:val="001F482B"/>
    <w:rsid w:val="001F4F71"/>
    <w:rsid w:val="001F6270"/>
    <w:rsid w:val="001F72DC"/>
    <w:rsid w:val="001F763E"/>
    <w:rsid w:val="00200417"/>
    <w:rsid w:val="00201980"/>
    <w:rsid w:val="00201C65"/>
    <w:rsid w:val="00202F8E"/>
    <w:rsid w:val="00203736"/>
    <w:rsid w:val="002037BB"/>
    <w:rsid w:val="00204444"/>
    <w:rsid w:val="00205DD4"/>
    <w:rsid w:val="00205FC0"/>
    <w:rsid w:val="00206FEF"/>
    <w:rsid w:val="00207BA1"/>
    <w:rsid w:val="00207D56"/>
    <w:rsid w:val="00211937"/>
    <w:rsid w:val="00212A24"/>
    <w:rsid w:val="00212C9A"/>
    <w:rsid w:val="002140A7"/>
    <w:rsid w:val="00216EC0"/>
    <w:rsid w:val="00221B3C"/>
    <w:rsid w:val="00221EC7"/>
    <w:rsid w:val="00222DC8"/>
    <w:rsid w:val="002235A9"/>
    <w:rsid w:val="002258BB"/>
    <w:rsid w:val="0022630F"/>
    <w:rsid w:val="002268AF"/>
    <w:rsid w:val="00226B50"/>
    <w:rsid w:val="00226D6F"/>
    <w:rsid w:val="002273ED"/>
    <w:rsid w:val="0023032A"/>
    <w:rsid w:val="0023070B"/>
    <w:rsid w:val="00231AB4"/>
    <w:rsid w:val="00231F94"/>
    <w:rsid w:val="00232784"/>
    <w:rsid w:val="00233929"/>
    <w:rsid w:val="00235099"/>
    <w:rsid w:val="00235CA5"/>
    <w:rsid w:val="00237BE2"/>
    <w:rsid w:val="00240144"/>
    <w:rsid w:val="00240168"/>
    <w:rsid w:val="00240622"/>
    <w:rsid w:val="00241206"/>
    <w:rsid w:val="00243034"/>
    <w:rsid w:val="00243CB6"/>
    <w:rsid w:val="00243D6A"/>
    <w:rsid w:val="00245410"/>
    <w:rsid w:val="00245924"/>
    <w:rsid w:val="00245CA2"/>
    <w:rsid w:val="00246DBD"/>
    <w:rsid w:val="002509E4"/>
    <w:rsid w:val="00250F02"/>
    <w:rsid w:val="00251B52"/>
    <w:rsid w:val="00251CBE"/>
    <w:rsid w:val="00251FD0"/>
    <w:rsid w:val="00252596"/>
    <w:rsid w:val="00253523"/>
    <w:rsid w:val="00253C0D"/>
    <w:rsid w:val="002546DC"/>
    <w:rsid w:val="00254D16"/>
    <w:rsid w:val="0025659C"/>
    <w:rsid w:val="00256C22"/>
    <w:rsid w:val="00257396"/>
    <w:rsid w:val="00257419"/>
    <w:rsid w:val="002578BD"/>
    <w:rsid w:val="00257C32"/>
    <w:rsid w:val="00261503"/>
    <w:rsid w:val="00261F70"/>
    <w:rsid w:val="00262514"/>
    <w:rsid w:val="002633FB"/>
    <w:rsid w:val="00263968"/>
    <w:rsid w:val="00263C29"/>
    <w:rsid w:val="0026661D"/>
    <w:rsid w:val="00266AFA"/>
    <w:rsid w:val="00267FF8"/>
    <w:rsid w:val="0027045B"/>
    <w:rsid w:val="0027053B"/>
    <w:rsid w:val="00270544"/>
    <w:rsid w:val="00271C5C"/>
    <w:rsid w:val="002722FD"/>
    <w:rsid w:val="00273131"/>
    <w:rsid w:val="00274841"/>
    <w:rsid w:val="00275B45"/>
    <w:rsid w:val="00275F6C"/>
    <w:rsid w:val="00276899"/>
    <w:rsid w:val="00280B9F"/>
    <w:rsid w:val="002827DF"/>
    <w:rsid w:val="002839C2"/>
    <w:rsid w:val="00284603"/>
    <w:rsid w:val="00284E2E"/>
    <w:rsid w:val="00285194"/>
    <w:rsid w:val="0028555C"/>
    <w:rsid w:val="00285745"/>
    <w:rsid w:val="00286760"/>
    <w:rsid w:val="002869EF"/>
    <w:rsid w:val="00286A4B"/>
    <w:rsid w:val="00286C93"/>
    <w:rsid w:val="00287610"/>
    <w:rsid w:val="00287830"/>
    <w:rsid w:val="002879A6"/>
    <w:rsid w:val="00287E3A"/>
    <w:rsid w:val="00287E5F"/>
    <w:rsid w:val="0029032D"/>
    <w:rsid w:val="002904D3"/>
    <w:rsid w:val="002922B1"/>
    <w:rsid w:val="002930A4"/>
    <w:rsid w:val="0029387B"/>
    <w:rsid w:val="00293E31"/>
    <w:rsid w:val="002943E9"/>
    <w:rsid w:val="00294A15"/>
    <w:rsid w:val="002A0682"/>
    <w:rsid w:val="002A0AA5"/>
    <w:rsid w:val="002A0AB4"/>
    <w:rsid w:val="002A0B48"/>
    <w:rsid w:val="002A15DD"/>
    <w:rsid w:val="002A27AC"/>
    <w:rsid w:val="002A4A1C"/>
    <w:rsid w:val="002A5049"/>
    <w:rsid w:val="002A69AD"/>
    <w:rsid w:val="002A6A47"/>
    <w:rsid w:val="002A6D90"/>
    <w:rsid w:val="002A6E68"/>
    <w:rsid w:val="002A711A"/>
    <w:rsid w:val="002A76C0"/>
    <w:rsid w:val="002A78E9"/>
    <w:rsid w:val="002B0AF3"/>
    <w:rsid w:val="002B0D28"/>
    <w:rsid w:val="002B2C09"/>
    <w:rsid w:val="002B5035"/>
    <w:rsid w:val="002B59FE"/>
    <w:rsid w:val="002B637B"/>
    <w:rsid w:val="002B663C"/>
    <w:rsid w:val="002B6E1D"/>
    <w:rsid w:val="002B77F2"/>
    <w:rsid w:val="002B7871"/>
    <w:rsid w:val="002B7C0C"/>
    <w:rsid w:val="002B7E17"/>
    <w:rsid w:val="002C026D"/>
    <w:rsid w:val="002C0986"/>
    <w:rsid w:val="002C13D6"/>
    <w:rsid w:val="002C2312"/>
    <w:rsid w:val="002C2BF4"/>
    <w:rsid w:val="002C45B0"/>
    <w:rsid w:val="002C54D9"/>
    <w:rsid w:val="002C5747"/>
    <w:rsid w:val="002C5C79"/>
    <w:rsid w:val="002C6A89"/>
    <w:rsid w:val="002C71A8"/>
    <w:rsid w:val="002C79D2"/>
    <w:rsid w:val="002D079C"/>
    <w:rsid w:val="002D08B1"/>
    <w:rsid w:val="002D20B4"/>
    <w:rsid w:val="002D20EB"/>
    <w:rsid w:val="002D22EF"/>
    <w:rsid w:val="002D2566"/>
    <w:rsid w:val="002D3D8D"/>
    <w:rsid w:val="002D4BC2"/>
    <w:rsid w:val="002D5524"/>
    <w:rsid w:val="002D564B"/>
    <w:rsid w:val="002D649C"/>
    <w:rsid w:val="002D700E"/>
    <w:rsid w:val="002D7297"/>
    <w:rsid w:val="002D77DE"/>
    <w:rsid w:val="002D7D23"/>
    <w:rsid w:val="002D7D5E"/>
    <w:rsid w:val="002E018A"/>
    <w:rsid w:val="002E0981"/>
    <w:rsid w:val="002E0F34"/>
    <w:rsid w:val="002E20AC"/>
    <w:rsid w:val="002E30DB"/>
    <w:rsid w:val="002E39AC"/>
    <w:rsid w:val="002E40C8"/>
    <w:rsid w:val="002E5AE0"/>
    <w:rsid w:val="002E692E"/>
    <w:rsid w:val="002E747E"/>
    <w:rsid w:val="002E7807"/>
    <w:rsid w:val="002E79A9"/>
    <w:rsid w:val="002E7FCB"/>
    <w:rsid w:val="002F011A"/>
    <w:rsid w:val="002F0A50"/>
    <w:rsid w:val="002F12B7"/>
    <w:rsid w:val="002F1448"/>
    <w:rsid w:val="002F15E3"/>
    <w:rsid w:val="002F1C62"/>
    <w:rsid w:val="002F1CD4"/>
    <w:rsid w:val="002F1DA9"/>
    <w:rsid w:val="002F3540"/>
    <w:rsid w:val="002F5EEE"/>
    <w:rsid w:val="002F70A2"/>
    <w:rsid w:val="002F71C3"/>
    <w:rsid w:val="003000B8"/>
    <w:rsid w:val="00301F6D"/>
    <w:rsid w:val="00302B65"/>
    <w:rsid w:val="003032BB"/>
    <w:rsid w:val="003039BC"/>
    <w:rsid w:val="003041B3"/>
    <w:rsid w:val="00306F52"/>
    <w:rsid w:val="003075A2"/>
    <w:rsid w:val="00310D70"/>
    <w:rsid w:val="00311382"/>
    <w:rsid w:val="00311C98"/>
    <w:rsid w:val="00312918"/>
    <w:rsid w:val="00312A17"/>
    <w:rsid w:val="00313B69"/>
    <w:rsid w:val="0031448E"/>
    <w:rsid w:val="00314561"/>
    <w:rsid w:val="00314FDA"/>
    <w:rsid w:val="003152F3"/>
    <w:rsid w:val="0031558F"/>
    <w:rsid w:val="003163FB"/>
    <w:rsid w:val="00316673"/>
    <w:rsid w:val="0031709D"/>
    <w:rsid w:val="0031738D"/>
    <w:rsid w:val="00320315"/>
    <w:rsid w:val="003209DA"/>
    <w:rsid w:val="003236FE"/>
    <w:rsid w:val="00323D2E"/>
    <w:rsid w:val="00324035"/>
    <w:rsid w:val="00324786"/>
    <w:rsid w:val="00324B2B"/>
    <w:rsid w:val="00324BC4"/>
    <w:rsid w:val="00324F3F"/>
    <w:rsid w:val="00325E2B"/>
    <w:rsid w:val="00327081"/>
    <w:rsid w:val="00331409"/>
    <w:rsid w:val="00331F7F"/>
    <w:rsid w:val="003326A1"/>
    <w:rsid w:val="003330FA"/>
    <w:rsid w:val="0033344E"/>
    <w:rsid w:val="00333894"/>
    <w:rsid w:val="00334BE1"/>
    <w:rsid w:val="00335B9C"/>
    <w:rsid w:val="00335C5E"/>
    <w:rsid w:val="00335F5D"/>
    <w:rsid w:val="00336A36"/>
    <w:rsid w:val="00337157"/>
    <w:rsid w:val="003374BF"/>
    <w:rsid w:val="0034065B"/>
    <w:rsid w:val="00340C09"/>
    <w:rsid w:val="00341293"/>
    <w:rsid w:val="00341F3C"/>
    <w:rsid w:val="003431A6"/>
    <w:rsid w:val="003434E9"/>
    <w:rsid w:val="00344B70"/>
    <w:rsid w:val="00346C8C"/>
    <w:rsid w:val="00350CA0"/>
    <w:rsid w:val="003518BD"/>
    <w:rsid w:val="00351E9F"/>
    <w:rsid w:val="00352999"/>
    <w:rsid w:val="00352FB7"/>
    <w:rsid w:val="00352FE8"/>
    <w:rsid w:val="003530C5"/>
    <w:rsid w:val="00353EF4"/>
    <w:rsid w:val="0035590B"/>
    <w:rsid w:val="00355FBB"/>
    <w:rsid w:val="00356954"/>
    <w:rsid w:val="003578D5"/>
    <w:rsid w:val="003578E3"/>
    <w:rsid w:val="00357E0D"/>
    <w:rsid w:val="00362044"/>
    <w:rsid w:val="00362064"/>
    <w:rsid w:val="0036361E"/>
    <w:rsid w:val="00363F1F"/>
    <w:rsid w:val="00366082"/>
    <w:rsid w:val="0036768A"/>
    <w:rsid w:val="00370A73"/>
    <w:rsid w:val="00371261"/>
    <w:rsid w:val="00372029"/>
    <w:rsid w:val="003725DB"/>
    <w:rsid w:val="00372AF2"/>
    <w:rsid w:val="00372E23"/>
    <w:rsid w:val="003731CA"/>
    <w:rsid w:val="0037352E"/>
    <w:rsid w:val="0037380F"/>
    <w:rsid w:val="00373B96"/>
    <w:rsid w:val="003740AD"/>
    <w:rsid w:val="00374B2A"/>
    <w:rsid w:val="003757F0"/>
    <w:rsid w:val="00376110"/>
    <w:rsid w:val="003763AA"/>
    <w:rsid w:val="00376494"/>
    <w:rsid w:val="003771D1"/>
    <w:rsid w:val="003778BF"/>
    <w:rsid w:val="00380221"/>
    <w:rsid w:val="00380FB5"/>
    <w:rsid w:val="00381706"/>
    <w:rsid w:val="003822FE"/>
    <w:rsid w:val="00384FFF"/>
    <w:rsid w:val="003852E3"/>
    <w:rsid w:val="00385D2B"/>
    <w:rsid w:val="0038725C"/>
    <w:rsid w:val="00387510"/>
    <w:rsid w:val="00390F86"/>
    <w:rsid w:val="0039186C"/>
    <w:rsid w:val="003929DA"/>
    <w:rsid w:val="00392C08"/>
    <w:rsid w:val="00393EDC"/>
    <w:rsid w:val="003951C7"/>
    <w:rsid w:val="00395F44"/>
    <w:rsid w:val="00396704"/>
    <w:rsid w:val="003977D2"/>
    <w:rsid w:val="003A1606"/>
    <w:rsid w:val="003A1BAD"/>
    <w:rsid w:val="003A27EB"/>
    <w:rsid w:val="003A2B89"/>
    <w:rsid w:val="003A2BEB"/>
    <w:rsid w:val="003A3DDE"/>
    <w:rsid w:val="003A41D5"/>
    <w:rsid w:val="003A4BDE"/>
    <w:rsid w:val="003A767F"/>
    <w:rsid w:val="003A76AA"/>
    <w:rsid w:val="003B002C"/>
    <w:rsid w:val="003B2C09"/>
    <w:rsid w:val="003B37A9"/>
    <w:rsid w:val="003B3BA1"/>
    <w:rsid w:val="003B4894"/>
    <w:rsid w:val="003B5327"/>
    <w:rsid w:val="003B6221"/>
    <w:rsid w:val="003B76BD"/>
    <w:rsid w:val="003B771D"/>
    <w:rsid w:val="003B7852"/>
    <w:rsid w:val="003B797D"/>
    <w:rsid w:val="003C034B"/>
    <w:rsid w:val="003C0D33"/>
    <w:rsid w:val="003C1C59"/>
    <w:rsid w:val="003C2208"/>
    <w:rsid w:val="003C2EF1"/>
    <w:rsid w:val="003C3612"/>
    <w:rsid w:val="003C3B11"/>
    <w:rsid w:val="003C3C30"/>
    <w:rsid w:val="003C5A86"/>
    <w:rsid w:val="003C5ED8"/>
    <w:rsid w:val="003C72AA"/>
    <w:rsid w:val="003C72E1"/>
    <w:rsid w:val="003C7D91"/>
    <w:rsid w:val="003C7E07"/>
    <w:rsid w:val="003D05C6"/>
    <w:rsid w:val="003D097D"/>
    <w:rsid w:val="003D2AFB"/>
    <w:rsid w:val="003D2B7E"/>
    <w:rsid w:val="003D3202"/>
    <w:rsid w:val="003D40AE"/>
    <w:rsid w:val="003D40C5"/>
    <w:rsid w:val="003D4451"/>
    <w:rsid w:val="003D4D4C"/>
    <w:rsid w:val="003D5CED"/>
    <w:rsid w:val="003D6C51"/>
    <w:rsid w:val="003E01A1"/>
    <w:rsid w:val="003E0668"/>
    <w:rsid w:val="003E06BC"/>
    <w:rsid w:val="003E11E2"/>
    <w:rsid w:val="003E15E4"/>
    <w:rsid w:val="003E17DF"/>
    <w:rsid w:val="003E1D69"/>
    <w:rsid w:val="003E2CD4"/>
    <w:rsid w:val="003E2D6E"/>
    <w:rsid w:val="003E3906"/>
    <w:rsid w:val="003E3F97"/>
    <w:rsid w:val="003E4348"/>
    <w:rsid w:val="003E455A"/>
    <w:rsid w:val="003E46F5"/>
    <w:rsid w:val="003E4DC2"/>
    <w:rsid w:val="003E4DCB"/>
    <w:rsid w:val="003E4FA3"/>
    <w:rsid w:val="003E511B"/>
    <w:rsid w:val="003E5217"/>
    <w:rsid w:val="003E535C"/>
    <w:rsid w:val="003E59BC"/>
    <w:rsid w:val="003E59C0"/>
    <w:rsid w:val="003E6222"/>
    <w:rsid w:val="003E7D97"/>
    <w:rsid w:val="003F027C"/>
    <w:rsid w:val="003F05F7"/>
    <w:rsid w:val="003F116F"/>
    <w:rsid w:val="003F1CC9"/>
    <w:rsid w:val="003F4609"/>
    <w:rsid w:val="003F4B2E"/>
    <w:rsid w:val="003F5C98"/>
    <w:rsid w:val="003F6222"/>
    <w:rsid w:val="003F7016"/>
    <w:rsid w:val="003F7F85"/>
    <w:rsid w:val="00400277"/>
    <w:rsid w:val="00400429"/>
    <w:rsid w:val="00400469"/>
    <w:rsid w:val="0040046E"/>
    <w:rsid w:val="00400BE1"/>
    <w:rsid w:val="004011A2"/>
    <w:rsid w:val="00401B04"/>
    <w:rsid w:val="00403287"/>
    <w:rsid w:val="00403411"/>
    <w:rsid w:val="00406120"/>
    <w:rsid w:val="00406262"/>
    <w:rsid w:val="0040684F"/>
    <w:rsid w:val="0040697D"/>
    <w:rsid w:val="00406E31"/>
    <w:rsid w:val="004071E6"/>
    <w:rsid w:val="004071FC"/>
    <w:rsid w:val="0040776B"/>
    <w:rsid w:val="004102D1"/>
    <w:rsid w:val="004117B6"/>
    <w:rsid w:val="00411AD5"/>
    <w:rsid w:val="00411F94"/>
    <w:rsid w:val="00411FAB"/>
    <w:rsid w:val="0041276E"/>
    <w:rsid w:val="00413019"/>
    <w:rsid w:val="00413CCD"/>
    <w:rsid w:val="0041518C"/>
    <w:rsid w:val="00415C5F"/>
    <w:rsid w:val="00415FDC"/>
    <w:rsid w:val="00416C45"/>
    <w:rsid w:val="004204DD"/>
    <w:rsid w:val="004204E7"/>
    <w:rsid w:val="00421225"/>
    <w:rsid w:val="0042304C"/>
    <w:rsid w:val="00423073"/>
    <w:rsid w:val="00423697"/>
    <w:rsid w:val="00423926"/>
    <w:rsid w:val="004249E9"/>
    <w:rsid w:val="0042503C"/>
    <w:rsid w:val="0042573D"/>
    <w:rsid w:val="00425771"/>
    <w:rsid w:val="00426263"/>
    <w:rsid w:val="00426493"/>
    <w:rsid w:val="004268D0"/>
    <w:rsid w:val="00427360"/>
    <w:rsid w:val="00427F07"/>
    <w:rsid w:val="0043048F"/>
    <w:rsid w:val="004307D5"/>
    <w:rsid w:val="00430F3A"/>
    <w:rsid w:val="00431E48"/>
    <w:rsid w:val="00431EFA"/>
    <w:rsid w:val="004323BB"/>
    <w:rsid w:val="004328A6"/>
    <w:rsid w:val="00433280"/>
    <w:rsid w:val="00434319"/>
    <w:rsid w:val="00436E67"/>
    <w:rsid w:val="0043739B"/>
    <w:rsid w:val="00440768"/>
    <w:rsid w:val="00442A79"/>
    <w:rsid w:val="00443432"/>
    <w:rsid w:val="00443986"/>
    <w:rsid w:val="00444C4D"/>
    <w:rsid w:val="00444CC6"/>
    <w:rsid w:val="004450B0"/>
    <w:rsid w:val="00445755"/>
    <w:rsid w:val="00445AE6"/>
    <w:rsid w:val="00445D3C"/>
    <w:rsid w:val="0044634C"/>
    <w:rsid w:val="00446432"/>
    <w:rsid w:val="004464BC"/>
    <w:rsid w:val="00447140"/>
    <w:rsid w:val="004474FC"/>
    <w:rsid w:val="0044755B"/>
    <w:rsid w:val="004475A7"/>
    <w:rsid w:val="004512C6"/>
    <w:rsid w:val="0045218F"/>
    <w:rsid w:val="00452283"/>
    <w:rsid w:val="004526B5"/>
    <w:rsid w:val="00452C6D"/>
    <w:rsid w:val="004535B2"/>
    <w:rsid w:val="004540E8"/>
    <w:rsid w:val="0045488C"/>
    <w:rsid w:val="004548F5"/>
    <w:rsid w:val="00454D8F"/>
    <w:rsid w:val="0045549B"/>
    <w:rsid w:val="004557BD"/>
    <w:rsid w:val="00455D11"/>
    <w:rsid w:val="0045688B"/>
    <w:rsid w:val="004570E0"/>
    <w:rsid w:val="0045732D"/>
    <w:rsid w:val="004618F2"/>
    <w:rsid w:val="00462765"/>
    <w:rsid w:val="00462BB3"/>
    <w:rsid w:val="00462CA0"/>
    <w:rsid w:val="00464DB7"/>
    <w:rsid w:val="00465185"/>
    <w:rsid w:val="0046537B"/>
    <w:rsid w:val="0046538D"/>
    <w:rsid w:val="00465D56"/>
    <w:rsid w:val="00466794"/>
    <w:rsid w:val="00466D89"/>
    <w:rsid w:val="0046724E"/>
    <w:rsid w:val="004712F5"/>
    <w:rsid w:val="00471556"/>
    <w:rsid w:val="00471A5E"/>
    <w:rsid w:val="00472461"/>
    <w:rsid w:val="004735CD"/>
    <w:rsid w:val="00473D0C"/>
    <w:rsid w:val="004744E9"/>
    <w:rsid w:val="0047598D"/>
    <w:rsid w:val="00476AD4"/>
    <w:rsid w:val="00476CD5"/>
    <w:rsid w:val="00477150"/>
    <w:rsid w:val="00477502"/>
    <w:rsid w:val="004777B6"/>
    <w:rsid w:val="00480F3E"/>
    <w:rsid w:val="00481666"/>
    <w:rsid w:val="004825F5"/>
    <w:rsid w:val="0048387C"/>
    <w:rsid w:val="0048472D"/>
    <w:rsid w:val="00484CDC"/>
    <w:rsid w:val="00485336"/>
    <w:rsid w:val="00485726"/>
    <w:rsid w:val="00485864"/>
    <w:rsid w:val="00485CDB"/>
    <w:rsid w:val="0048659E"/>
    <w:rsid w:val="0049095B"/>
    <w:rsid w:val="004910BA"/>
    <w:rsid w:val="004913DA"/>
    <w:rsid w:val="00491B85"/>
    <w:rsid w:val="004922DC"/>
    <w:rsid w:val="0049254F"/>
    <w:rsid w:val="00492872"/>
    <w:rsid w:val="00493748"/>
    <w:rsid w:val="00494ED0"/>
    <w:rsid w:val="00495F78"/>
    <w:rsid w:val="004976C2"/>
    <w:rsid w:val="00497F98"/>
    <w:rsid w:val="00497FE4"/>
    <w:rsid w:val="004A0017"/>
    <w:rsid w:val="004A0490"/>
    <w:rsid w:val="004A059D"/>
    <w:rsid w:val="004A082B"/>
    <w:rsid w:val="004A083A"/>
    <w:rsid w:val="004A09F8"/>
    <w:rsid w:val="004A149B"/>
    <w:rsid w:val="004A1F1F"/>
    <w:rsid w:val="004A2E2E"/>
    <w:rsid w:val="004A30FB"/>
    <w:rsid w:val="004A34EE"/>
    <w:rsid w:val="004A36BF"/>
    <w:rsid w:val="004A3B68"/>
    <w:rsid w:val="004A5282"/>
    <w:rsid w:val="004A588E"/>
    <w:rsid w:val="004A5F83"/>
    <w:rsid w:val="004A6B4A"/>
    <w:rsid w:val="004A7114"/>
    <w:rsid w:val="004A73AB"/>
    <w:rsid w:val="004A740D"/>
    <w:rsid w:val="004B0155"/>
    <w:rsid w:val="004B0918"/>
    <w:rsid w:val="004B1F49"/>
    <w:rsid w:val="004B2F1B"/>
    <w:rsid w:val="004B3817"/>
    <w:rsid w:val="004B3917"/>
    <w:rsid w:val="004B3C57"/>
    <w:rsid w:val="004B430D"/>
    <w:rsid w:val="004B7059"/>
    <w:rsid w:val="004B7417"/>
    <w:rsid w:val="004B7668"/>
    <w:rsid w:val="004B7EB4"/>
    <w:rsid w:val="004C10D3"/>
    <w:rsid w:val="004C241A"/>
    <w:rsid w:val="004C29A2"/>
    <w:rsid w:val="004C2F64"/>
    <w:rsid w:val="004C395A"/>
    <w:rsid w:val="004C3F06"/>
    <w:rsid w:val="004C3FAF"/>
    <w:rsid w:val="004C41A8"/>
    <w:rsid w:val="004C444A"/>
    <w:rsid w:val="004C4E3C"/>
    <w:rsid w:val="004C5A1A"/>
    <w:rsid w:val="004C6030"/>
    <w:rsid w:val="004C6D86"/>
    <w:rsid w:val="004C75CB"/>
    <w:rsid w:val="004D0C4D"/>
    <w:rsid w:val="004D0ECF"/>
    <w:rsid w:val="004D126E"/>
    <w:rsid w:val="004D2B47"/>
    <w:rsid w:val="004D34D9"/>
    <w:rsid w:val="004D3B13"/>
    <w:rsid w:val="004D43D4"/>
    <w:rsid w:val="004D5F47"/>
    <w:rsid w:val="004D651A"/>
    <w:rsid w:val="004D6E47"/>
    <w:rsid w:val="004D7FB1"/>
    <w:rsid w:val="004E215D"/>
    <w:rsid w:val="004E2827"/>
    <w:rsid w:val="004E36A6"/>
    <w:rsid w:val="004E36E3"/>
    <w:rsid w:val="004E4825"/>
    <w:rsid w:val="004E495C"/>
    <w:rsid w:val="004E5785"/>
    <w:rsid w:val="004E5FC7"/>
    <w:rsid w:val="004E712E"/>
    <w:rsid w:val="004E76C4"/>
    <w:rsid w:val="004F0653"/>
    <w:rsid w:val="004F0BD7"/>
    <w:rsid w:val="004F1586"/>
    <w:rsid w:val="004F2280"/>
    <w:rsid w:val="004F283B"/>
    <w:rsid w:val="004F2C1A"/>
    <w:rsid w:val="004F53B9"/>
    <w:rsid w:val="004F5B9F"/>
    <w:rsid w:val="004F5C32"/>
    <w:rsid w:val="004F6358"/>
    <w:rsid w:val="004F69A9"/>
    <w:rsid w:val="00501FD5"/>
    <w:rsid w:val="00502DD4"/>
    <w:rsid w:val="00503965"/>
    <w:rsid w:val="00504436"/>
    <w:rsid w:val="005052F6"/>
    <w:rsid w:val="0050600C"/>
    <w:rsid w:val="005060D2"/>
    <w:rsid w:val="005074D0"/>
    <w:rsid w:val="00510D5B"/>
    <w:rsid w:val="0051105D"/>
    <w:rsid w:val="00511182"/>
    <w:rsid w:val="00511D0E"/>
    <w:rsid w:val="00511D54"/>
    <w:rsid w:val="00511D8C"/>
    <w:rsid w:val="00512CD9"/>
    <w:rsid w:val="00513647"/>
    <w:rsid w:val="00514FC2"/>
    <w:rsid w:val="0051619E"/>
    <w:rsid w:val="00516F19"/>
    <w:rsid w:val="00516F2B"/>
    <w:rsid w:val="0051773D"/>
    <w:rsid w:val="00517E62"/>
    <w:rsid w:val="00520009"/>
    <w:rsid w:val="00520314"/>
    <w:rsid w:val="0052037A"/>
    <w:rsid w:val="00522555"/>
    <w:rsid w:val="00522F08"/>
    <w:rsid w:val="00523966"/>
    <w:rsid w:val="00523BD8"/>
    <w:rsid w:val="00524041"/>
    <w:rsid w:val="005247A1"/>
    <w:rsid w:val="00524FAD"/>
    <w:rsid w:val="00526C08"/>
    <w:rsid w:val="0052768B"/>
    <w:rsid w:val="005277D1"/>
    <w:rsid w:val="00530F17"/>
    <w:rsid w:val="00531373"/>
    <w:rsid w:val="00531652"/>
    <w:rsid w:val="00532A6D"/>
    <w:rsid w:val="00532DDC"/>
    <w:rsid w:val="00532F4C"/>
    <w:rsid w:val="0053312D"/>
    <w:rsid w:val="005340BF"/>
    <w:rsid w:val="0053506E"/>
    <w:rsid w:val="0053574B"/>
    <w:rsid w:val="00535B6D"/>
    <w:rsid w:val="00535FE2"/>
    <w:rsid w:val="0053759A"/>
    <w:rsid w:val="005376DD"/>
    <w:rsid w:val="0053794B"/>
    <w:rsid w:val="005405DC"/>
    <w:rsid w:val="00540B28"/>
    <w:rsid w:val="00541281"/>
    <w:rsid w:val="005412BC"/>
    <w:rsid w:val="00541DC9"/>
    <w:rsid w:val="0054210C"/>
    <w:rsid w:val="00542127"/>
    <w:rsid w:val="0054232A"/>
    <w:rsid w:val="00542BB6"/>
    <w:rsid w:val="00542D0E"/>
    <w:rsid w:val="0054349F"/>
    <w:rsid w:val="00544BCE"/>
    <w:rsid w:val="005453FA"/>
    <w:rsid w:val="0054549B"/>
    <w:rsid w:val="00545597"/>
    <w:rsid w:val="00545713"/>
    <w:rsid w:val="00545BD9"/>
    <w:rsid w:val="00546039"/>
    <w:rsid w:val="00547483"/>
    <w:rsid w:val="0055173E"/>
    <w:rsid w:val="0055209D"/>
    <w:rsid w:val="00554EC4"/>
    <w:rsid w:val="0055527B"/>
    <w:rsid w:val="00555F02"/>
    <w:rsid w:val="00556FF7"/>
    <w:rsid w:val="00557003"/>
    <w:rsid w:val="0055730E"/>
    <w:rsid w:val="005579F5"/>
    <w:rsid w:val="00560971"/>
    <w:rsid w:val="00560AAA"/>
    <w:rsid w:val="00560D0A"/>
    <w:rsid w:val="005613E0"/>
    <w:rsid w:val="00561632"/>
    <w:rsid w:val="00561946"/>
    <w:rsid w:val="005620F1"/>
    <w:rsid w:val="0056286F"/>
    <w:rsid w:val="00562F35"/>
    <w:rsid w:val="005631EB"/>
    <w:rsid w:val="00563600"/>
    <w:rsid w:val="00564CB2"/>
    <w:rsid w:val="00564FA7"/>
    <w:rsid w:val="0056529B"/>
    <w:rsid w:val="005661D5"/>
    <w:rsid w:val="005664F1"/>
    <w:rsid w:val="00566DF9"/>
    <w:rsid w:val="00566E1C"/>
    <w:rsid w:val="005670B5"/>
    <w:rsid w:val="0056775D"/>
    <w:rsid w:val="00570C81"/>
    <w:rsid w:val="00571DDA"/>
    <w:rsid w:val="00571EAC"/>
    <w:rsid w:val="00571F46"/>
    <w:rsid w:val="00573298"/>
    <w:rsid w:val="0057335C"/>
    <w:rsid w:val="00573C25"/>
    <w:rsid w:val="00575652"/>
    <w:rsid w:val="005760E2"/>
    <w:rsid w:val="00576B5F"/>
    <w:rsid w:val="00581583"/>
    <w:rsid w:val="00581B93"/>
    <w:rsid w:val="00582231"/>
    <w:rsid w:val="0058279C"/>
    <w:rsid w:val="00582A59"/>
    <w:rsid w:val="00584684"/>
    <w:rsid w:val="005849DD"/>
    <w:rsid w:val="00585987"/>
    <w:rsid w:val="00586312"/>
    <w:rsid w:val="005863A2"/>
    <w:rsid w:val="00586D6B"/>
    <w:rsid w:val="00587C19"/>
    <w:rsid w:val="0059026C"/>
    <w:rsid w:val="00590C18"/>
    <w:rsid w:val="00591BAC"/>
    <w:rsid w:val="00591FC7"/>
    <w:rsid w:val="0059271E"/>
    <w:rsid w:val="00592F79"/>
    <w:rsid w:val="005930C3"/>
    <w:rsid w:val="005947B4"/>
    <w:rsid w:val="005948BD"/>
    <w:rsid w:val="00594F32"/>
    <w:rsid w:val="00595BB4"/>
    <w:rsid w:val="0059619F"/>
    <w:rsid w:val="005A0886"/>
    <w:rsid w:val="005A0C4F"/>
    <w:rsid w:val="005A11FC"/>
    <w:rsid w:val="005A1343"/>
    <w:rsid w:val="005A14EC"/>
    <w:rsid w:val="005A15F0"/>
    <w:rsid w:val="005A1843"/>
    <w:rsid w:val="005A1E67"/>
    <w:rsid w:val="005A22E2"/>
    <w:rsid w:val="005A3817"/>
    <w:rsid w:val="005A4062"/>
    <w:rsid w:val="005A54B0"/>
    <w:rsid w:val="005A573A"/>
    <w:rsid w:val="005A67E5"/>
    <w:rsid w:val="005A6B92"/>
    <w:rsid w:val="005A6BF4"/>
    <w:rsid w:val="005A7FDD"/>
    <w:rsid w:val="005B0097"/>
    <w:rsid w:val="005B0726"/>
    <w:rsid w:val="005B1653"/>
    <w:rsid w:val="005B1978"/>
    <w:rsid w:val="005B2966"/>
    <w:rsid w:val="005B4241"/>
    <w:rsid w:val="005B61BB"/>
    <w:rsid w:val="005B635C"/>
    <w:rsid w:val="005B75D7"/>
    <w:rsid w:val="005C0367"/>
    <w:rsid w:val="005C0AB0"/>
    <w:rsid w:val="005C0D17"/>
    <w:rsid w:val="005C10A6"/>
    <w:rsid w:val="005C2070"/>
    <w:rsid w:val="005C247C"/>
    <w:rsid w:val="005C2B1C"/>
    <w:rsid w:val="005C4341"/>
    <w:rsid w:val="005C49CC"/>
    <w:rsid w:val="005C4FF7"/>
    <w:rsid w:val="005C54E4"/>
    <w:rsid w:val="005C64B0"/>
    <w:rsid w:val="005C6A5F"/>
    <w:rsid w:val="005C78AF"/>
    <w:rsid w:val="005D0A12"/>
    <w:rsid w:val="005D20C0"/>
    <w:rsid w:val="005D2154"/>
    <w:rsid w:val="005D22CE"/>
    <w:rsid w:val="005D2932"/>
    <w:rsid w:val="005D2AFD"/>
    <w:rsid w:val="005D3E76"/>
    <w:rsid w:val="005D405E"/>
    <w:rsid w:val="005D4459"/>
    <w:rsid w:val="005D4C05"/>
    <w:rsid w:val="005D4FDB"/>
    <w:rsid w:val="005D57C4"/>
    <w:rsid w:val="005D6655"/>
    <w:rsid w:val="005D692E"/>
    <w:rsid w:val="005D7043"/>
    <w:rsid w:val="005D7C0E"/>
    <w:rsid w:val="005E06C1"/>
    <w:rsid w:val="005E3E31"/>
    <w:rsid w:val="005E4901"/>
    <w:rsid w:val="005E499E"/>
    <w:rsid w:val="005E5516"/>
    <w:rsid w:val="005E6286"/>
    <w:rsid w:val="005E6393"/>
    <w:rsid w:val="005E6CC5"/>
    <w:rsid w:val="005E734E"/>
    <w:rsid w:val="005E7C9B"/>
    <w:rsid w:val="005F1BE5"/>
    <w:rsid w:val="005F1D38"/>
    <w:rsid w:val="005F20F4"/>
    <w:rsid w:val="005F227A"/>
    <w:rsid w:val="005F2426"/>
    <w:rsid w:val="005F246E"/>
    <w:rsid w:val="005F26DB"/>
    <w:rsid w:val="005F2948"/>
    <w:rsid w:val="005F34B4"/>
    <w:rsid w:val="005F3AB6"/>
    <w:rsid w:val="005F4B64"/>
    <w:rsid w:val="005F4BC6"/>
    <w:rsid w:val="005F4EC2"/>
    <w:rsid w:val="005F561D"/>
    <w:rsid w:val="005F57EB"/>
    <w:rsid w:val="005F5BBA"/>
    <w:rsid w:val="005F6348"/>
    <w:rsid w:val="005F6AEC"/>
    <w:rsid w:val="005F6C32"/>
    <w:rsid w:val="005F6FDF"/>
    <w:rsid w:val="005F7A63"/>
    <w:rsid w:val="00600546"/>
    <w:rsid w:val="00600EB4"/>
    <w:rsid w:val="00600FC4"/>
    <w:rsid w:val="006016E6"/>
    <w:rsid w:val="00601A13"/>
    <w:rsid w:val="00601B47"/>
    <w:rsid w:val="00601D3B"/>
    <w:rsid w:val="00602AB1"/>
    <w:rsid w:val="00603EF1"/>
    <w:rsid w:val="0060424E"/>
    <w:rsid w:val="0060437F"/>
    <w:rsid w:val="00605E0D"/>
    <w:rsid w:val="006060AB"/>
    <w:rsid w:val="00606C77"/>
    <w:rsid w:val="00607D9E"/>
    <w:rsid w:val="00607DED"/>
    <w:rsid w:val="00607E5F"/>
    <w:rsid w:val="00610058"/>
    <w:rsid w:val="00610896"/>
    <w:rsid w:val="00611136"/>
    <w:rsid w:val="00612579"/>
    <w:rsid w:val="0061473F"/>
    <w:rsid w:val="00614C03"/>
    <w:rsid w:val="00614D11"/>
    <w:rsid w:val="00614FE9"/>
    <w:rsid w:val="0061531E"/>
    <w:rsid w:val="00615AE2"/>
    <w:rsid w:val="0062076A"/>
    <w:rsid w:val="00621196"/>
    <w:rsid w:val="0062133B"/>
    <w:rsid w:val="0062143B"/>
    <w:rsid w:val="00622167"/>
    <w:rsid w:val="00622395"/>
    <w:rsid w:val="00622910"/>
    <w:rsid w:val="00623395"/>
    <w:rsid w:val="00623B44"/>
    <w:rsid w:val="0062455E"/>
    <w:rsid w:val="006245C3"/>
    <w:rsid w:val="00624630"/>
    <w:rsid w:val="006247C9"/>
    <w:rsid w:val="00624AF5"/>
    <w:rsid w:val="00624C67"/>
    <w:rsid w:val="00624DF5"/>
    <w:rsid w:val="0062503E"/>
    <w:rsid w:val="00625AC8"/>
    <w:rsid w:val="00625F50"/>
    <w:rsid w:val="006275DA"/>
    <w:rsid w:val="00627A76"/>
    <w:rsid w:val="00627E06"/>
    <w:rsid w:val="006313E7"/>
    <w:rsid w:val="006318F8"/>
    <w:rsid w:val="0063256C"/>
    <w:rsid w:val="00632D0C"/>
    <w:rsid w:val="006348C8"/>
    <w:rsid w:val="00634F80"/>
    <w:rsid w:val="00635258"/>
    <w:rsid w:val="00636DAC"/>
    <w:rsid w:val="0064058F"/>
    <w:rsid w:val="006410B8"/>
    <w:rsid w:val="00641CEE"/>
    <w:rsid w:val="00641D6F"/>
    <w:rsid w:val="00641EC1"/>
    <w:rsid w:val="006427B3"/>
    <w:rsid w:val="00644161"/>
    <w:rsid w:val="00644E4D"/>
    <w:rsid w:val="00647C00"/>
    <w:rsid w:val="00651DE7"/>
    <w:rsid w:val="00651E88"/>
    <w:rsid w:val="00652524"/>
    <w:rsid w:val="006538E1"/>
    <w:rsid w:val="00653A33"/>
    <w:rsid w:val="00653FFB"/>
    <w:rsid w:val="006552EC"/>
    <w:rsid w:val="006608C3"/>
    <w:rsid w:val="00660922"/>
    <w:rsid w:val="00661575"/>
    <w:rsid w:val="00661DAB"/>
    <w:rsid w:val="00662D44"/>
    <w:rsid w:val="00663888"/>
    <w:rsid w:val="00663A16"/>
    <w:rsid w:val="00663ADE"/>
    <w:rsid w:val="00665FBE"/>
    <w:rsid w:val="0066647E"/>
    <w:rsid w:val="00666AE4"/>
    <w:rsid w:val="00667EAF"/>
    <w:rsid w:val="0067053F"/>
    <w:rsid w:val="00672247"/>
    <w:rsid w:val="0067280F"/>
    <w:rsid w:val="00672AEF"/>
    <w:rsid w:val="00672F55"/>
    <w:rsid w:val="00673FD8"/>
    <w:rsid w:val="0067422C"/>
    <w:rsid w:val="00674255"/>
    <w:rsid w:val="00674DCF"/>
    <w:rsid w:val="006760FF"/>
    <w:rsid w:val="00676252"/>
    <w:rsid w:val="00677ECF"/>
    <w:rsid w:val="00680716"/>
    <w:rsid w:val="006808F6"/>
    <w:rsid w:val="00680C0D"/>
    <w:rsid w:val="00680CA1"/>
    <w:rsid w:val="00680D2B"/>
    <w:rsid w:val="006815E2"/>
    <w:rsid w:val="0068183F"/>
    <w:rsid w:val="00682B71"/>
    <w:rsid w:val="006830B9"/>
    <w:rsid w:val="00683126"/>
    <w:rsid w:val="00683217"/>
    <w:rsid w:val="00683C36"/>
    <w:rsid w:val="00684958"/>
    <w:rsid w:val="006855BD"/>
    <w:rsid w:val="00685BD2"/>
    <w:rsid w:val="0068646B"/>
    <w:rsid w:val="00686B58"/>
    <w:rsid w:val="00686C5B"/>
    <w:rsid w:val="006870F6"/>
    <w:rsid w:val="00692379"/>
    <w:rsid w:val="006924BC"/>
    <w:rsid w:val="006933C1"/>
    <w:rsid w:val="006939B1"/>
    <w:rsid w:val="00694349"/>
    <w:rsid w:val="006953E2"/>
    <w:rsid w:val="00695481"/>
    <w:rsid w:val="006966AF"/>
    <w:rsid w:val="006966EA"/>
    <w:rsid w:val="00697D54"/>
    <w:rsid w:val="006A07F0"/>
    <w:rsid w:val="006A251D"/>
    <w:rsid w:val="006A3BD5"/>
    <w:rsid w:val="006A468F"/>
    <w:rsid w:val="006A4A92"/>
    <w:rsid w:val="006A4BF4"/>
    <w:rsid w:val="006A5175"/>
    <w:rsid w:val="006A5ABE"/>
    <w:rsid w:val="006A5B8A"/>
    <w:rsid w:val="006A5C53"/>
    <w:rsid w:val="006A61B2"/>
    <w:rsid w:val="006A6D88"/>
    <w:rsid w:val="006A6E41"/>
    <w:rsid w:val="006A7A42"/>
    <w:rsid w:val="006A7B1F"/>
    <w:rsid w:val="006B0159"/>
    <w:rsid w:val="006B062F"/>
    <w:rsid w:val="006B0F6E"/>
    <w:rsid w:val="006B1DC4"/>
    <w:rsid w:val="006B200B"/>
    <w:rsid w:val="006B320E"/>
    <w:rsid w:val="006B4284"/>
    <w:rsid w:val="006B5376"/>
    <w:rsid w:val="006B5C6E"/>
    <w:rsid w:val="006B60FB"/>
    <w:rsid w:val="006B6EFD"/>
    <w:rsid w:val="006B76F8"/>
    <w:rsid w:val="006B7E28"/>
    <w:rsid w:val="006C0DA4"/>
    <w:rsid w:val="006C0F4B"/>
    <w:rsid w:val="006C1B34"/>
    <w:rsid w:val="006C2844"/>
    <w:rsid w:val="006C2E2F"/>
    <w:rsid w:val="006C36C7"/>
    <w:rsid w:val="006C3B03"/>
    <w:rsid w:val="006C5675"/>
    <w:rsid w:val="006C584A"/>
    <w:rsid w:val="006C60E1"/>
    <w:rsid w:val="006D0233"/>
    <w:rsid w:val="006D0B03"/>
    <w:rsid w:val="006D0B2E"/>
    <w:rsid w:val="006D14BF"/>
    <w:rsid w:val="006D19EE"/>
    <w:rsid w:val="006D4824"/>
    <w:rsid w:val="006D4EAE"/>
    <w:rsid w:val="006D4EEF"/>
    <w:rsid w:val="006D4EFB"/>
    <w:rsid w:val="006D5674"/>
    <w:rsid w:val="006D599B"/>
    <w:rsid w:val="006D6308"/>
    <w:rsid w:val="006D6C26"/>
    <w:rsid w:val="006D70A8"/>
    <w:rsid w:val="006D7458"/>
    <w:rsid w:val="006D75FC"/>
    <w:rsid w:val="006E0C02"/>
    <w:rsid w:val="006E1009"/>
    <w:rsid w:val="006E11C5"/>
    <w:rsid w:val="006E21EB"/>
    <w:rsid w:val="006E422C"/>
    <w:rsid w:val="006E4286"/>
    <w:rsid w:val="006E4C33"/>
    <w:rsid w:val="006E4E59"/>
    <w:rsid w:val="006E5365"/>
    <w:rsid w:val="006E6B43"/>
    <w:rsid w:val="006F05B2"/>
    <w:rsid w:val="006F3297"/>
    <w:rsid w:val="006F33DF"/>
    <w:rsid w:val="006F3BAF"/>
    <w:rsid w:val="006F49D7"/>
    <w:rsid w:val="006F4C75"/>
    <w:rsid w:val="006F602C"/>
    <w:rsid w:val="006F70C6"/>
    <w:rsid w:val="006F740E"/>
    <w:rsid w:val="006F777E"/>
    <w:rsid w:val="007005E9"/>
    <w:rsid w:val="00700DFA"/>
    <w:rsid w:val="0070259D"/>
    <w:rsid w:val="007051CA"/>
    <w:rsid w:val="007061C8"/>
    <w:rsid w:val="007064AC"/>
    <w:rsid w:val="0070654C"/>
    <w:rsid w:val="007078F5"/>
    <w:rsid w:val="007115D4"/>
    <w:rsid w:val="00711911"/>
    <w:rsid w:val="00711B2E"/>
    <w:rsid w:val="00711CA9"/>
    <w:rsid w:val="00711E17"/>
    <w:rsid w:val="00712594"/>
    <w:rsid w:val="00712668"/>
    <w:rsid w:val="007131B0"/>
    <w:rsid w:val="007131FF"/>
    <w:rsid w:val="00713F25"/>
    <w:rsid w:val="00714121"/>
    <w:rsid w:val="00716041"/>
    <w:rsid w:val="007160D8"/>
    <w:rsid w:val="00716927"/>
    <w:rsid w:val="007169E2"/>
    <w:rsid w:val="00716AAD"/>
    <w:rsid w:val="00716DEA"/>
    <w:rsid w:val="0071701D"/>
    <w:rsid w:val="00717A7D"/>
    <w:rsid w:val="00720014"/>
    <w:rsid w:val="007206E3"/>
    <w:rsid w:val="00720F5D"/>
    <w:rsid w:val="0072125C"/>
    <w:rsid w:val="00721336"/>
    <w:rsid w:val="007215D3"/>
    <w:rsid w:val="00721FA5"/>
    <w:rsid w:val="0072281E"/>
    <w:rsid w:val="00722BA4"/>
    <w:rsid w:val="0072338A"/>
    <w:rsid w:val="00724731"/>
    <w:rsid w:val="007247B9"/>
    <w:rsid w:val="00724F75"/>
    <w:rsid w:val="0072532B"/>
    <w:rsid w:val="007253BF"/>
    <w:rsid w:val="00725E70"/>
    <w:rsid w:val="00726171"/>
    <w:rsid w:val="00726F77"/>
    <w:rsid w:val="00727AAE"/>
    <w:rsid w:val="0073019D"/>
    <w:rsid w:val="00730632"/>
    <w:rsid w:val="00730EDC"/>
    <w:rsid w:val="00731193"/>
    <w:rsid w:val="007311E5"/>
    <w:rsid w:val="0073375D"/>
    <w:rsid w:val="00733906"/>
    <w:rsid w:val="00733956"/>
    <w:rsid w:val="00733B0F"/>
    <w:rsid w:val="00734DBE"/>
    <w:rsid w:val="007407F1"/>
    <w:rsid w:val="00740858"/>
    <w:rsid w:val="007421DD"/>
    <w:rsid w:val="007429E7"/>
    <w:rsid w:val="00742E64"/>
    <w:rsid w:val="0074305A"/>
    <w:rsid w:val="00743F44"/>
    <w:rsid w:val="007450D0"/>
    <w:rsid w:val="00745CEC"/>
    <w:rsid w:val="00747319"/>
    <w:rsid w:val="007477BF"/>
    <w:rsid w:val="00747A1C"/>
    <w:rsid w:val="007503B2"/>
    <w:rsid w:val="00750542"/>
    <w:rsid w:val="007508E7"/>
    <w:rsid w:val="00750FB6"/>
    <w:rsid w:val="007512D0"/>
    <w:rsid w:val="00752DF5"/>
    <w:rsid w:val="00752FED"/>
    <w:rsid w:val="00753B81"/>
    <w:rsid w:val="00753E0E"/>
    <w:rsid w:val="0075438F"/>
    <w:rsid w:val="00754B55"/>
    <w:rsid w:val="007555AE"/>
    <w:rsid w:val="00756058"/>
    <w:rsid w:val="00756F53"/>
    <w:rsid w:val="007576D6"/>
    <w:rsid w:val="00757A8A"/>
    <w:rsid w:val="00760941"/>
    <w:rsid w:val="00760D02"/>
    <w:rsid w:val="00760E1B"/>
    <w:rsid w:val="00761AAC"/>
    <w:rsid w:val="007636FA"/>
    <w:rsid w:val="00763B65"/>
    <w:rsid w:val="007641B4"/>
    <w:rsid w:val="00764293"/>
    <w:rsid w:val="007652FC"/>
    <w:rsid w:val="00765359"/>
    <w:rsid w:val="007675C7"/>
    <w:rsid w:val="00767D11"/>
    <w:rsid w:val="00770EAA"/>
    <w:rsid w:val="0077103B"/>
    <w:rsid w:val="007726F6"/>
    <w:rsid w:val="007728D5"/>
    <w:rsid w:val="00772AFC"/>
    <w:rsid w:val="00772C2A"/>
    <w:rsid w:val="00773371"/>
    <w:rsid w:val="007734EE"/>
    <w:rsid w:val="00773A7F"/>
    <w:rsid w:val="00773D25"/>
    <w:rsid w:val="0077417C"/>
    <w:rsid w:val="0077582A"/>
    <w:rsid w:val="00776A78"/>
    <w:rsid w:val="00777B1F"/>
    <w:rsid w:val="00777E3A"/>
    <w:rsid w:val="00781808"/>
    <w:rsid w:val="00781919"/>
    <w:rsid w:val="00781947"/>
    <w:rsid w:val="00782047"/>
    <w:rsid w:val="007847E7"/>
    <w:rsid w:val="00784C01"/>
    <w:rsid w:val="00787242"/>
    <w:rsid w:val="00787407"/>
    <w:rsid w:val="00787A54"/>
    <w:rsid w:val="00787B37"/>
    <w:rsid w:val="00790DA5"/>
    <w:rsid w:val="00790DE4"/>
    <w:rsid w:val="00791031"/>
    <w:rsid w:val="007945CE"/>
    <w:rsid w:val="00795BC1"/>
    <w:rsid w:val="00795BC7"/>
    <w:rsid w:val="007963EA"/>
    <w:rsid w:val="00796551"/>
    <w:rsid w:val="00797132"/>
    <w:rsid w:val="0079720B"/>
    <w:rsid w:val="0079740D"/>
    <w:rsid w:val="00797D31"/>
    <w:rsid w:val="007A03BC"/>
    <w:rsid w:val="007A06F2"/>
    <w:rsid w:val="007A0B59"/>
    <w:rsid w:val="007A15D1"/>
    <w:rsid w:val="007A15EE"/>
    <w:rsid w:val="007A1A86"/>
    <w:rsid w:val="007A3030"/>
    <w:rsid w:val="007A345E"/>
    <w:rsid w:val="007A4121"/>
    <w:rsid w:val="007A4158"/>
    <w:rsid w:val="007A505D"/>
    <w:rsid w:val="007A57BE"/>
    <w:rsid w:val="007A61DC"/>
    <w:rsid w:val="007A62C9"/>
    <w:rsid w:val="007A63B7"/>
    <w:rsid w:val="007A733F"/>
    <w:rsid w:val="007A74B1"/>
    <w:rsid w:val="007A74B2"/>
    <w:rsid w:val="007B1390"/>
    <w:rsid w:val="007B3A3B"/>
    <w:rsid w:val="007B3D62"/>
    <w:rsid w:val="007B589C"/>
    <w:rsid w:val="007B6861"/>
    <w:rsid w:val="007B6923"/>
    <w:rsid w:val="007B6B32"/>
    <w:rsid w:val="007C10A8"/>
    <w:rsid w:val="007C116D"/>
    <w:rsid w:val="007C1818"/>
    <w:rsid w:val="007C1EF3"/>
    <w:rsid w:val="007C2EE7"/>
    <w:rsid w:val="007C517A"/>
    <w:rsid w:val="007C570C"/>
    <w:rsid w:val="007C614E"/>
    <w:rsid w:val="007C6F34"/>
    <w:rsid w:val="007C7EF3"/>
    <w:rsid w:val="007D0705"/>
    <w:rsid w:val="007D0870"/>
    <w:rsid w:val="007D0877"/>
    <w:rsid w:val="007D0970"/>
    <w:rsid w:val="007D09B3"/>
    <w:rsid w:val="007D1627"/>
    <w:rsid w:val="007D2B7C"/>
    <w:rsid w:val="007D30B5"/>
    <w:rsid w:val="007D430E"/>
    <w:rsid w:val="007D466E"/>
    <w:rsid w:val="007D46EB"/>
    <w:rsid w:val="007D49D3"/>
    <w:rsid w:val="007D4A16"/>
    <w:rsid w:val="007D5120"/>
    <w:rsid w:val="007D6DB9"/>
    <w:rsid w:val="007D6DDB"/>
    <w:rsid w:val="007D73BB"/>
    <w:rsid w:val="007E1730"/>
    <w:rsid w:val="007E1759"/>
    <w:rsid w:val="007E1C28"/>
    <w:rsid w:val="007E21D2"/>
    <w:rsid w:val="007E22A0"/>
    <w:rsid w:val="007E2742"/>
    <w:rsid w:val="007E36FE"/>
    <w:rsid w:val="007E41AC"/>
    <w:rsid w:val="007E51DF"/>
    <w:rsid w:val="007E69A9"/>
    <w:rsid w:val="007E6C40"/>
    <w:rsid w:val="007E7402"/>
    <w:rsid w:val="007E75A8"/>
    <w:rsid w:val="007F0CA2"/>
    <w:rsid w:val="007F0FEB"/>
    <w:rsid w:val="007F134C"/>
    <w:rsid w:val="007F238A"/>
    <w:rsid w:val="007F245A"/>
    <w:rsid w:val="007F35CA"/>
    <w:rsid w:val="007F3B99"/>
    <w:rsid w:val="007F3F97"/>
    <w:rsid w:val="007F4DA5"/>
    <w:rsid w:val="007F508D"/>
    <w:rsid w:val="007F57CA"/>
    <w:rsid w:val="00801058"/>
    <w:rsid w:val="00801A29"/>
    <w:rsid w:val="00801F7F"/>
    <w:rsid w:val="00803324"/>
    <w:rsid w:val="008033C2"/>
    <w:rsid w:val="00804C5D"/>
    <w:rsid w:val="00804F73"/>
    <w:rsid w:val="008062C6"/>
    <w:rsid w:val="00806BA8"/>
    <w:rsid w:val="00810755"/>
    <w:rsid w:val="00810C97"/>
    <w:rsid w:val="008120F3"/>
    <w:rsid w:val="008125A2"/>
    <w:rsid w:val="008126D1"/>
    <w:rsid w:val="00812E41"/>
    <w:rsid w:val="008142B3"/>
    <w:rsid w:val="008156B7"/>
    <w:rsid w:val="0081647E"/>
    <w:rsid w:val="00816485"/>
    <w:rsid w:val="0081765B"/>
    <w:rsid w:val="00817B94"/>
    <w:rsid w:val="00820216"/>
    <w:rsid w:val="00820422"/>
    <w:rsid w:val="008208E0"/>
    <w:rsid w:val="008209B6"/>
    <w:rsid w:val="008215ED"/>
    <w:rsid w:val="00822624"/>
    <w:rsid w:val="00823000"/>
    <w:rsid w:val="0082310A"/>
    <w:rsid w:val="00823A08"/>
    <w:rsid w:val="008248C3"/>
    <w:rsid w:val="00825D87"/>
    <w:rsid w:val="0082620A"/>
    <w:rsid w:val="008263AE"/>
    <w:rsid w:val="00827CA3"/>
    <w:rsid w:val="00827CDD"/>
    <w:rsid w:val="00827FC4"/>
    <w:rsid w:val="00827FD0"/>
    <w:rsid w:val="00830391"/>
    <w:rsid w:val="00830B33"/>
    <w:rsid w:val="00831421"/>
    <w:rsid w:val="00832223"/>
    <w:rsid w:val="008324FC"/>
    <w:rsid w:val="00832875"/>
    <w:rsid w:val="008331D0"/>
    <w:rsid w:val="00833585"/>
    <w:rsid w:val="00833865"/>
    <w:rsid w:val="00833A46"/>
    <w:rsid w:val="008343FF"/>
    <w:rsid w:val="00834D4E"/>
    <w:rsid w:val="00836224"/>
    <w:rsid w:val="00837730"/>
    <w:rsid w:val="00837EAF"/>
    <w:rsid w:val="00840DF7"/>
    <w:rsid w:val="00841180"/>
    <w:rsid w:val="0084589A"/>
    <w:rsid w:val="00845B13"/>
    <w:rsid w:val="008467F6"/>
    <w:rsid w:val="008469CC"/>
    <w:rsid w:val="008472F2"/>
    <w:rsid w:val="00847D1A"/>
    <w:rsid w:val="00847D5C"/>
    <w:rsid w:val="00847E8C"/>
    <w:rsid w:val="00850B89"/>
    <w:rsid w:val="008518C1"/>
    <w:rsid w:val="008522F2"/>
    <w:rsid w:val="00852E36"/>
    <w:rsid w:val="00853704"/>
    <w:rsid w:val="00854B65"/>
    <w:rsid w:val="0085522A"/>
    <w:rsid w:val="00856D72"/>
    <w:rsid w:val="008579A6"/>
    <w:rsid w:val="00857C14"/>
    <w:rsid w:val="0086060C"/>
    <w:rsid w:val="00860DF4"/>
    <w:rsid w:val="008613EE"/>
    <w:rsid w:val="00862392"/>
    <w:rsid w:val="008639AE"/>
    <w:rsid w:val="00863CBC"/>
    <w:rsid w:val="00865075"/>
    <w:rsid w:val="00865668"/>
    <w:rsid w:val="00865BC4"/>
    <w:rsid w:val="008660A2"/>
    <w:rsid w:val="00866FB6"/>
    <w:rsid w:val="00867C1F"/>
    <w:rsid w:val="00870B04"/>
    <w:rsid w:val="00870DA0"/>
    <w:rsid w:val="008716AC"/>
    <w:rsid w:val="0087223D"/>
    <w:rsid w:val="00874D4B"/>
    <w:rsid w:val="00874DB6"/>
    <w:rsid w:val="008759BC"/>
    <w:rsid w:val="00876221"/>
    <w:rsid w:val="008764D1"/>
    <w:rsid w:val="00876854"/>
    <w:rsid w:val="00876D6A"/>
    <w:rsid w:val="00880574"/>
    <w:rsid w:val="00880891"/>
    <w:rsid w:val="00881EBC"/>
    <w:rsid w:val="008822E2"/>
    <w:rsid w:val="00882FC0"/>
    <w:rsid w:val="00884423"/>
    <w:rsid w:val="00884DF9"/>
    <w:rsid w:val="0088798D"/>
    <w:rsid w:val="00887F0D"/>
    <w:rsid w:val="008900E7"/>
    <w:rsid w:val="0089211B"/>
    <w:rsid w:val="00892253"/>
    <w:rsid w:val="00893A45"/>
    <w:rsid w:val="008949FC"/>
    <w:rsid w:val="00894D10"/>
    <w:rsid w:val="008950F5"/>
    <w:rsid w:val="00895554"/>
    <w:rsid w:val="00897612"/>
    <w:rsid w:val="00897C3E"/>
    <w:rsid w:val="008A078B"/>
    <w:rsid w:val="008A092E"/>
    <w:rsid w:val="008A0F7F"/>
    <w:rsid w:val="008A1C09"/>
    <w:rsid w:val="008A1D48"/>
    <w:rsid w:val="008A1ECB"/>
    <w:rsid w:val="008A208F"/>
    <w:rsid w:val="008A2770"/>
    <w:rsid w:val="008A35DD"/>
    <w:rsid w:val="008A3978"/>
    <w:rsid w:val="008A4491"/>
    <w:rsid w:val="008A4CDF"/>
    <w:rsid w:val="008A608D"/>
    <w:rsid w:val="008B10A1"/>
    <w:rsid w:val="008B1D65"/>
    <w:rsid w:val="008B29AA"/>
    <w:rsid w:val="008B4A5B"/>
    <w:rsid w:val="008B4BD9"/>
    <w:rsid w:val="008B5C70"/>
    <w:rsid w:val="008B5F40"/>
    <w:rsid w:val="008B7A1D"/>
    <w:rsid w:val="008C1161"/>
    <w:rsid w:val="008C1717"/>
    <w:rsid w:val="008C1AF5"/>
    <w:rsid w:val="008C1CD3"/>
    <w:rsid w:val="008C29D1"/>
    <w:rsid w:val="008C3A6A"/>
    <w:rsid w:val="008C4681"/>
    <w:rsid w:val="008C5B22"/>
    <w:rsid w:val="008C5D9A"/>
    <w:rsid w:val="008C667C"/>
    <w:rsid w:val="008C67F9"/>
    <w:rsid w:val="008C6C43"/>
    <w:rsid w:val="008C75A9"/>
    <w:rsid w:val="008C7B2F"/>
    <w:rsid w:val="008D077F"/>
    <w:rsid w:val="008D0BCC"/>
    <w:rsid w:val="008D14D0"/>
    <w:rsid w:val="008D1ACD"/>
    <w:rsid w:val="008D2573"/>
    <w:rsid w:val="008D34E5"/>
    <w:rsid w:val="008D4738"/>
    <w:rsid w:val="008D4B24"/>
    <w:rsid w:val="008D4C64"/>
    <w:rsid w:val="008D53FA"/>
    <w:rsid w:val="008D592D"/>
    <w:rsid w:val="008D633B"/>
    <w:rsid w:val="008E21C7"/>
    <w:rsid w:val="008E47EE"/>
    <w:rsid w:val="008E56B5"/>
    <w:rsid w:val="008E6451"/>
    <w:rsid w:val="008E7505"/>
    <w:rsid w:val="008E7732"/>
    <w:rsid w:val="008E7EFE"/>
    <w:rsid w:val="008E7F6E"/>
    <w:rsid w:val="008E7FD7"/>
    <w:rsid w:val="008F305B"/>
    <w:rsid w:val="008F3083"/>
    <w:rsid w:val="008F32A8"/>
    <w:rsid w:val="008F4205"/>
    <w:rsid w:val="008F4A28"/>
    <w:rsid w:val="008F5776"/>
    <w:rsid w:val="008F6150"/>
    <w:rsid w:val="008F6D06"/>
    <w:rsid w:val="009002D5"/>
    <w:rsid w:val="009006BD"/>
    <w:rsid w:val="009020EF"/>
    <w:rsid w:val="00902693"/>
    <w:rsid w:val="00902AC6"/>
    <w:rsid w:val="009037E7"/>
    <w:rsid w:val="00903A16"/>
    <w:rsid w:val="009045AF"/>
    <w:rsid w:val="00904CA1"/>
    <w:rsid w:val="00904E7A"/>
    <w:rsid w:val="00905FAA"/>
    <w:rsid w:val="0090653B"/>
    <w:rsid w:val="009067F8"/>
    <w:rsid w:val="00906866"/>
    <w:rsid w:val="009068A8"/>
    <w:rsid w:val="009068B3"/>
    <w:rsid w:val="00906D0A"/>
    <w:rsid w:val="00907A86"/>
    <w:rsid w:val="00907DA7"/>
    <w:rsid w:val="009104A7"/>
    <w:rsid w:val="00910813"/>
    <w:rsid w:val="009108DE"/>
    <w:rsid w:val="00910A5E"/>
    <w:rsid w:val="00911EA5"/>
    <w:rsid w:val="009125E7"/>
    <w:rsid w:val="009136D4"/>
    <w:rsid w:val="00913B29"/>
    <w:rsid w:val="009150D4"/>
    <w:rsid w:val="00915163"/>
    <w:rsid w:val="00916FA9"/>
    <w:rsid w:val="00917B2A"/>
    <w:rsid w:val="00917CB6"/>
    <w:rsid w:val="00917D62"/>
    <w:rsid w:val="00917E5D"/>
    <w:rsid w:val="009206BE"/>
    <w:rsid w:val="00920C86"/>
    <w:rsid w:val="009229E0"/>
    <w:rsid w:val="00923B89"/>
    <w:rsid w:val="00923F9C"/>
    <w:rsid w:val="009266CF"/>
    <w:rsid w:val="00926976"/>
    <w:rsid w:val="00926D04"/>
    <w:rsid w:val="00926F71"/>
    <w:rsid w:val="009306FB"/>
    <w:rsid w:val="00930733"/>
    <w:rsid w:val="00932100"/>
    <w:rsid w:val="00932397"/>
    <w:rsid w:val="00932AC4"/>
    <w:rsid w:val="00932C3A"/>
    <w:rsid w:val="00933B0D"/>
    <w:rsid w:val="009344B6"/>
    <w:rsid w:val="00935153"/>
    <w:rsid w:val="00935352"/>
    <w:rsid w:val="009365BE"/>
    <w:rsid w:val="00937852"/>
    <w:rsid w:val="00940F12"/>
    <w:rsid w:val="00941610"/>
    <w:rsid w:val="0094315A"/>
    <w:rsid w:val="009434F9"/>
    <w:rsid w:val="00946E2F"/>
    <w:rsid w:val="009471E2"/>
    <w:rsid w:val="00947458"/>
    <w:rsid w:val="00947AF3"/>
    <w:rsid w:val="00950504"/>
    <w:rsid w:val="00950D84"/>
    <w:rsid w:val="009544BA"/>
    <w:rsid w:val="0095489B"/>
    <w:rsid w:val="00954C38"/>
    <w:rsid w:val="00954C93"/>
    <w:rsid w:val="00956717"/>
    <w:rsid w:val="00957743"/>
    <w:rsid w:val="00960775"/>
    <w:rsid w:val="00960EC8"/>
    <w:rsid w:val="00961433"/>
    <w:rsid w:val="00961950"/>
    <w:rsid w:val="00961D65"/>
    <w:rsid w:val="00963C60"/>
    <w:rsid w:val="00963D62"/>
    <w:rsid w:val="009657B7"/>
    <w:rsid w:val="00965944"/>
    <w:rsid w:val="00966482"/>
    <w:rsid w:val="0096696C"/>
    <w:rsid w:val="00970FCB"/>
    <w:rsid w:val="00971590"/>
    <w:rsid w:val="00973BDC"/>
    <w:rsid w:val="00974DB6"/>
    <w:rsid w:val="00975BBC"/>
    <w:rsid w:val="00975C7D"/>
    <w:rsid w:val="0097653D"/>
    <w:rsid w:val="0097790C"/>
    <w:rsid w:val="0098031F"/>
    <w:rsid w:val="00982570"/>
    <w:rsid w:val="009828B5"/>
    <w:rsid w:val="00982FDB"/>
    <w:rsid w:val="00983C6B"/>
    <w:rsid w:val="00984D9F"/>
    <w:rsid w:val="00984F3A"/>
    <w:rsid w:val="00985FB4"/>
    <w:rsid w:val="00986B33"/>
    <w:rsid w:val="009876CC"/>
    <w:rsid w:val="00990157"/>
    <w:rsid w:val="00990279"/>
    <w:rsid w:val="0099031A"/>
    <w:rsid w:val="0099174B"/>
    <w:rsid w:val="009917EF"/>
    <w:rsid w:val="00991D80"/>
    <w:rsid w:val="0099241B"/>
    <w:rsid w:val="0099283F"/>
    <w:rsid w:val="00992FB3"/>
    <w:rsid w:val="009935FC"/>
    <w:rsid w:val="00993B35"/>
    <w:rsid w:val="009953E9"/>
    <w:rsid w:val="0099550E"/>
    <w:rsid w:val="0099570F"/>
    <w:rsid w:val="00996196"/>
    <w:rsid w:val="009A00D8"/>
    <w:rsid w:val="009A0850"/>
    <w:rsid w:val="009A134E"/>
    <w:rsid w:val="009A14A3"/>
    <w:rsid w:val="009A1855"/>
    <w:rsid w:val="009A3453"/>
    <w:rsid w:val="009A460C"/>
    <w:rsid w:val="009A4635"/>
    <w:rsid w:val="009A5080"/>
    <w:rsid w:val="009A51DF"/>
    <w:rsid w:val="009A53D0"/>
    <w:rsid w:val="009A5E0B"/>
    <w:rsid w:val="009A6103"/>
    <w:rsid w:val="009A651A"/>
    <w:rsid w:val="009B2526"/>
    <w:rsid w:val="009B3449"/>
    <w:rsid w:val="009B3DB2"/>
    <w:rsid w:val="009B481B"/>
    <w:rsid w:val="009B4F26"/>
    <w:rsid w:val="009B5A90"/>
    <w:rsid w:val="009B5F9F"/>
    <w:rsid w:val="009B6827"/>
    <w:rsid w:val="009B71BD"/>
    <w:rsid w:val="009B7F7B"/>
    <w:rsid w:val="009B7F81"/>
    <w:rsid w:val="009C02EA"/>
    <w:rsid w:val="009C1E4B"/>
    <w:rsid w:val="009C205A"/>
    <w:rsid w:val="009C298A"/>
    <w:rsid w:val="009C3ECA"/>
    <w:rsid w:val="009C4E7F"/>
    <w:rsid w:val="009C5D23"/>
    <w:rsid w:val="009C769C"/>
    <w:rsid w:val="009D054E"/>
    <w:rsid w:val="009D0EEC"/>
    <w:rsid w:val="009D29EB"/>
    <w:rsid w:val="009D2A00"/>
    <w:rsid w:val="009D3789"/>
    <w:rsid w:val="009D4097"/>
    <w:rsid w:val="009D4815"/>
    <w:rsid w:val="009D547C"/>
    <w:rsid w:val="009D56F8"/>
    <w:rsid w:val="009D5770"/>
    <w:rsid w:val="009D58F6"/>
    <w:rsid w:val="009D5CB2"/>
    <w:rsid w:val="009D6005"/>
    <w:rsid w:val="009D61CE"/>
    <w:rsid w:val="009D6DC2"/>
    <w:rsid w:val="009D7E41"/>
    <w:rsid w:val="009E2535"/>
    <w:rsid w:val="009E2A2D"/>
    <w:rsid w:val="009E61C8"/>
    <w:rsid w:val="009E61F3"/>
    <w:rsid w:val="009E7DF0"/>
    <w:rsid w:val="009E7EE9"/>
    <w:rsid w:val="009E7F33"/>
    <w:rsid w:val="009F06DD"/>
    <w:rsid w:val="009F072D"/>
    <w:rsid w:val="009F1017"/>
    <w:rsid w:val="009F1110"/>
    <w:rsid w:val="009F12A1"/>
    <w:rsid w:val="009F1586"/>
    <w:rsid w:val="009F3E94"/>
    <w:rsid w:val="009F3F5C"/>
    <w:rsid w:val="009F41F8"/>
    <w:rsid w:val="009F49C4"/>
    <w:rsid w:val="009F4A71"/>
    <w:rsid w:val="009F4C45"/>
    <w:rsid w:val="009F5659"/>
    <w:rsid w:val="009F5F16"/>
    <w:rsid w:val="009F6AD7"/>
    <w:rsid w:val="009F6F01"/>
    <w:rsid w:val="009F705C"/>
    <w:rsid w:val="009F79D8"/>
    <w:rsid w:val="00A0092F"/>
    <w:rsid w:val="00A009A0"/>
    <w:rsid w:val="00A00EEA"/>
    <w:rsid w:val="00A01DF2"/>
    <w:rsid w:val="00A029CC"/>
    <w:rsid w:val="00A0590C"/>
    <w:rsid w:val="00A05ACB"/>
    <w:rsid w:val="00A05E82"/>
    <w:rsid w:val="00A07F1C"/>
    <w:rsid w:val="00A102EC"/>
    <w:rsid w:val="00A1130D"/>
    <w:rsid w:val="00A11741"/>
    <w:rsid w:val="00A1317D"/>
    <w:rsid w:val="00A13E2C"/>
    <w:rsid w:val="00A14AC2"/>
    <w:rsid w:val="00A158B9"/>
    <w:rsid w:val="00A158BA"/>
    <w:rsid w:val="00A15B9E"/>
    <w:rsid w:val="00A1768C"/>
    <w:rsid w:val="00A21967"/>
    <w:rsid w:val="00A223B1"/>
    <w:rsid w:val="00A226FD"/>
    <w:rsid w:val="00A2273A"/>
    <w:rsid w:val="00A22E02"/>
    <w:rsid w:val="00A22E94"/>
    <w:rsid w:val="00A236FD"/>
    <w:rsid w:val="00A25EDD"/>
    <w:rsid w:val="00A26E6F"/>
    <w:rsid w:val="00A27439"/>
    <w:rsid w:val="00A27EDE"/>
    <w:rsid w:val="00A3032C"/>
    <w:rsid w:val="00A309C1"/>
    <w:rsid w:val="00A30CEC"/>
    <w:rsid w:val="00A314BF"/>
    <w:rsid w:val="00A31705"/>
    <w:rsid w:val="00A325F1"/>
    <w:rsid w:val="00A326AB"/>
    <w:rsid w:val="00A33F2C"/>
    <w:rsid w:val="00A34426"/>
    <w:rsid w:val="00A34BA6"/>
    <w:rsid w:val="00A34FEC"/>
    <w:rsid w:val="00A353D1"/>
    <w:rsid w:val="00A36166"/>
    <w:rsid w:val="00A3617D"/>
    <w:rsid w:val="00A36804"/>
    <w:rsid w:val="00A37273"/>
    <w:rsid w:val="00A3780E"/>
    <w:rsid w:val="00A37D6C"/>
    <w:rsid w:val="00A400E3"/>
    <w:rsid w:val="00A404DC"/>
    <w:rsid w:val="00A40A85"/>
    <w:rsid w:val="00A40CAF"/>
    <w:rsid w:val="00A41642"/>
    <w:rsid w:val="00A4282D"/>
    <w:rsid w:val="00A43D95"/>
    <w:rsid w:val="00A43E09"/>
    <w:rsid w:val="00A44CAE"/>
    <w:rsid w:val="00A4562F"/>
    <w:rsid w:val="00A45867"/>
    <w:rsid w:val="00A45E5F"/>
    <w:rsid w:val="00A47DFC"/>
    <w:rsid w:val="00A5073B"/>
    <w:rsid w:val="00A5094F"/>
    <w:rsid w:val="00A50AEB"/>
    <w:rsid w:val="00A50E20"/>
    <w:rsid w:val="00A53063"/>
    <w:rsid w:val="00A538BF"/>
    <w:rsid w:val="00A5592C"/>
    <w:rsid w:val="00A55F95"/>
    <w:rsid w:val="00A565BF"/>
    <w:rsid w:val="00A5693F"/>
    <w:rsid w:val="00A56A7F"/>
    <w:rsid w:val="00A57974"/>
    <w:rsid w:val="00A60AEE"/>
    <w:rsid w:val="00A61A3D"/>
    <w:rsid w:val="00A64DB1"/>
    <w:rsid w:val="00A66F1F"/>
    <w:rsid w:val="00A67594"/>
    <w:rsid w:val="00A70448"/>
    <w:rsid w:val="00A70D11"/>
    <w:rsid w:val="00A71D07"/>
    <w:rsid w:val="00A71ED5"/>
    <w:rsid w:val="00A72965"/>
    <w:rsid w:val="00A72EB1"/>
    <w:rsid w:val="00A73D0E"/>
    <w:rsid w:val="00A74192"/>
    <w:rsid w:val="00A744DE"/>
    <w:rsid w:val="00A74BBF"/>
    <w:rsid w:val="00A750F9"/>
    <w:rsid w:val="00A757D7"/>
    <w:rsid w:val="00A77037"/>
    <w:rsid w:val="00A77401"/>
    <w:rsid w:val="00A778AE"/>
    <w:rsid w:val="00A77CA6"/>
    <w:rsid w:val="00A80BC9"/>
    <w:rsid w:val="00A81887"/>
    <w:rsid w:val="00A81EA0"/>
    <w:rsid w:val="00A8297F"/>
    <w:rsid w:val="00A8313F"/>
    <w:rsid w:val="00A84A99"/>
    <w:rsid w:val="00A85135"/>
    <w:rsid w:val="00A86C98"/>
    <w:rsid w:val="00A90379"/>
    <w:rsid w:val="00A906DA"/>
    <w:rsid w:val="00A91658"/>
    <w:rsid w:val="00A91681"/>
    <w:rsid w:val="00A91B51"/>
    <w:rsid w:val="00A9221F"/>
    <w:rsid w:val="00A9265E"/>
    <w:rsid w:val="00A934CC"/>
    <w:rsid w:val="00A956D4"/>
    <w:rsid w:val="00A95B77"/>
    <w:rsid w:val="00A95CDA"/>
    <w:rsid w:val="00A962DC"/>
    <w:rsid w:val="00A96311"/>
    <w:rsid w:val="00A9721C"/>
    <w:rsid w:val="00A97572"/>
    <w:rsid w:val="00A97DCF"/>
    <w:rsid w:val="00AA0C86"/>
    <w:rsid w:val="00AA1869"/>
    <w:rsid w:val="00AA1C46"/>
    <w:rsid w:val="00AA31C0"/>
    <w:rsid w:val="00AA3936"/>
    <w:rsid w:val="00AA411B"/>
    <w:rsid w:val="00AA4E8C"/>
    <w:rsid w:val="00AA518A"/>
    <w:rsid w:val="00AA5A80"/>
    <w:rsid w:val="00AA62F4"/>
    <w:rsid w:val="00AA7034"/>
    <w:rsid w:val="00AA77B3"/>
    <w:rsid w:val="00AA7E80"/>
    <w:rsid w:val="00AB0477"/>
    <w:rsid w:val="00AB12EB"/>
    <w:rsid w:val="00AB1643"/>
    <w:rsid w:val="00AB1B93"/>
    <w:rsid w:val="00AB4BFF"/>
    <w:rsid w:val="00AB4CC4"/>
    <w:rsid w:val="00AB4E8C"/>
    <w:rsid w:val="00AB551A"/>
    <w:rsid w:val="00AB697F"/>
    <w:rsid w:val="00AB712E"/>
    <w:rsid w:val="00AB7308"/>
    <w:rsid w:val="00AC0775"/>
    <w:rsid w:val="00AC0829"/>
    <w:rsid w:val="00AC22DE"/>
    <w:rsid w:val="00AC5376"/>
    <w:rsid w:val="00AC5C56"/>
    <w:rsid w:val="00AC5E8F"/>
    <w:rsid w:val="00AC613A"/>
    <w:rsid w:val="00AC6302"/>
    <w:rsid w:val="00AC6F07"/>
    <w:rsid w:val="00AC736A"/>
    <w:rsid w:val="00AD05DB"/>
    <w:rsid w:val="00AD0807"/>
    <w:rsid w:val="00AD1297"/>
    <w:rsid w:val="00AD175C"/>
    <w:rsid w:val="00AD2D63"/>
    <w:rsid w:val="00AD389C"/>
    <w:rsid w:val="00AD3FED"/>
    <w:rsid w:val="00AD4198"/>
    <w:rsid w:val="00AD4B48"/>
    <w:rsid w:val="00AD4E1E"/>
    <w:rsid w:val="00AD56EE"/>
    <w:rsid w:val="00AD6712"/>
    <w:rsid w:val="00AD69DD"/>
    <w:rsid w:val="00AD7522"/>
    <w:rsid w:val="00AE02F0"/>
    <w:rsid w:val="00AE054C"/>
    <w:rsid w:val="00AE1AB4"/>
    <w:rsid w:val="00AE1F48"/>
    <w:rsid w:val="00AE2197"/>
    <w:rsid w:val="00AE21A9"/>
    <w:rsid w:val="00AE2528"/>
    <w:rsid w:val="00AE4BBD"/>
    <w:rsid w:val="00AE5502"/>
    <w:rsid w:val="00AE5F43"/>
    <w:rsid w:val="00AE6820"/>
    <w:rsid w:val="00AE6BF2"/>
    <w:rsid w:val="00AE6D0F"/>
    <w:rsid w:val="00AF011A"/>
    <w:rsid w:val="00AF0F12"/>
    <w:rsid w:val="00AF0F71"/>
    <w:rsid w:val="00AF1C58"/>
    <w:rsid w:val="00AF2794"/>
    <w:rsid w:val="00AF384D"/>
    <w:rsid w:val="00AF392A"/>
    <w:rsid w:val="00AF3D67"/>
    <w:rsid w:val="00AF52A3"/>
    <w:rsid w:val="00AF53E5"/>
    <w:rsid w:val="00AF5DF1"/>
    <w:rsid w:val="00AF659B"/>
    <w:rsid w:val="00AF7CB2"/>
    <w:rsid w:val="00AF7EFE"/>
    <w:rsid w:val="00B00253"/>
    <w:rsid w:val="00B004E4"/>
    <w:rsid w:val="00B01307"/>
    <w:rsid w:val="00B027F7"/>
    <w:rsid w:val="00B02A7E"/>
    <w:rsid w:val="00B03542"/>
    <w:rsid w:val="00B03E07"/>
    <w:rsid w:val="00B0462E"/>
    <w:rsid w:val="00B05005"/>
    <w:rsid w:val="00B053B4"/>
    <w:rsid w:val="00B05512"/>
    <w:rsid w:val="00B05CAF"/>
    <w:rsid w:val="00B05F3B"/>
    <w:rsid w:val="00B060D2"/>
    <w:rsid w:val="00B064E9"/>
    <w:rsid w:val="00B06847"/>
    <w:rsid w:val="00B068AC"/>
    <w:rsid w:val="00B073DE"/>
    <w:rsid w:val="00B075A7"/>
    <w:rsid w:val="00B103EB"/>
    <w:rsid w:val="00B104AA"/>
    <w:rsid w:val="00B1053F"/>
    <w:rsid w:val="00B10603"/>
    <w:rsid w:val="00B10D25"/>
    <w:rsid w:val="00B10EBA"/>
    <w:rsid w:val="00B115B4"/>
    <w:rsid w:val="00B11FE1"/>
    <w:rsid w:val="00B12C0B"/>
    <w:rsid w:val="00B12C4A"/>
    <w:rsid w:val="00B12F75"/>
    <w:rsid w:val="00B14F0F"/>
    <w:rsid w:val="00B16718"/>
    <w:rsid w:val="00B17F8B"/>
    <w:rsid w:val="00B20FCA"/>
    <w:rsid w:val="00B2133E"/>
    <w:rsid w:val="00B24634"/>
    <w:rsid w:val="00B25482"/>
    <w:rsid w:val="00B2576F"/>
    <w:rsid w:val="00B26317"/>
    <w:rsid w:val="00B27331"/>
    <w:rsid w:val="00B301C5"/>
    <w:rsid w:val="00B3073F"/>
    <w:rsid w:val="00B30E97"/>
    <w:rsid w:val="00B3122A"/>
    <w:rsid w:val="00B31F77"/>
    <w:rsid w:val="00B32301"/>
    <w:rsid w:val="00B33F74"/>
    <w:rsid w:val="00B34085"/>
    <w:rsid w:val="00B34C4B"/>
    <w:rsid w:val="00B3566D"/>
    <w:rsid w:val="00B35A31"/>
    <w:rsid w:val="00B35B27"/>
    <w:rsid w:val="00B37912"/>
    <w:rsid w:val="00B4092C"/>
    <w:rsid w:val="00B40D06"/>
    <w:rsid w:val="00B42729"/>
    <w:rsid w:val="00B42D6C"/>
    <w:rsid w:val="00B45E0F"/>
    <w:rsid w:val="00B46380"/>
    <w:rsid w:val="00B46AE6"/>
    <w:rsid w:val="00B47414"/>
    <w:rsid w:val="00B475DF"/>
    <w:rsid w:val="00B522FE"/>
    <w:rsid w:val="00B5264D"/>
    <w:rsid w:val="00B52B64"/>
    <w:rsid w:val="00B53229"/>
    <w:rsid w:val="00B5330E"/>
    <w:rsid w:val="00B5331A"/>
    <w:rsid w:val="00B54FA3"/>
    <w:rsid w:val="00B55079"/>
    <w:rsid w:val="00B55596"/>
    <w:rsid w:val="00B555FD"/>
    <w:rsid w:val="00B55A1C"/>
    <w:rsid w:val="00B565F2"/>
    <w:rsid w:val="00B5685C"/>
    <w:rsid w:val="00B56CBF"/>
    <w:rsid w:val="00B574DE"/>
    <w:rsid w:val="00B60B53"/>
    <w:rsid w:val="00B60D4F"/>
    <w:rsid w:val="00B61530"/>
    <w:rsid w:val="00B6199E"/>
    <w:rsid w:val="00B61D93"/>
    <w:rsid w:val="00B62274"/>
    <w:rsid w:val="00B633F0"/>
    <w:rsid w:val="00B635F6"/>
    <w:rsid w:val="00B63B76"/>
    <w:rsid w:val="00B65AD8"/>
    <w:rsid w:val="00B65B0F"/>
    <w:rsid w:val="00B65DBB"/>
    <w:rsid w:val="00B662B2"/>
    <w:rsid w:val="00B66DE5"/>
    <w:rsid w:val="00B67785"/>
    <w:rsid w:val="00B70350"/>
    <w:rsid w:val="00B70D06"/>
    <w:rsid w:val="00B70E10"/>
    <w:rsid w:val="00B70E52"/>
    <w:rsid w:val="00B71A97"/>
    <w:rsid w:val="00B71B25"/>
    <w:rsid w:val="00B7208C"/>
    <w:rsid w:val="00B749DA"/>
    <w:rsid w:val="00B753CE"/>
    <w:rsid w:val="00B75E04"/>
    <w:rsid w:val="00B76540"/>
    <w:rsid w:val="00B765CF"/>
    <w:rsid w:val="00B766DB"/>
    <w:rsid w:val="00B76B8D"/>
    <w:rsid w:val="00B777B2"/>
    <w:rsid w:val="00B818BF"/>
    <w:rsid w:val="00B81ECB"/>
    <w:rsid w:val="00B82EB0"/>
    <w:rsid w:val="00B831E3"/>
    <w:rsid w:val="00B83C70"/>
    <w:rsid w:val="00B84014"/>
    <w:rsid w:val="00B84701"/>
    <w:rsid w:val="00B84998"/>
    <w:rsid w:val="00B84FB7"/>
    <w:rsid w:val="00B85276"/>
    <w:rsid w:val="00B86191"/>
    <w:rsid w:val="00B87174"/>
    <w:rsid w:val="00B8780D"/>
    <w:rsid w:val="00B8782C"/>
    <w:rsid w:val="00B90C30"/>
    <w:rsid w:val="00B90E68"/>
    <w:rsid w:val="00B921EB"/>
    <w:rsid w:val="00B93754"/>
    <w:rsid w:val="00B93E5B"/>
    <w:rsid w:val="00B94009"/>
    <w:rsid w:val="00B94683"/>
    <w:rsid w:val="00B957D4"/>
    <w:rsid w:val="00B95C1D"/>
    <w:rsid w:val="00B95DF6"/>
    <w:rsid w:val="00B964B0"/>
    <w:rsid w:val="00B96837"/>
    <w:rsid w:val="00B97982"/>
    <w:rsid w:val="00BA1CF5"/>
    <w:rsid w:val="00BA2AA8"/>
    <w:rsid w:val="00BA2CBF"/>
    <w:rsid w:val="00BA4411"/>
    <w:rsid w:val="00BA4D44"/>
    <w:rsid w:val="00BA558B"/>
    <w:rsid w:val="00BA5B23"/>
    <w:rsid w:val="00BA5C6E"/>
    <w:rsid w:val="00BA6913"/>
    <w:rsid w:val="00BA72FD"/>
    <w:rsid w:val="00BA75EB"/>
    <w:rsid w:val="00BA7E81"/>
    <w:rsid w:val="00BB05A3"/>
    <w:rsid w:val="00BB0777"/>
    <w:rsid w:val="00BB1377"/>
    <w:rsid w:val="00BB14CD"/>
    <w:rsid w:val="00BB31F3"/>
    <w:rsid w:val="00BB461D"/>
    <w:rsid w:val="00BB4777"/>
    <w:rsid w:val="00BB4B5C"/>
    <w:rsid w:val="00BB5272"/>
    <w:rsid w:val="00BB7024"/>
    <w:rsid w:val="00BB781E"/>
    <w:rsid w:val="00BB7E0E"/>
    <w:rsid w:val="00BC07DF"/>
    <w:rsid w:val="00BC1D0D"/>
    <w:rsid w:val="00BC2934"/>
    <w:rsid w:val="00BC2B89"/>
    <w:rsid w:val="00BC3E18"/>
    <w:rsid w:val="00BC43F8"/>
    <w:rsid w:val="00BC59DA"/>
    <w:rsid w:val="00BC6455"/>
    <w:rsid w:val="00BC6D78"/>
    <w:rsid w:val="00BC7998"/>
    <w:rsid w:val="00BC7C85"/>
    <w:rsid w:val="00BD1B51"/>
    <w:rsid w:val="00BD225D"/>
    <w:rsid w:val="00BD447D"/>
    <w:rsid w:val="00BD4520"/>
    <w:rsid w:val="00BD5962"/>
    <w:rsid w:val="00BD774C"/>
    <w:rsid w:val="00BD7C07"/>
    <w:rsid w:val="00BE04B6"/>
    <w:rsid w:val="00BE0A91"/>
    <w:rsid w:val="00BE1A91"/>
    <w:rsid w:val="00BE335F"/>
    <w:rsid w:val="00BE5928"/>
    <w:rsid w:val="00BE5C84"/>
    <w:rsid w:val="00BE7034"/>
    <w:rsid w:val="00BE70C9"/>
    <w:rsid w:val="00BE73F5"/>
    <w:rsid w:val="00BE7761"/>
    <w:rsid w:val="00BF0518"/>
    <w:rsid w:val="00BF07F3"/>
    <w:rsid w:val="00BF20A5"/>
    <w:rsid w:val="00BF2587"/>
    <w:rsid w:val="00BF2A0D"/>
    <w:rsid w:val="00BF393A"/>
    <w:rsid w:val="00BF4630"/>
    <w:rsid w:val="00BF5109"/>
    <w:rsid w:val="00BF5D4F"/>
    <w:rsid w:val="00BF6135"/>
    <w:rsid w:val="00BF66F5"/>
    <w:rsid w:val="00BF6B52"/>
    <w:rsid w:val="00BF6E41"/>
    <w:rsid w:val="00BF78CF"/>
    <w:rsid w:val="00BF7D76"/>
    <w:rsid w:val="00C00493"/>
    <w:rsid w:val="00C01A11"/>
    <w:rsid w:val="00C02270"/>
    <w:rsid w:val="00C0341E"/>
    <w:rsid w:val="00C038D4"/>
    <w:rsid w:val="00C06115"/>
    <w:rsid w:val="00C067AE"/>
    <w:rsid w:val="00C111F6"/>
    <w:rsid w:val="00C12ACB"/>
    <w:rsid w:val="00C12F32"/>
    <w:rsid w:val="00C13246"/>
    <w:rsid w:val="00C147F4"/>
    <w:rsid w:val="00C154A7"/>
    <w:rsid w:val="00C155D8"/>
    <w:rsid w:val="00C15B85"/>
    <w:rsid w:val="00C17F52"/>
    <w:rsid w:val="00C17FF2"/>
    <w:rsid w:val="00C21624"/>
    <w:rsid w:val="00C21FCA"/>
    <w:rsid w:val="00C23520"/>
    <w:rsid w:val="00C2381C"/>
    <w:rsid w:val="00C24AD8"/>
    <w:rsid w:val="00C251FC"/>
    <w:rsid w:val="00C252E3"/>
    <w:rsid w:val="00C26043"/>
    <w:rsid w:val="00C26EDB"/>
    <w:rsid w:val="00C27E1A"/>
    <w:rsid w:val="00C27E6E"/>
    <w:rsid w:val="00C30283"/>
    <w:rsid w:val="00C3096B"/>
    <w:rsid w:val="00C310E4"/>
    <w:rsid w:val="00C31FA7"/>
    <w:rsid w:val="00C32114"/>
    <w:rsid w:val="00C3258B"/>
    <w:rsid w:val="00C3273A"/>
    <w:rsid w:val="00C332CC"/>
    <w:rsid w:val="00C334F5"/>
    <w:rsid w:val="00C3401F"/>
    <w:rsid w:val="00C346CA"/>
    <w:rsid w:val="00C36416"/>
    <w:rsid w:val="00C4081C"/>
    <w:rsid w:val="00C4388B"/>
    <w:rsid w:val="00C43B14"/>
    <w:rsid w:val="00C44237"/>
    <w:rsid w:val="00C446DC"/>
    <w:rsid w:val="00C44782"/>
    <w:rsid w:val="00C44A23"/>
    <w:rsid w:val="00C44A47"/>
    <w:rsid w:val="00C4615F"/>
    <w:rsid w:val="00C46229"/>
    <w:rsid w:val="00C466B1"/>
    <w:rsid w:val="00C4754E"/>
    <w:rsid w:val="00C47C43"/>
    <w:rsid w:val="00C5044A"/>
    <w:rsid w:val="00C5072B"/>
    <w:rsid w:val="00C50748"/>
    <w:rsid w:val="00C50D8A"/>
    <w:rsid w:val="00C51F0D"/>
    <w:rsid w:val="00C51FF4"/>
    <w:rsid w:val="00C520A2"/>
    <w:rsid w:val="00C52875"/>
    <w:rsid w:val="00C5305D"/>
    <w:rsid w:val="00C53951"/>
    <w:rsid w:val="00C54D67"/>
    <w:rsid w:val="00C553A4"/>
    <w:rsid w:val="00C576D2"/>
    <w:rsid w:val="00C57B17"/>
    <w:rsid w:val="00C61E77"/>
    <w:rsid w:val="00C62AF3"/>
    <w:rsid w:val="00C63579"/>
    <w:rsid w:val="00C636F3"/>
    <w:rsid w:val="00C63DE6"/>
    <w:rsid w:val="00C6494B"/>
    <w:rsid w:val="00C64990"/>
    <w:rsid w:val="00C65175"/>
    <w:rsid w:val="00C65836"/>
    <w:rsid w:val="00C65C9E"/>
    <w:rsid w:val="00C66423"/>
    <w:rsid w:val="00C6652E"/>
    <w:rsid w:val="00C67887"/>
    <w:rsid w:val="00C67A4D"/>
    <w:rsid w:val="00C71231"/>
    <w:rsid w:val="00C722C9"/>
    <w:rsid w:val="00C730E3"/>
    <w:rsid w:val="00C7345F"/>
    <w:rsid w:val="00C7416E"/>
    <w:rsid w:val="00C7624A"/>
    <w:rsid w:val="00C76E10"/>
    <w:rsid w:val="00C81DFD"/>
    <w:rsid w:val="00C8545F"/>
    <w:rsid w:val="00C854F5"/>
    <w:rsid w:val="00C85731"/>
    <w:rsid w:val="00C857B1"/>
    <w:rsid w:val="00C85B3C"/>
    <w:rsid w:val="00C85CDA"/>
    <w:rsid w:val="00C8633C"/>
    <w:rsid w:val="00C904DC"/>
    <w:rsid w:val="00C90DD3"/>
    <w:rsid w:val="00C919F9"/>
    <w:rsid w:val="00C91A52"/>
    <w:rsid w:val="00C91DEF"/>
    <w:rsid w:val="00C92068"/>
    <w:rsid w:val="00C9241A"/>
    <w:rsid w:val="00C9376E"/>
    <w:rsid w:val="00C94023"/>
    <w:rsid w:val="00C9447F"/>
    <w:rsid w:val="00C952ED"/>
    <w:rsid w:val="00C955A9"/>
    <w:rsid w:val="00C95612"/>
    <w:rsid w:val="00C956DE"/>
    <w:rsid w:val="00C95A57"/>
    <w:rsid w:val="00C9606E"/>
    <w:rsid w:val="00C96529"/>
    <w:rsid w:val="00C9674E"/>
    <w:rsid w:val="00C96C54"/>
    <w:rsid w:val="00C970FC"/>
    <w:rsid w:val="00C972E2"/>
    <w:rsid w:val="00C975F1"/>
    <w:rsid w:val="00CA04FA"/>
    <w:rsid w:val="00CA0B69"/>
    <w:rsid w:val="00CA0C52"/>
    <w:rsid w:val="00CA1507"/>
    <w:rsid w:val="00CA1682"/>
    <w:rsid w:val="00CA16CD"/>
    <w:rsid w:val="00CA1B7C"/>
    <w:rsid w:val="00CA3503"/>
    <w:rsid w:val="00CA4933"/>
    <w:rsid w:val="00CA4AE6"/>
    <w:rsid w:val="00CA5D32"/>
    <w:rsid w:val="00CA6007"/>
    <w:rsid w:val="00CA6339"/>
    <w:rsid w:val="00CA6373"/>
    <w:rsid w:val="00CA6BC7"/>
    <w:rsid w:val="00CA708A"/>
    <w:rsid w:val="00CA71B4"/>
    <w:rsid w:val="00CA771F"/>
    <w:rsid w:val="00CA7760"/>
    <w:rsid w:val="00CB0063"/>
    <w:rsid w:val="00CB05D5"/>
    <w:rsid w:val="00CB0A60"/>
    <w:rsid w:val="00CB1110"/>
    <w:rsid w:val="00CB31D9"/>
    <w:rsid w:val="00CB3553"/>
    <w:rsid w:val="00CB50D6"/>
    <w:rsid w:val="00CB6077"/>
    <w:rsid w:val="00CB6EAD"/>
    <w:rsid w:val="00CB6F6D"/>
    <w:rsid w:val="00CB741A"/>
    <w:rsid w:val="00CB7E0A"/>
    <w:rsid w:val="00CC0240"/>
    <w:rsid w:val="00CC12B4"/>
    <w:rsid w:val="00CC1518"/>
    <w:rsid w:val="00CC4A1C"/>
    <w:rsid w:val="00CC697E"/>
    <w:rsid w:val="00CC6C62"/>
    <w:rsid w:val="00CC713E"/>
    <w:rsid w:val="00CC786A"/>
    <w:rsid w:val="00CD0190"/>
    <w:rsid w:val="00CD0447"/>
    <w:rsid w:val="00CD1697"/>
    <w:rsid w:val="00CD253F"/>
    <w:rsid w:val="00CD3DAA"/>
    <w:rsid w:val="00CD3EF2"/>
    <w:rsid w:val="00CD4317"/>
    <w:rsid w:val="00CD4D37"/>
    <w:rsid w:val="00CD698C"/>
    <w:rsid w:val="00CE006F"/>
    <w:rsid w:val="00CE0DC7"/>
    <w:rsid w:val="00CE124E"/>
    <w:rsid w:val="00CE2695"/>
    <w:rsid w:val="00CE2EE5"/>
    <w:rsid w:val="00CE3780"/>
    <w:rsid w:val="00CE65C3"/>
    <w:rsid w:val="00CE697C"/>
    <w:rsid w:val="00CE6ED6"/>
    <w:rsid w:val="00CE7CF6"/>
    <w:rsid w:val="00CF0EEE"/>
    <w:rsid w:val="00CF19FA"/>
    <w:rsid w:val="00CF2F9E"/>
    <w:rsid w:val="00CF57D5"/>
    <w:rsid w:val="00CF75FC"/>
    <w:rsid w:val="00D00547"/>
    <w:rsid w:val="00D00AD0"/>
    <w:rsid w:val="00D00D56"/>
    <w:rsid w:val="00D0165B"/>
    <w:rsid w:val="00D01A9A"/>
    <w:rsid w:val="00D02D08"/>
    <w:rsid w:val="00D033A7"/>
    <w:rsid w:val="00D03617"/>
    <w:rsid w:val="00D03B69"/>
    <w:rsid w:val="00D041DF"/>
    <w:rsid w:val="00D049EB"/>
    <w:rsid w:val="00D05122"/>
    <w:rsid w:val="00D05810"/>
    <w:rsid w:val="00D0595D"/>
    <w:rsid w:val="00D05C5C"/>
    <w:rsid w:val="00D05DF1"/>
    <w:rsid w:val="00D05E0A"/>
    <w:rsid w:val="00D06CC8"/>
    <w:rsid w:val="00D0754D"/>
    <w:rsid w:val="00D07AFA"/>
    <w:rsid w:val="00D07D36"/>
    <w:rsid w:val="00D107D4"/>
    <w:rsid w:val="00D112F0"/>
    <w:rsid w:val="00D11DA7"/>
    <w:rsid w:val="00D14123"/>
    <w:rsid w:val="00D15397"/>
    <w:rsid w:val="00D1544B"/>
    <w:rsid w:val="00D16210"/>
    <w:rsid w:val="00D1711F"/>
    <w:rsid w:val="00D20011"/>
    <w:rsid w:val="00D20388"/>
    <w:rsid w:val="00D207B7"/>
    <w:rsid w:val="00D20F4A"/>
    <w:rsid w:val="00D22498"/>
    <w:rsid w:val="00D22B62"/>
    <w:rsid w:val="00D239B5"/>
    <w:rsid w:val="00D241C5"/>
    <w:rsid w:val="00D243E9"/>
    <w:rsid w:val="00D2461F"/>
    <w:rsid w:val="00D2520C"/>
    <w:rsid w:val="00D2598F"/>
    <w:rsid w:val="00D26A44"/>
    <w:rsid w:val="00D278AE"/>
    <w:rsid w:val="00D27CCB"/>
    <w:rsid w:val="00D3072A"/>
    <w:rsid w:val="00D3169F"/>
    <w:rsid w:val="00D31BA1"/>
    <w:rsid w:val="00D33CCE"/>
    <w:rsid w:val="00D33CD3"/>
    <w:rsid w:val="00D36122"/>
    <w:rsid w:val="00D36441"/>
    <w:rsid w:val="00D36641"/>
    <w:rsid w:val="00D36E45"/>
    <w:rsid w:val="00D402CC"/>
    <w:rsid w:val="00D40846"/>
    <w:rsid w:val="00D409A2"/>
    <w:rsid w:val="00D412E5"/>
    <w:rsid w:val="00D41471"/>
    <w:rsid w:val="00D414DD"/>
    <w:rsid w:val="00D415D8"/>
    <w:rsid w:val="00D42038"/>
    <w:rsid w:val="00D43CAF"/>
    <w:rsid w:val="00D43D8C"/>
    <w:rsid w:val="00D43EB2"/>
    <w:rsid w:val="00D441F4"/>
    <w:rsid w:val="00D45A14"/>
    <w:rsid w:val="00D46588"/>
    <w:rsid w:val="00D46644"/>
    <w:rsid w:val="00D468B3"/>
    <w:rsid w:val="00D50500"/>
    <w:rsid w:val="00D519CD"/>
    <w:rsid w:val="00D5239B"/>
    <w:rsid w:val="00D52578"/>
    <w:rsid w:val="00D5262D"/>
    <w:rsid w:val="00D5315E"/>
    <w:rsid w:val="00D535C7"/>
    <w:rsid w:val="00D53E0C"/>
    <w:rsid w:val="00D541C5"/>
    <w:rsid w:val="00D54643"/>
    <w:rsid w:val="00D5536E"/>
    <w:rsid w:val="00D55A4C"/>
    <w:rsid w:val="00D56B55"/>
    <w:rsid w:val="00D57CB6"/>
    <w:rsid w:val="00D57F96"/>
    <w:rsid w:val="00D60084"/>
    <w:rsid w:val="00D61650"/>
    <w:rsid w:val="00D61AD4"/>
    <w:rsid w:val="00D61FC7"/>
    <w:rsid w:val="00D621BA"/>
    <w:rsid w:val="00D623A4"/>
    <w:rsid w:val="00D62880"/>
    <w:rsid w:val="00D6304D"/>
    <w:rsid w:val="00D64619"/>
    <w:rsid w:val="00D66A03"/>
    <w:rsid w:val="00D66F7F"/>
    <w:rsid w:val="00D700D4"/>
    <w:rsid w:val="00D70B79"/>
    <w:rsid w:val="00D70C1B"/>
    <w:rsid w:val="00D70D7F"/>
    <w:rsid w:val="00D70D87"/>
    <w:rsid w:val="00D739C6"/>
    <w:rsid w:val="00D73AF5"/>
    <w:rsid w:val="00D73D66"/>
    <w:rsid w:val="00D745AC"/>
    <w:rsid w:val="00D74642"/>
    <w:rsid w:val="00D74FBC"/>
    <w:rsid w:val="00D762B9"/>
    <w:rsid w:val="00D7781B"/>
    <w:rsid w:val="00D779AE"/>
    <w:rsid w:val="00D77CF9"/>
    <w:rsid w:val="00D80C42"/>
    <w:rsid w:val="00D81417"/>
    <w:rsid w:val="00D815B2"/>
    <w:rsid w:val="00D8203A"/>
    <w:rsid w:val="00D823E7"/>
    <w:rsid w:val="00D826E5"/>
    <w:rsid w:val="00D83993"/>
    <w:rsid w:val="00D84E22"/>
    <w:rsid w:val="00D84EA4"/>
    <w:rsid w:val="00D85087"/>
    <w:rsid w:val="00D87856"/>
    <w:rsid w:val="00D900AF"/>
    <w:rsid w:val="00D9046B"/>
    <w:rsid w:val="00D90578"/>
    <w:rsid w:val="00D90BFA"/>
    <w:rsid w:val="00D910C7"/>
    <w:rsid w:val="00D92042"/>
    <w:rsid w:val="00D924AA"/>
    <w:rsid w:val="00D92C46"/>
    <w:rsid w:val="00D953DF"/>
    <w:rsid w:val="00D95B0F"/>
    <w:rsid w:val="00D96A55"/>
    <w:rsid w:val="00D97B4E"/>
    <w:rsid w:val="00DA0C08"/>
    <w:rsid w:val="00DA0CC6"/>
    <w:rsid w:val="00DA0FCB"/>
    <w:rsid w:val="00DA30BA"/>
    <w:rsid w:val="00DA44D6"/>
    <w:rsid w:val="00DA4654"/>
    <w:rsid w:val="00DA78DC"/>
    <w:rsid w:val="00DB0565"/>
    <w:rsid w:val="00DB0C65"/>
    <w:rsid w:val="00DB11C5"/>
    <w:rsid w:val="00DB13BD"/>
    <w:rsid w:val="00DB13E4"/>
    <w:rsid w:val="00DB1A14"/>
    <w:rsid w:val="00DB27E5"/>
    <w:rsid w:val="00DB27F5"/>
    <w:rsid w:val="00DB2C5D"/>
    <w:rsid w:val="00DB3555"/>
    <w:rsid w:val="00DB4176"/>
    <w:rsid w:val="00DB6308"/>
    <w:rsid w:val="00DB6F06"/>
    <w:rsid w:val="00DC0670"/>
    <w:rsid w:val="00DC1EFC"/>
    <w:rsid w:val="00DC2702"/>
    <w:rsid w:val="00DC34F7"/>
    <w:rsid w:val="00DC57F0"/>
    <w:rsid w:val="00DC5A34"/>
    <w:rsid w:val="00DC62FF"/>
    <w:rsid w:val="00DC7031"/>
    <w:rsid w:val="00DC7221"/>
    <w:rsid w:val="00DD0209"/>
    <w:rsid w:val="00DD1190"/>
    <w:rsid w:val="00DD173B"/>
    <w:rsid w:val="00DD1870"/>
    <w:rsid w:val="00DD1ADD"/>
    <w:rsid w:val="00DD1FFD"/>
    <w:rsid w:val="00DD35D5"/>
    <w:rsid w:val="00DD3DAF"/>
    <w:rsid w:val="00DD3F41"/>
    <w:rsid w:val="00DD4C28"/>
    <w:rsid w:val="00DD6468"/>
    <w:rsid w:val="00DD686F"/>
    <w:rsid w:val="00DE2705"/>
    <w:rsid w:val="00DE2D25"/>
    <w:rsid w:val="00DE3834"/>
    <w:rsid w:val="00DE3C11"/>
    <w:rsid w:val="00DE46F5"/>
    <w:rsid w:val="00DE49CA"/>
    <w:rsid w:val="00DE5EC9"/>
    <w:rsid w:val="00DE645A"/>
    <w:rsid w:val="00DE6D6F"/>
    <w:rsid w:val="00DE6FE5"/>
    <w:rsid w:val="00DE707D"/>
    <w:rsid w:val="00DF244E"/>
    <w:rsid w:val="00DF3753"/>
    <w:rsid w:val="00DF42FF"/>
    <w:rsid w:val="00DF4691"/>
    <w:rsid w:val="00DF55F3"/>
    <w:rsid w:val="00DF59B5"/>
    <w:rsid w:val="00DF654E"/>
    <w:rsid w:val="00DF68FA"/>
    <w:rsid w:val="00DF7101"/>
    <w:rsid w:val="00E01DE0"/>
    <w:rsid w:val="00E0222B"/>
    <w:rsid w:val="00E023A3"/>
    <w:rsid w:val="00E02C8E"/>
    <w:rsid w:val="00E02EC0"/>
    <w:rsid w:val="00E03BBB"/>
    <w:rsid w:val="00E057BD"/>
    <w:rsid w:val="00E057D4"/>
    <w:rsid w:val="00E06A29"/>
    <w:rsid w:val="00E07619"/>
    <w:rsid w:val="00E1078F"/>
    <w:rsid w:val="00E1099B"/>
    <w:rsid w:val="00E11557"/>
    <w:rsid w:val="00E11CDE"/>
    <w:rsid w:val="00E11DF1"/>
    <w:rsid w:val="00E127AE"/>
    <w:rsid w:val="00E12D8D"/>
    <w:rsid w:val="00E130D2"/>
    <w:rsid w:val="00E13720"/>
    <w:rsid w:val="00E13A47"/>
    <w:rsid w:val="00E13FC0"/>
    <w:rsid w:val="00E14165"/>
    <w:rsid w:val="00E148C5"/>
    <w:rsid w:val="00E1581D"/>
    <w:rsid w:val="00E15946"/>
    <w:rsid w:val="00E15A57"/>
    <w:rsid w:val="00E15C28"/>
    <w:rsid w:val="00E15EFF"/>
    <w:rsid w:val="00E16084"/>
    <w:rsid w:val="00E16852"/>
    <w:rsid w:val="00E17521"/>
    <w:rsid w:val="00E2108F"/>
    <w:rsid w:val="00E2237E"/>
    <w:rsid w:val="00E22B37"/>
    <w:rsid w:val="00E23216"/>
    <w:rsid w:val="00E240B5"/>
    <w:rsid w:val="00E249B9"/>
    <w:rsid w:val="00E263A1"/>
    <w:rsid w:val="00E26764"/>
    <w:rsid w:val="00E3018F"/>
    <w:rsid w:val="00E31091"/>
    <w:rsid w:val="00E31D5F"/>
    <w:rsid w:val="00E31ED2"/>
    <w:rsid w:val="00E3262F"/>
    <w:rsid w:val="00E326CD"/>
    <w:rsid w:val="00E34C96"/>
    <w:rsid w:val="00E34FF2"/>
    <w:rsid w:val="00E36090"/>
    <w:rsid w:val="00E370DD"/>
    <w:rsid w:val="00E372AD"/>
    <w:rsid w:val="00E3766B"/>
    <w:rsid w:val="00E37C54"/>
    <w:rsid w:val="00E37CCF"/>
    <w:rsid w:val="00E4065D"/>
    <w:rsid w:val="00E41029"/>
    <w:rsid w:val="00E411F8"/>
    <w:rsid w:val="00E416D5"/>
    <w:rsid w:val="00E41827"/>
    <w:rsid w:val="00E41908"/>
    <w:rsid w:val="00E42C34"/>
    <w:rsid w:val="00E4549A"/>
    <w:rsid w:val="00E468DB"/>
    <w:rsid w:val="00E4794C"/>
    <w:rsid w:val="00E47A39"/>
    <w:rsid w:val="00E47F72"/>
    <w:rsid w:val="00E500A4"/>
    <w:rsid w:val="00E50ACD"/>
    <w:rsid w:val="00E532AE"/>
    <w:rsid w:val="00E537F6"/>
    <w:rsid w:val="00E53834"/>
    <w:rsid w:val="00E54333"/>
    <w:rsid w:val="00E5500C"/>
    <w:rsid w:val="00E557C9"/>
    <w:rsid w:val="00E55BDE"/>
    <w:rsid w:val="00E55BEB"/>
    <w:rsid w:val="00E56378"/>
    <w:rsid w:val="00E5720A"/>
    <w:rsid w:val="00E57C29"/>
    <w:rsid w:val="00E60D65"/>
    <w:rsid w:val="00E61129"/>
    <w:rsid w:val="00E61231"/>
    <w:rsid w:val="00E614BD"/>
    <w:rsid w:val="00E61B6F"/>
    <w:rsid w:val="00E63035"/>
    <w:rsid w:val="00E63867"/>
    <w:rsid w:val="00E641ED"/>
    <w:rsid w:val="00E646CC"/>
    <w:rsid w:val="00E6597E"/>
    <w:rsid w:val="00E671E0"/>
    <w:rsid w:val="00E6744C"/>
    <w:rsid w:val="00E7056E"/>
    <w:rsid w:val="00E71D30"/>
    <w:rsid w:val="00E71D41"/>
    <w:rsid w:val="00E745A0"/>
    <w:rsid w:val="00E74D2F"/>
    <w:rsid w:val="00E74E2D"/>
    <w:rsid w:val="00E75364"/>
    <w:rsid w:val="00E76136"/>
    <w:rsid w:val="00E76589"/>
    <w:rsid w:val="00E7668F"/>
    <w:rsid w:val="00E76C66"/>
    <w:rsid w:val="00E779DE"/>
    <w:rsid w:val="00E81299"/>
    <w:rsid w:val="00E81E55"/>
    <w:rsid w:val="00E83327"/>
    <w:rsid w:val="00E83ACF"/>
    <w:rsid w:val="00E83B31"/>
    <w:rsid w:val="00E83DC5"/>
    <w:rsid w:val="00E83FF4"/>
    <w:rsid w:val="00E841A2"/>
    <w:rsid w:val="00E8429C"/>
    <w:rsid w:val="00E8469B"/>
    <w:rsid w:val="00E84C5A"/>
    <w:rsid w:val="00E8642F"/>
    <w:rsid w:val="00E86884"/>
    <w:rsid w:val="00E86933"/>
    <w:rsid w:val="00E87557"/>
    <w:rsid w:val="00E8783E"/>
    <w:rsid w:val="00E878D3"/>
    <w:rsid w:val="00E908C4"/>
    <w:rsid w:val="00E914FE"/>
    <w:rsid w:val="00E918F7"/>
    <w:rsid w:val="00E92484"/>
    <w:rsid w:val="00E9279A"/>
    <w:rsid w:val="00E928E3"/>
    <w:rsid w:val="00E92F03"/>
    <w:rsid w:val="00E930BE"/>
    <w:rsid w:val="00E93D0A"/>
    <w:rsid w:val="00E95098"/>
    <w:rsid w:val="00E960BC"/>
    <w:rsid w:val="00E9671E"/>
    <w:rsid w:val="00EA212C"/>
    <w:rsid w:val="00EA2617"/>
    <w:rsid w:val="00EA28FE"/>
    <w:rsid w:val="00EA36B0"/>
    <w:rsid w:val="00EA39AE"/>
    <w:rsid w:val="00EA3A20"/>
    <w:rsid w:val="00EA3B13"/>
    <w:rsid w:val="00EA3BF4"/>
    <w:rsid w:val="00EA3DC4"/>
    <w:rsid w:val="00EA47E0"/>
    <w:rsid w:val="00EA4A54"/>
    <w:rsid w:val="00EA5EDD"/>
    <w:rsid w:val="00EA65BF"/>
    <w:rsid w:val="00EA6D07"/>
    <w:rsid w:val="00EA7A3D"/>
    <w:rsid w:val="00EA7DA7"/>
    <w:rsid w:val="00EB17B7"/>
    <w:rsid w:val="00EB1AEB"/>
    <w:rsid w:val="00EB44CF"/>
    <w:rsid w:val="00EB51E7"/>
    <w:rsid w:val="00EB55AE"/>
    <w:rsid w:val="00EB5E19"/>
    <w:rsid w:val="00EB5F53"/>
    <w:rsid w:val="00EB7628"/>
    <w:rsid w:val="00EC0004"/>
    <w:rsid w:val="00EC14D6"/>
    <w:rsid w:val="00EC1FBD"/>
    <w:rsid w:val="00EC27CD"/>
    <w:rsid w:val="00EC2A15"/>
    <w:rsid w:val="00EC2CFF"/>
    <w:rsid w:val="00EC3600"/>
    <w:rsid w:val="00EC3DD6"/>
    <w:rsid w:val="00EC41CF"/>
    <w:rsid w:val="00EC43E4"/>
    <w:rsid w:val="00EC5910"/>
    <w:rsid w:val="00EC5A21"/>
    <w:rsid w:val="00EC5C48"/>
    <w:rsid w:val="00EC5CF5"/>
    <w:rsid w:val="00ED1332"/>
    <w:rsid w:val="00ED2123"/>
    <w:rsid w:val="00ED245C"/>
    <w:rsid w:val="00ED271F"/>
    <w:rsid w:val="00ED2FE1"/>
    <w:rsid w:val="00ED31BF"/>
    <w:rsid w:val="00ED3562"/>
    <w:rsid w:val="00ED4059"/>
    <w:rsid w:val="00ED4890"/>
    <w:rsid w:val="00ED4BB9"/>
    <w:rsid w:val="00ED58B1"/>
    <w:rsid w:val="00ED62E6"/>
    <w:rsid w:val="00ED6B4E"/>
    <w:rsid w:val="00ED6DE1"/>
    <w:rsid w:val="00ED7456"/>
    <w:rsid w:val="00EE0189"/>
    <w:rsid w:val="00EE097D"/>
    <w:rsid w:val="00EE12ED"/>
    <w:rsid w:val="00EE2054"/>
    <w:rsid w:val="00EE20C7"/>
    <w:rsid w:val="00EE2F70"/>
    <w:rsid w:val="00EE3FB2"/>
    <w:rsid w:val="00EE545D"/>
    <w:rsid w:val="00EE63F4"/>
    <w:rsid w:val="00EE7203"/>
    <w:rsid w:val="00EF0D99"/>
    <w:rsid w:val="00EF3CA4"/>
    <w:rsid w:val="00EF4F3D"/>
    <w:rsid w:val="00EF500A"/>
    <w:rsid w:val="00EF5365"/>
    <w:rsid w:val="00EF5884"/>
    <w:rsid w:val="00EF6DD6"/>
    <w:rsid w:val="00EF753B"/>
    <w:rsid w:val="00EF7FF0"/>
    <w:rsid w:val="00F0121A"/>
    <w:rsid w:val="00F01F22"/>
    <w:rsid w:val="00F02842"/>
    <w:rsid w:val="00F029CB"/>
    <w:rsid w:val="00F02A0D"/>
    <w:rsid w:val="00F02C34"/>
    <w:rsid w:val="00F03562"/>
    <w:rsid w:val="00F03F2F"/>
    <w:rsid w:val="00F04A81"/>
    <w:rsid w:val="00F050C1"/>
    <w:rsid w:val="00F05770"/>
    <w:rsid w:val="00F058E1"/>
    <w:rsid w:val="00F0599E"/>
    <w:rsid w:val="00F07A59"/>
    <w:rsid w:val="00F1022F"/>
    <w:rsid w:val="00F10FF1"/>
    <w:rsid w:val="00F11C78"/>
    <w:rsid w:val="00F120A2"/>
    <w:rsid w:val="00F147CB"/>
    <w:rsid w:val="00F15356"/>
    <w:rsid w:val="00F15574"/>
    <w:rsid w:val="00F15754"/>
    <w:rsid w:val="00F1587F"/>
    <w:rsid w:val="00F15B8C"/>
    <w:rsid w:val="00F17296"/>
    <w:rsid w:val="00F172CC"/>
    <w:rsid w:val="00F17D72"/>
    <w:rsid w:val="00F20489"/>
    <w:rsid w:val="00F21A88"/>
    <w:rsid w:val="00F21C05"/>
    <w:rsid w:val="00F22785"/>
    <w:rsid w:val="00F233DA"/>
    <w:rsid w:val="00F238C9"/>
    <w:rsid w:val="00F24904"/>
    <w:rsid w:val="00F24AB8"/>
    <w:rsid w:val="00F24E0E"/>
    <w:rsid w:val="00F250CC"/>
    <w:rsid w:val="00F250D9"/>
    <w:rsid w:val="00F2599C"/>
    <w:rsid w:val="00F25AF3"/>
    <w:rsid w:val="00F26211"/>
    <w:rsid w:val="00F31B53"/>
    <w:rsid w:val="00F3534F"/>
    <w:rsid w:val="00F36C27"/>
    <w:rsid w:val="00F36F14"/>
    <w:rsid w:val="00F372F8"/>
    <w:rsid w:val="00F37EC5"/>
    <w:rsid w:val="00F40878"/>
    <w:rsid w:val="00F4207D"/>
    <w:rsid w:val="00F4288A"/>
    <w:rsid w:val="00F42BBC"/>
    <w:rsid w:val="00F42ED5"/>
    <w:rsid w:val="00F443F0"/>
    <w:rsid w:val="00F449E5"/>
    <w:rsid w:val="00F44A22"/>
    <w:rsid w:val="00F44A3A"/>
    <w:rsid w:val="00F44C5B"/>
    <w:rsid w:val="00F46896"/>
    <w:rsid w:val="00F51835"/>
    <w:rsid w:val="00F51B3A"/>
    <w:rsid w:val="00F51BC0"/>
    <w:rsid w:val="00F521B4"/>
    <w:rsid w:val="00F524CD"/>
    <w:rsid w:val="00F53BD8"/>
    <w:rsid w:val="00F56621"/>
    <w:rsid w:val="00F5666D"/>
    <w:rsid w:val="00F57103"/>
    <w:rsid w:val="00F57565"/>
    <w:rsid w:val="00F57BFF"/>
    <w:rsid w:val="00F60098"/>
    <w:rsid w:val="00F607B1"/>
    <w:rsid w:val="00F60C49"/>
    <w:rsid w:val="00F611B5"/>
    <w:rsid w:val="00F61C90"/>
    <w:rsid w:val="00F61FFD"/>
    <w:rsid w:val="00F6253F"/>
    <w:rsid w:val="00F6285F"/>
    <w:rsid w:val="00F62D80"/>
    <w:rsid w:val="00F63211"/>
    <w:rsid w:val="00F6332B"/>
    <w:rsid w:val="00F657E2"/>
    <w:rsid w:val="00F66591"/>
    <w:rsid w:val="00F674B3"/>
    <w:rsid w:val="00F67966"/>
    <w:rsid w:val="00F70D5E"/>
    <w:rsid w:val="00F71572"/>
    <w:rsid w:val="00F71CFA"/>
    <w:rsid w:val="00F7202A"/>
    <w:rsid w:val="00F72306"/>
    <w:rsid w:val="00F7254D"/>
    <w:rsid w:val="00F73CB4"/>
    <w:rsid w:val="00F73EDF"/>
    <w:rsid w:val="00F749B7"/>
    <w:rsid w:val="00F74EEE"/>
    <w:rsid w:val="00F751C9"/>
    <w:rsid w:val="00F76448"/>
    <w:rsid w:val="00F7692D"/>
    <w:rsid w:val="00F76AD5"/>
    <w:rsid w:val="00F77768"/>
    <w:rsid w:val="00F77831"/>
    <w:rsid w:val="00F778C8"/>
    <w:rsid w:val="00F8075E"/>
    <w:rsid w:val="00F83505"/>
    <w:rsid w:val="00F839F6"/>
    <w:rsid w:val="00F83D91"/>
    <w:rsid w:val="00F84139"/>
    <w:rsid w:val="00F84AF2"/>
    <w:rsid w:val="00F84F3A"/>
    <w:rsid w:val="00F858AC"/>
    <w:rsid w:val="00F8674D"/>
    <w:rsid w:val="00F87724"/>
    <w:rsid w:val="00F904A6"/>
    <w:rsid w:val="00F9063E"/>
    <w:rsid w:val="00F90BFD"/>
    <w:rsid w:val="00F92504"/>
    <w:rsid w:val="00F93535"/>
    <w:rsid w:val="00F93C35"/>
    <w:rsid w:val="00F942AC"/>
    <w:rsid w:val="00F95C38"/>
    <w:rsid w:val="00F95F9E"/>
    <w:rsid w:val="00F97459"/>
    <w:rsid w:val="00FA1021"/>
    <w:rsid w:val="00FA12CC"/>
    <w:rsid w:val="00FA161B"/>
    <w:rsid w:val="00FA1EC3"/>
    <w:rsid w:val="00FA28C8"/>
    <w:rsid w:val="00FA2B1E"/>
    <w:rsid w:val="00FA34AF"/>
    <w:rsid w:val="00FA3E07"/>
    <w:rsid w:val="00FA6C81"/>
    <w:rsid w:val="00FA780C"/>
    <w:rsid w:val="00FB376B"/>
    <w:rsid w:val="00FB3A06"/>
    <w:rsid w:val="00FB4769"/>
    <w:rsid w:val="00FB4929"/>
    <w:rsid w:val="00FB498A"/>
    <w:rsid w:val="00FB5F5D"/>
    <w:rsid w:val="00FB6A27"/>
    <w:rsid w:val="00FB72BA"/>
    <w:rsid w:val="00FB72F0"/>
    <w:rsid w:val="00FB7AFB"/>
    <w:rsid w:val="00FC0287"/>
    <w:rsid w:val="00FC316E"/>
    <w:rsid w:val="00FC3529"/>
    <w:rsid w:val="00FC3F90"/>
    <w:rsid w:val="00FC43BE"/>
    <w:rsid w:val="00FC5800"/>
    <w:rsid w:val="00FC5FA4"/>
    <w:rsid w:val="00FC6940"/>
    <w:rsid w:val="00FC7314"/>
    <w:rsid w:val="00FD0622"/>
    <w:rsid w:val="00FD0DC0"/>
    <w:rsid w:val="00FD21E2"/>
    <w:rsid w:val="00FD2713"/>
    <w:rsid w:val="00FD2999"/>
    <w:rsid w:val="00FD32C2"/>
    <w:rsid w:val="00FD3DCA"/>
    <w:rsid w:val="00FD41C7"/>
    <w:rsid w:val="00FD437A"/>
    <w:rsid w:val="00FD76FB"/>
    <w:rsid w:val="00FE0057"/>
    <w:rsid w:val="00FE03DA"/>
    <w:rsid w:val="00FE10D4"/>
    <w:rsid w:val="00FE1B82"/>
    <w:rsid w:val="00FE1CF6"/>
    <w:rsid w:val="00FE1FC5"/>
    <w:rsid w:val="00FE3D16"/>
    <w:rsid w:val="00FE497D"/>
    <w:rsid w:val="00FE67B4"/>
    <w:rsid w:val="00FE7F2E"/>
    <w:rsid w:val="00FF0021"/>
    <w:rsid w:val="00FF0955"/>
    <w:rsid w:val="00FF31AF"/>
    <w:rsid w:val="00FF32B7"/>
    <w:rsid w:val="00FF38C6"/>
    <w:rsid w:val="00FF4470"/>
    <w:rsid w:val="00FF46CC"/>
    <w:rsid w:val="00FF4715"/>
    <w:rsid w:val="00FF4DB2"/>
    <w:rsid w:val="00FF50A5"/>
    <w:rsid w:val="00FF5192"/>
    <w:rsid w:val="00FF5B5B"/>
    <w:rsid w:val="00FF63E6"/>
    <w:rsid w:val="00FF68E2"/>
    <w:rsid w:val="00FF7249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C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F6E"/>
    <w:pPr>
      <w:keepNext/>
      <w:jc w:val="both"/>
      <w:outlineLvl w:val="0"/>
    </w:pPr>
    <w:rPr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F6E"/>
    <w:pPr>
      <w:keepNext/>
      <w:spacing w:after="120"/>
      <w:ind w:firstLine="709"/>
      <w:jc w:val="center"/>
      <w:outlineLvl w:val="1"/>
    </w:pPr>
    <w:rPr>
      <w:rFonts w:ascii="Verdana" w:hAnsi="Verdana" w:cs="Verdana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F6E"/>
    <w:pPr>
      <w:keepNext/>
      <w:ind w:firstLine="425"/>
      <w:outlineLvl w:val="2"/>
    </w:pPr>
    <w:rPr>
      <w:rFonts w:ascii="Verdana" w:hAnsi="Verdana" w:cs="Verdana"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F6E"/>
    <w:pPr>
      <w:keepNext/>
      <w:ind w:firstLine="426"/>
      <w:outlineLvl w:val="3"/>
    </w:pPr>
    <w:rPr>
      <w:rFonts w:ascii="Verdana" w:hAnsi="Verdana" w:cs="Verdana"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F6E"/>
    <w:pPr>
      <w:keepNext/>
      <w:spacing w:after="120"/>
      <w:jc w:val="both"/>
      <w:outlineLvl w:val="4"/>
    </w:pPr>
    <w:rPr>
      <w:rFonts w:ascii="Verdana" w:hAnsi="Verdana" w:cs="Verdana"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7F6E"/>
    <w:pPr>
      <w:keepNext/>
      <w:ind w:firstLine="425"/>
      <w:jc w:val="right"/>
      <w:outlineLvl w:val="5"/>
    </w:pPr>
    <w:rPr>
      <w:rFonts w:ascii="Verdana" w:hAnsi="Verdana" w:cs="Verdan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F6E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F6E"/>
    <w:pPr>
      <w:keepNext/>
      <w:ind w:firstLine="426"/>
      <w:jc w:val="right"/>
      <w:outlineLvl w:val="8"/>
    </w:pPr>
    <w:rPr>
      <w:rFonts w:ascii="Verdana" w:hAnsi="Verdana" w:cs="Verdana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03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603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603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603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603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6030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6030"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C6030"/>
    <w:rPr>
      <w:rFonts w:ascii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rsid w:val="00541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030"/>
    <w:rPr>
      <w:sz w:val="2"/>
      <w:szCs w:val="2"/>
    </w:rPr>
  </w:style>
  <w:style w:type="paragraph" w:customStyle="1" w:styleId="artx">
    <w:name w:val="artx"/>
    <w:basedOn w:val="Normal"/>
    <w:uiPriority w:val="99"/>
    <w:rsid w:val="00653FFB"/>
    <w:rPr>
      <w:rFonts w:ascii="Arial" w:hAnsi="Arial" w:cs="Arial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D84EA4"/>
    <w:pPr>
      <w:spacing w:before="100" w:after="100"/>
      <w:jc w:val="both"/>
    </w:pPr>
    <w:rPr>
      <w:rFonts w:ascii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603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41D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53E9"/>
    <w:rPr>
      <w:lang w:val="ru-RU" w:eastAsia="ru-RU"/>
    </w:rPr>
  </w:style>
  <w:style w:type="character" w:styleId="PageNumber">
    <w:name w:val="page number"/>
    <w:basedOn w:val="DefaultParagraphFont"/>
    <w:uiPriority w:val="99"/>
    <w:rsid w:val="00541DC9"/>
  </w:style>
  <w:style w:type="paragraph" w:styleId="Header">
    <w:name w:val="header"/>
    <w:basedOn w:val="Normal"/>
    <w:link w:val="HeaderChar"/>
    <w:uiPriority w:val="99"/>
    <w:rsid w:val="00541D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603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E7F6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60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E7F6E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8E7F6E"/>
    <w:pPr>
      <w:spacing w:after="120"/>
      <w:jc w:val="center"/>
    </w:pPr>
    <w:rPr>
      <w:rFonts w:ascii="Verdana" w:hAnsi="Verdana" w:cs="Verdana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C6030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E7F6E"/>
    <w:rPr>
      <w:rFonts w:ascii="Tahoma" w:hAnsi="Tahoma" w:cs="Tahoma"/>
      <w:b/>
      <w:bCs/>
      <w:color w:val="auto"/>
      <w:sz w:val="20"/>
      <w:szCs w:val="20"/>
      <w:u w:val="single"/>
    </w:rPr>
  </w:style>
  <w:style w:type="character" w:styleId="Emphasis">
    <w:name w:val="Emphasis"/>
    <w:basedOn w:val="DefaultParagraphFont"/>
    <w:uiPriority w:val="99"/>
    <w:qFormat/>
    <w:rsid w:val="008E7F6E"/>
    <w:rPr>
      <w:i/>
      <w:iCs/>
    </w:rPr>
  </w:style>
  <w:style w:type="paragraph" w:styleId="BodyText3">
    <w:name w:val="Body Text 3"/>
    <w:basedOn w:val="Normal"/>
    <w:link w:val="BodyText3Char"/>
    <w:uiPriority w:val="99"/>
    <w:rsid w:val="008E7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C6030"/>
    <w:rPr>
      <w:sz w:val="16"/>
      <w:szCs w:val="16"/>
    </w:rPr>
  </w:style>
  <w:style w:type="character" w:styleId="LineNumber">
    <w:name w:val="line number"/>
    <w:basedOn w:val="DefaultParagraphFont"/>
    <w:uiPriority w:val="99"/>
    <w:rsid w:val="00B831E3"/>
  </w:style>
  <w:style w:type="paragraph" w:customStyle="1" w:styleId="1">
    <w:name w:val="Знак Знак Знак Знак Знак Знак1 Знак Знак Знак Знак Знак Знак Знак Знак Знак Знак"/>
    <w:basedOn w:val="Normal"/>
    <w:uiPriority w:val="99"/>
    <w:rsid w:val="00EA3B1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5620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6030"/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FE03DA"/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FE03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48472D"/>
    <w:rPr>
      <w:rFonts w:ascii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415C5F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6030"/>
    <w:rPr>
      <w:sz w:val="20"/>
      <w:szCs w:val="20"/>
    </w:rPr>
  </w:style>
  <w:style w:type="paragraph" w:customStyle="1" w:styleId="p2">
    <w:name w:val="p2"/>
    <w:basedOn w:val="Normal"/>
    <w:uiPriority w:val="99"/>
    <w:rsid w:val="00415C5F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uiPriority w:val="99"/>
    <w:rsid w:val="008518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C60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85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97612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851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6030"/>
    <w:rPr>
      <w:sz w:val="20"/>
      <w:szCs w:val="20"/>
    </w:rPr>
  </w:style>
  <w:style w:type="paragraph" w:customStyle="1" w:styleId="Pa16">
    <w:name w:val="Pa16"/>
    <w:basedOn w:val="Normal"/>
    <w:next w:val="Normal"/>
    <w:uiPriority w:val="99"/>
    <w:rsid w:val="008518C1"/>
    <w:pPr>
      <w:autoSpaceDE w:val="0"/>
      <w:autoSpaceDN w:val="0"/>
      <w:adjustRightInd w:val="0"/>
      <w:spacing w:line="221" w:lineRule="atLeast"/>
    </w:pPr>
    <w:rPr>
      <w:rFonts w:ascii="FreeSetC" w:hAnsi="FreeSetC" w:cs="FreeSetC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A4E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C6030"/>
    <w:rPr>
      <w:sz w:val="16"/>
      <w:szCs w:val="16"/>
    </w:rPr>
  </w:style>
  <w:style w:type="paragraph" w:styleId="NormalWeb">
    <w:name w:val="Normal (Web)"/>
    <w:basedOn w:val="Normal"/>
    <w:uiPriority w:val="99"/>
    <w:rsid w:val="0058279C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link w:val="Normal0"/>
    <w:uiPriority w:val="99"/>
    <w:rsid w:val="00B61D93"/>
    <w:pPr>
      <w:spacing w:before="100" w:after="10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F5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52A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6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5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6030"/>
    <w:rPr>
      <w:b/>
      <w:bCs/>
    </w:rPr>
  </w:style>
  <w:style w:type="paragraph" w:customStyle="1" w:styleId="caaieiaie1">
    <w:name w:val="caaieiaie 1"/>
    <w:basedOn w:val="Normal"/>
    <w:next w:val="Normal"/>
    <w:uiPriority w:val="99"/>
    <w:rsid w:val="00570C81"/>
    <w:pPr>
      <w:keepNext/>
    </w:pPr>
    <w:rPr>
      <w:sz w:val="24"/>
      <w:szCs w:val="24"/>
      <w:lang w:val="en-US"/>
    </w:rPr>
  </w:style>
  <w:style w:type="paragraph" w:customStyle="1" w:styleId="2">
    <w:name w:val="2"/>
    <w:basedOn w:val="Normal"/>
    <w:uiPriority w:val="99"/>
    <w:rsid w:val="005F227A"/>
    <w:rPr>
      <w:rFonts w:ascii="Verdana" w:hAnsi="Verdana" w:cs="Verdana"/>
      <w:lang w:val="en-US" w:eastAsia="en-US"/>
    </w:rPr>
  </w:style>
  <w:style w:type="character" w:customStyle="1" w:styleId="Normal0">
    <w:name w:val="Normal Знак"/>
    <w:basedOn w:val="DefaultParagraphFont"/>
    <w:link w:val="Normal1"/>
    <w:uiPriority w:val="99"/>
    <w:locked/>
    <w:rsid w:val="004C444A"/>
    <w:rPr>
      <w:sz w:val="24"/>
      <w:szCs w:val="24"/>
      <w:lang w:val="ru-RU" w:eastAsia="ru-RU"/>
    </w:rPr>
  </w:style>
  <w:style w:type="paragraph" w:customStyle="1" w:styleId="normal2">
    <w:name w:val="normal"/>
    <w:basedOn w:val="Normal"/>
    <w:uiPriority w:val="99"/>
    <w:rsid w:val="004C444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284603"/>
    <w:pPr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par">
    <w:name w:val="par"/>
    <w:basedOn w:val="Normal"/>
    <w:uiPriority w:val="99"/>
    <w:rsid w:val="0047598D"/>
    <w:pPr>
      <w:spacing w:before="100" w:beforeAutospacing="1" w:after="100" w:afterAutospacing="1"/>
    </w:pPr>
    <w:rPr>
      <w:sz w:val="24"/>
      <w:szCs w:val="24"/>
    </w:rPr>
  </w:style>
  <w:style w:type="character" w:customStyle="1" w:styleId="Strong1">
    <w:name w:val="Strong1"/>
    <w:uiPriority w:val="99"/>
    <w:rsid w:val="002B77F2"/>
    <w:rPr>
      <w:b/>
      <w:bCs/>
    </w:rPr>
  </w:style>
  <w:style w:type="paragraph" w:customStyle="1" w:styleId="a">
    <w:name w:val="a"/>
    <w:basedOn w:val="Normal"/>
    <w:uiPriority w:val="99"/>
    <w:rsid w:val="000020E5"/>
    <w:pPr>
      <w:spacing w:before="60"/>
      <w:jc w:val="both"/>
    </w:pPr>
    <w:rPr>
      <w:rFonts w:ascii="Arial" w:hAnsi="Arial" w:cs="Arial"/>
    </w:rPr>
  </w:style>
  <w:style w:type="paragraph" w:customStyle="1" w:styleId="a0">
    <w:name w:val="Знак"/>
    <w:basedOn w:val="Normal"/>
    <w:uiPriority w:val="99"/>
    <w:rsid w:val="005F20F4"/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1 Знак Знак Знак Знак"/>
    <w:basedOn w:val="Normal"/>
    <w:uiPriority w:val="99"/>
    <w:rsid w:val="009917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Closing">
    <w:name w:val="Closing"/>
    <w:basedOn w:val="Normal"/>
    <w:link w:val="ClosingChar"/>
    <w:uiPriority w:val="99"/>
    <w:rsid w:val="00F1587F"/>
    <w:pPr>
      <w:spacing w:line="220" w:lineRule="atLeast"/>
      <w:ind w:left="840" w:right="-36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4C6030"/>
    <w:rPr>
      <w:sz w:val="20"/>
      <w:szCs w:val="20"/>
    </w:rPr>
  </w:style>
  <w:style w:type="paragraph" w:customStyle="1" w:styleId="Iauiue">
    <w:name w:val="Iau?iue"/>
    <w:uiPriority w:val="99"/>
    <w:rsid w:val="006A5175"/>
    <w:rPr>
      <w:sz w:val="20"/>
      <w:szCs w:val="20"/>
    </w:rPr>
  </w:style>
  <w:style w:type="paragraph" w:customStyle="1" w:styleId="11">
    <w:name w:val="Знак1"/>
    <w:basedOn w:val="Normal"/>
    <w:uiPriority w:val="99"/>
    <w:rsid w:val="00226D6F"/>
    <w:rPr>
      <w:rFonts w:ascii="Verdana" w:hAnsi="Verdana" w:cs="Verdana"/>
      <w:lang w:val="en-US" w:eastAsia="en-US"/>
    </w:rPr>
  </w:style>
  <w:style w:type="character" w:styleId="Strong">
    <w:name w:val="Strong"/>
    <w:basedOn w:val="DefaultParagraphFont"/>
    <w:uiPriority w:val="99"/>
    <w:qFormat/>
    <w:rsid w:val="00226D6F"/>
    <w:rPr>
      <w:b/>
      <w:bCs/>
    </w:rPr>
  </w:style>
  <w:style w:type="character" w:customStyle="1" w:styleId="text-small">
    <w:name w:val="text-small"/>
    <w:basedOn w:val="DefaultParagraphFont"/>
    <w:uiPriority w:val="99"/>
    <w:rsid w:val="00226D6F"/>
  </w:style>
  <w:style w:type="character" w:customStyle="1" w:styleId="margintext-small">
    <w:name w:val="margin text-small"/>
    <w:basedOn w:val="DefaultParagraphFont"/>
    <w:uiPriority w:val="99"/>
    <w:rsid w:val="00226D6F"/>
  </w:style>
  <w:style w:type="paragraph" w:customStyle="1" w:styleId="ConsNormal">
    <w:name w:val="ConsNormal"/>
    <w:uiPriority w:val="99"/>
    <w:rsid w:val="00226D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226D6F"/>
    <w:rPr>
      <w:rFonts w:ascii="Times New Roman" w:hAnsi="Times New Roman" w:cs="Times New Roman"/>
      <w:sz w:val="24"/>
      <w:szCs w:val="24"/>
    </w:rPr>
  </w:style>
  <w:style w:type="character" w:customStyle="1" w:styleId="b-news-groupsnews-description">
    <w:name w:val="b-news-groups__news-description"/>
    <w:basedOn w:val="DefaultParagraphFont"/>
    <w:uiPriority w:val="99"/>
    <w:rsid w:val="00376494"/>
  </w:style>
  <w:style w:type="character" w:customStyle="1" w:styleId="12">
    <w:name w:val="Знак Знак1"/>
    <w:basedOn w:val="DefaultParagraphFont"/>
    <w:uiPriority w:val="99"/>
    <w:rsid w:val="00A64DB1"/>
    <w:rPr>
      <w:lang w:val="ru-RU" w:eastAsia="ru-RU"/>
    </w:rPr>
  </w:style>
  <w:style w:type="paragraph" w:customStyle="1" w:styleId="20">
    <w:name w:val="Знак2 Знак Знак Знак"/>
    <w:basedOn w:val="Normal"/>
    <w:uiPriority w:val="99"/>
    <w:rsid w:val="002D77DE"/>
    <w:rPr>
      <w:rFonts w:ascii="Verdana" w:hAnsi="Verdana" w:cs="Verdana"/>
      <w:lang w:val="en-US" w:eastAsia="en-US"/>
    </w:rPr>
  </w:style>
  <w:style w:type="character" w:customStyle="1" w:styleId="blk">
    <w:name w:val="blk"/>
    <w:basedOn w:val="DefaultParagraphFont"/>
    <w:uiPriority w:val="99"/>
    <w:rsid w:val="00CA6373"/>
  </w:style>
  <w:style w:type="paragraph" w:styleId="NoSpacing">
    <w:name w:val="No Spacing"/>
    <w:uiPriority w:val="99"/>
    <w:qFormat/>
    <w:rsid w:val="00795BC1"/>
    <w:rPr>
      <w:rFonts w:ascii="Calibri" w:hAnsi="Calibri" w:cs="Calibri"/>
    </w:rPr>
  </w:style>
  <w:style w:type="paragraph" w:customStyle="1" w:styleId="21">
    <w:name w:val="Знак2 Знак Знак Знак1"/>
    <w:basedOn w:val="Normal"/>
    <w:uiPriority w:val="99"/>
    <w:rsid w:val="00C94023"/>
    <w:rPr>
      <w:rFonts w:ascii="Verdana" w:hAnsi="Verdana" w:cs="Verdana"/>
      <w:lang w:val="en-US" w:eastAsia="en-US"/>
    </w:rPr>
  </w:style>
  <w:style w:type="paragraph" w:customStyle="1" w:styleId="MainText">
    <w:name w:val="MainText"/>
    <w:uiPriority w:val="99"/>
    <w:rsid w:val="00C15B85"/>
    <w:pPr>
      <w:overflowPunct w:val="0"/>
      <w:autoSpaceDE w:val="0"/>
      <w:autoSpaceDN w:val="0"/>
      <w:adjustRightInd w:val="0"/>
      <w:ind w:firstLine="567"/>
      <w:jc w:val="both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customStyle="1" w:styleId="Default">
    <w:name w:val="Default"/>
    <w:uiPriority w:val="99"/>
    <w:rsid w:val="003E01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1"/>
    <w:basedOn w:val="Normal"/>
    <w:uiPriority w:val="99"/>
    <w:rsid w:val="00E92484"/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Normal"/>
    <w:uiPriority w:val="99"/>
    <w:rsid w:val="0053165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Знак Знак Знак Знак Знак Знак1 Знак Знак Знак Знак Знак Знак Знак Знак Знак Знак1"/>
    <w:basedOn w:val="Normal"/>
    <w:uiPriority w:val="99"/>
    <w:rsid w:val="00D4147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../2011/N%20441-&#1059;%20&#1086;&#1090;%2003.03.2011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3;&#1040;%20&#1055;&#1056;&#1041;/&#1059;&#1082;&#1072;&#1079;&#1072;&#1085;&#1080;&#1103;/2014/N%20764-&#1059;%20&#1086;&#1090;%2017.02.2014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&#1053;&#1040;%20&#1055;&#1056;&#1041;/&#1059;&#1082;&#1072;&#1079;&#1072;&#1085;&#1080;&#1103;/2014/N%20764-&#1059;%20&#1086;&#1090;%2017.02.20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pmr.ru/ul/show/8G6z5cLIGY0EV4U3pSoJ9w2gZc/g2+gRe9Ek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54</Pages>
  <Words>25940</Words>
  <Characters>-32766</Characters>
  <Application>Microsoft Office Outlook</Application>
  <DocSecurity>0</DocSecurity>
  <Lines>0</Lines>
  <Paragraphs>0</Paragraphs>
  <ScaleCrop>false</ScaleCrop>
  <Company>PRB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Мельник М.В.</dc:creator>
  <cp:keywords/>
  <dc:description/>
  <cp:lastModifiedBy>u150</cp:lastModifiedBy>
  <cp:revision>11</cp:revision>
  <cp:lastPrinted>2016-04-14T08:58:00Z</cp:lastPrinted>
  <dcterms:created xsi:type="dcterms:W3CDTF">2016-04-14T07:16:00Z</dcterms:created>
  <dcterms:modified xsi:type="dcterms:W3CDTF">2016-04-14T10:52:00Z</dcterms:modified>
</cp:coreProperties>
</file>