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E1" w:rsidRPr="00CE7DE1" w:rsidRDefault="00CE7DE1" w:rsidP="00CE7DE1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ВЕРХОВНЫЙ СОВЕТ</w:t>
      </w:r>
    </w:p>
    <w:p w:rsidR="00CE7DE1" w:rsidRPr="00CE7DE1" w:rsidRDefault="00CE7DE1" w:rsidP="00CE7DE1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CE7DE1" w:rsidRPr="00CE7DE1" w:rsidRDefault="00CE7DE1" w:rsidP="00CE7D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proofErr w:type="gramStart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общественным</w:t>
      </w:r>
      <w:proofErr w:type="gramEnd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объединениям, спорту, информационной и молодежной политике</w:t>
      </w:r>
    </w:p>
    <w:p w:rsidR="00CE7DE1" w:rsidRPr="00CE7DE1" w:rsidRDefault="00CE7DE1" w:rsidP="00CE7DE1">
      <w:pPr>
        <w:tabs>
          <w:tab w:val="right" w:pos="91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26 ноября 2020 года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5-е заседание</w:t>
      </w:r>
    </w:p>
    <w:p w:rsidR="00CE7DE1" w:rsidRPr="00CE7DE1" w:rsidRDefault="00CE7DE1" w:rsidP="00CE7D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  (</w:t>
      </w:r>
      <w:proofErr w:type="gramEnd"/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заседания в режиме скайп-конференции)</w:t>
      </w:r>
    </w:p>
    <w:p w:rsidR="00CE7DE1" w:rsidRPr="00CE7DE1" w:rsidRDefault="00CE7DE1" w:rsidP="00CE7D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связи с </w:t>
      </w:r>
      <w:proofErr w:type="gramStart"/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проведением </w:t>
      </w:r>
      <w:r w:rsidR="004204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заседания</w:t>
      </w:r>
      <w:proofErr w:type="gramEnd"/>
      <w:r w:rsidR="004204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Комитета в режиме скайп-конференции</w:t>
      </w:r>
      <w:r w:rsidR="004204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убедительно просим Вас уведомить Ко</w:t>
      </w:r>
      <w:r w:rsidR="004204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митет о своем участии (не участии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) в данном заседании, а также представить </w:t>
      </w:r>
      <w:r w:rsidR="004204DB"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логины в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срок до 25 ноября 2020 года</w:t>
      </w:r>
      <w:r w:rsidR="004204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путем направления соответствующего уведомления  на электронную почту public-association@vspmr.org.</w:t>
      </w:r>
    </w:p>
    <w:p w:rsidR="00CE7DE1" w:rsidRPr="00CE7DE1" w:rsidRDefault="00CE7DE1" w:rsidP="00CE7DE1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 ЗАСЕДАНИЯ КОМИТЕТА:</w:t>
      </w:r>
    </w:p>
    <w:p w:rsidR="00CE7DE1" w:rsidRPr="00CE7DE1" w:rsidRDefault="00CE7DE1" w:rsidP="00CE7DE1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приглашенных лиц:</w:t>
      </w:r>
    </w:p>
    <w:tbl>
      <w:tblPr>
        <w:tblStyle w:val="a3"/>
        <w:tblW w:w="1009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1983"/>
        <w:gridCol w:w="28"/>
        <w:gridCol w:w="2835"/>
        <w:gridCol w:w="29"/>
      </w:tblGrid>
      <w:tr w:rsidR="00CE7DE1" w:rsidRPr="00CE7DE1" w:rsidTr="007A0EA0">
        <w:trPr>
          <w:gridAfter w:val="1"/>
          <w:wAfter w:w="29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ind w:firstLine="72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DE1"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ind w:firstLine="54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DE1">
              <w:rPr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ind w:firstLine="7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DE1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DE1">
              <w:rPr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CE7DE1" w:rsidRPr="00CE7DE1" w:rsidTr="000C6545">
        <w:trPr>
          <w:gridAfter w:val="1"/>
          <w:wAfter w:w="29" w:type="dxa"/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1" w:rsidRPr="00CE7DE1" w:rsidRDefault="00CE7DE1" w:rsidP="00CE7DE1">
            <w:pPr>
              <w:ind w:right="-5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 xml:space="preserve">С. М. </w:t>
            </w:r>
            <w:proofErr w:type="spellStart"/>
            <w:r w:rsidRPr="00CE7DE1">
              <w:rPr>
                <w:b/>
                <w:sz w:val="28"/>
                <w:szCs w:val="28"/>
                <w:lang w:eastAsia="ru-RU"/>
              </w:rPr>
              <w:t>Касап</w:t>
            </w:r>
            <w:proofErr w:type="spellEnd"/>
          </w:p>
        </w:tc>
      </w:tr>
      <w:tr w:rsidR="00CE7DE1" w:rsidRPr="00CE7DE1" w:rsidTr="007A0EA0">
        <w:trPr>
          <w:gridAfter w:val="1"/>
          <w:wAfter w:w="29" w:type="dxa"/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 xml:space="preserve">Представитель Президента </w:t>
            </w:r>
            <w:proofErr w:type="gramStart"/>
            <w:r w:rsidRPr="00CE7DE1">
              <w:rPr>
                <w:bCs/>
                <w:color w:val="000000"/>
                <w:sz w:val="28"/>
                <w:szCs w:val="28"/>
              </w:rPr>
              <w:t>ПМР  в</w:t>
            </w:r>
            <w:proofErr w:type="gramEnd"/>
            <w:r w:rsidRPr="00CE7DE1">
              <w:rPr>
                <w:bCs/>
                <w:color w:val="000000"/>
                <w:sz w:val="28"/>
                <w:szCs w:val="28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1" w:rsidRPr="00CE7DE1" w:rsidRDefault="00CE7DE1" w:rsidP="00CE7DE1">
            <w:pPr>
              <w:ind w:right="-5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bCs/>
                <w:color w:val="000000"/>
                <w:sz w:val="28"/>
                <w:szCs w:val="28"/>
              </w:rPr>
              <w:t xml:space="preserve">А. Г. </w:t>
            </w:r>
            <w:proofErr w:type="spellStart"/>
            <w:r w:rsidRPr="00CE7DE1">
              <w:rPr>
                <w:b/>
                <w:bCs/>
                <w:color w:val="000000"/>
                <w:sz w:val="28"/>
                <w:szCs w:val="28"/>
              </w:rPr>
              <w:t>Кипяткова</w:t>
            </w:r>
            <w:proofErr w:type="spellEnd"/>
          </w:p>
        </w:tc>
      </w:tr>
      <w:tr w:rsidR="00CE7DE1" w:rsidRPr="00CE7DE1" w:rsidTr="007A0EA0">
        <w:trPr>
          <w:gridAfter w:val="1"/>
          <w:wAfter w:w="29" w:type="dxa"/>
          <w:trHeight w:val="10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Первый заместитель министра юстиции Приднестровской Молдавской Республики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1" w:rsidRPr="00CE7DE1" w:rsidRDefault="00CE7DE1" w:rsidP="00CE7DE1">
            <w:pPr>
              <w:spacing w:line="276" w:lineRule="auto"/>
              <w:ind w:right="-55"/>
              <w:jc w:val="center"/>
              <w:rPr>
                <w:sz w:val="28"/>
                <w:szCs w:val="28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1766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1" w:rsidRPr="00CE7DE1" w:rsidRDefault="00CE7DE1" w:rsidP="00CE7DE1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>В. В. Жук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Начальник Службы государственного надзора Министерства юстиции Приднестровской Молдавской Республики  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1766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>В. И. Устенко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00" w:type="dxa"/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Министр юстиции Приднестровской Молдавской Республики 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п. 1766 </w:t>
            </w:r>
            <w:r w:rsidRPr="00CE7DE1">
              <w:rPr>
                <w:sz w:val="28"/>
                <w:szCs w:val="28"/>
                <w:lang w:eastAsia="ru-RU"/>
              </w:rPr>
              <w:t>(</w:t>
            </w:r>
            <w:r w:rsidRPr="00CE7DE1">
              <w:rPr>
                <w:sz w:val="28"/>
                <w:szCs w:val="28"/>
                <w:lang w:val="en-US" w:eastAsia="ru-RU"/>
              </w:rPr>
              <w:t>VI</w:t>
            </w:r>
            <w:r w:rsidRPr="00CE7DE1">
              <w:rPr>
                <w:sz w:val="28"/>
                <w:szCs w:val="28"/>
                <w:lang w:eastAsia="ru-RU"/>
              </w:rPr>
              <w:t xml:space="preserve">)        </w:t>
            </w:r>
          </w:p>
          <w:p w:rsidR="00CE7DE1" w:rsidRPr="00CE7DE1" w:rsidRDefault="00CE7DE1" w:rsidP="00CE7DE1">
            <w:pPr>
              <w:ind w:right="-5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>А. И. Тумба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900" w:type="dxa"/>
            <w:hideMark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>Начальник Государственной службы по СМИ ПМР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1818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 xml:space="preserve">), </w:t>
            </w:r>
          </w:p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1819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>Л. В. Колодка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900" w:type="dxa"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>7,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>Глава Государственной администрации г. Бендеры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1819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 xml:space="preserve"> Р. Д. Иванченко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900" w:type="dxa"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Глава Государственной администрации </w:t>
            </w:r>
            <w:proofErr w:type="spellStart"/>
            <w:r w:rsidRPr="00CE7DE1">
              <w:rPr>
                <w:sz w:val="28"/>
                <w:szCs w:val="28"/>
                <w:lang w:eastAsia="ru-RU"/>
              </w:rPr>
              <w:t>Дубоссарского</w:t>
            </w:r>
            <w:proofErr w:type="spellEnd"/>
            <w:r w:rsidRPr="00CE7DE1">
              <w:rPr>
                <w:sz w:val="28"/>
                <w:szCs w:val="28"/>
                <w:lang w:eastAsia="ru-RU"/>
              </w:rPr>
              <w:t xml:space="preserve"> района и г. Дубоссары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 xml:space="preserve">п. </w:t>
            </w:r>
            <w:r w:rsidRPr="00CE7DE1">
              <w:rPr>
                <w:bCs/>
                <w:color w:val="000000"/>
                <w:sz w:val="28"/>
                <w:szCs w:val="28"/>
                <w:lang w:eastAsia="ru-RU"/>
              </w:rPr>
              <w:t xml:space="preserve"> 1819 </w:t>
            </w:r>
            <w:r w:rsidRPr="00CE7DE1">
              <w:rPr>
                <w:sz w:val="28"/>
                <w:szCs w:val="28"/>
                <w:lang w:eastAsia="ru-RU"/>
              </w:rPr>
              <w:t>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>Р. И. Чебан</w:t>
            </w:r>
          </w:p>
        </w:tc>
      </w:tr>
      <w:tr w:rsidR="00CE7DE1" w:rsidRPr="00CE7DE1" w:rsidTr="007A0EA0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900" w:type="dxa"/>
          </w:tcPr>
          <w:p w:rsidR="00CE7DE1" w:rsidRPr="00CE7DE1" w:rsidRDefault="00CE7DE1" w:rsidP="00CE7DE1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</w:rPr>
            </w:pPr>
            <w:r w:rsidRPr="00CE7DE1">
              <w:rPr>
                <w:bCs/>
                <w:color w:val="000000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4320" w:type="dxa"/>
          </w:tcPr>
          <w:p w:rsidR="00CE7DE1" w:rsidRPr="00CE7DE1" w:rsidRDefault="00CE7DE1" w:rsidP="00CE7DE1">
            <w:pPr>
              <w:ind w:firstLine="252"/>
              <w:jc w:val="both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>Заместитель Председателя Правительства Приднестро</w:t>
            </w:r>
            <w:bookmarkStart w:id="0" w:name="_GoBack"/>
            <w:bookmarkEnd w:id="0"/>
            <w:r w:rsidRPr="00CE7DE1">
              <w:rPr>
                <w:sz w:val="28"/>
                <w:szCs w:val="28"/>
                <w:lang w:eastAsia="ru-RU"/>
              </w:rPr>
              <w:t xml:space="preserve">вской Молдавской Республики – министр финансов Приднестровской Молдавской Республики </w:t>
            </w:r>
          </w:p>
        </w:tc>
        <w:tc>
          <w:tcPr>
            <w:tcW w:w="2011" w:type="dxa"/>
            <w:gridSpan w:val="2"/>
          </w:tcPr>
          <w:p w:rsidR="00CE7DE1" w:rsidRPr="00CE7DE1" w:rsidRDefault="00CE7DE1" w:rsidP="00CE7DE1">
            <w:pPr>
              <w:ind w:right="-55"/>
              <w:jc w:val="center"/>
              <w:rPr>
                <w:sz w:val="28"/>
                <w:szCs w:val="28"/>
                <w:lang w:eastAsia="ru-RU"/>
              </w:rPr>
            </w:pPr>
            <w:r w:rsidRPr="00CE7DE1">
              <w:rPr>
                <w:sz w:val="28"/>
                <w:szCs w:val="28"/>
                <w:lang w:eastAsia="ru-RU"/>
              </w:rPr>
              <w:t>п. 1835 (V</w:t>
            </w:r>
            <w:r w:rsidRPr="00CE7DE1">
              <w:rPr>
                <w:sz w:val="28"/>
                <w:szCs w:val="28"/>
                <w:lang w:val="en-US" w:eastAsia="ru-RU"/>
              </w:rPr>
              <w:t>I</w:t>
            </w:r>
            <w:r w:rsidRPr="00CE7DE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4" w:type="dxa"/>
            <w:gridSpan w:val="2"/>
          </w:tcPr>
          <w:p w:rsidR="00CE7DE1" w:rsidRPr="00CE7DE1" w:rsidRDefault="00CE7DE1" w:rsidP="00CE7DE1">
            <w:pPr>
              <w:rPr>
                <w:b/>
                <w:sz w:val="28"/>
                <w:szCs w:val="28"/>
                <w:lang w:eastAsia="ru-RU"/>
              </w:rPr>
            </w:pPr>
            <w:r w:rsidRPr="00CE7DE1">
              <w:rPr>
                <w:b/>
                <w:sz w:val="28"/>
                <w:szCs w:val="28"/>
                <w:lang w:eastAsia="ru-RU"/>
              </w:rPr>
              <w:t xml:space="preserve">Т. П. Кирова </w:t>
            </w:r>
          </w:p>
        </w:tc>
      </w:tr>
    </w:tbl>
    <w:p w:rsidR="00CE7DE1" w:rsidRPr="00CE7DE1" w:rsidRDefault="00CE7DE1" w:rsidP="00CE7DE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ВОПРОСЫ, ОТВЕТСТВЕННЫМ ПО КОТОРЫМ ЯВЛЯЕТСЯ КОМИТЕТ</w:t>
      </w:r>
    </w:p>
    <w:p w:rsidR="00CE7DE1" w:rsidRPr="00CE7DE1" w:rsidRDefault="00CE7DE1" w:rsidP="00CE7D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закона Приднестровской Молдавской Республики «О внесении изменений в некоторые законодательные акты Приднестровской Молдавской </w:t>
      </w:r>
      <w:proofErr w:type="gramStart"/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Республики»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1766 (VI) первое чтение</w:t>
      </w:r>
    </w:p>
    <w:p w:rsidR="00CE7DE1" w:rsidRPr="00CE7DE1" w:rsidRDefault="00CE7DE1" w:rsidP="00CE7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(Правительство ПМР).</w:t>
      </w:r>
    </w:p>
    <w:p w:rsidR="00CE7DE1" w:rsidRPr="00CE7DE1" w:rsidRDefault="00CE7DE1" w:rsidP="00CE7DE1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/Инициатива/ 1766 (V</w:t>
      </w: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7DE1" w:rsidRPr="00CE7DE1" w:rsidRDefault="00CE7DE1" w:rsidP="00CE7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  Кузьмина</w:t>
      </w:r>
      <w:proofErr w:type="gramEnd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Доклад: Буга И. С.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DE1" w:rsidRPr="00CE7DE1" w:rsidRDefault="00CE7DE1" w:rsidP="00CE7D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внесении изменения в Закон Приднестровской Молдавской Республики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</w:t>
      </w:r>
      <w:proofErr w:type="gramStart"/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служащих»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1818 (VI) в двух чтениях</w:t>
      </w:r>
    </w:p>
    <w:p w:rsidR="00CE7DE1" w:rsidRPr="00CE7DE1" w:rsidRDefault="00CE7DE1" w:rsidP="00CE7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</w:t>
      </w:r>
      <w:r w:rsidRPr="00CE7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распоряжение Правительства ПМР от 15 июня 2020 года № 483р</w:t>
      </w:r>
    </w:p>
    <w:p w:rsidR="00CE7DE1" w:rsidRPr="00CE7DE1" w:rsidRDefault="00CE7DE1" w:rsidP="00CE7DE1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/Инициатива/ 1818 (V</w:t>
      </w: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7DE1" w:rsidRPr="00CE7DE1" w:rsidRDefault="00CE7DE1" w:rsidP="00CE7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  Кузьмина</w:t>
      </w:r>
      <w:proofErr w:type="gramEnd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Доклад: Буга И. С.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внесении изменений в Закон Приднестровской Молдавской Республики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</w:t>
      </w:r>
      <w:proofErr w:type="gramStart"/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служащих»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1819 (VI)  в двух чтениях</w:t>
      </w:r>
    </w:p>
    <w:p w:rsidR="00CE7DE1" w:rsidRPr="00CE7DE1" w:rsidRDefault="00CE7DE1" w:rsidP="00CE7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</w:t>
      </w:r>
      <w:r w:rsidRPr="00CE7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распоряжение Правительства ПМР от 15 июня 2020 года № 484р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E7DE1" w:rsidRPr="00CE7DE1" w:rsidRDefault="00CE7DE1" w:rsidP="00CE7DE1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/Инициатива/ 1819 (V</w:t>
      </w: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7DE1" w:rsidRPr="00CE7DE1" w:rsidRDefault="00CE7DE1" w:rsidP="00CE7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  Воронова</w:t>
      </w:r>
      <w:proofErr w:type="gramEnd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Г. 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Доклад: Буга И. С.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ВОПРОСЫ, ОТВЕТСТВЕННЫМ ПО КОТОРЫМ </w:t>
      </w:r>
      <w:proofErr w:type="gramStart"/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  НЕ</w:t>
      </w:r>
      <w:proofErr w:type="gramEnd"/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ЯВЛЯЕТСЯ</w:t>
      </w:r>
    </w:p>
    <w:p w:rsidR="00CE7DE1" w:rsidRPr="00CE7DE1" w:rsidRDefault="00CE7DE1" w:rsidP="00CE7DE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республиканском бюджете на 2021 </w:t>
      </w:r>
      <w:proofErr w:type="gramStart"/>
      <w:r w:rsidRPr="00CE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E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1835 (VI) первое чтение</w:t>
      </w:r>
    </w:p>
    <w:p w:rsidR="00CE7DE1" w:rsidRPr="00CE7DE1" w:rsidRDefault="00CE7DE1" w:rsidP="00CE7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(распоряжение Правительства ПМР </w:t>
      </w:r>
      <w:r w:rsidRPr="00CE7DE1">
        <w:rPr>
          <w:rFonts w:ascii="Times New Roman" w:eastAsia="Times New Roman" w:hAnsi="Times New Roman" w:cs="Times New Roman"/>
          <w:sz w:val="28"/>
          <w:szCs w:val="28"/>
        </w:rPr>
        <w:t>от 22 октября 2020 года № 982р</w:t>
      </w:r>
      <w:r w:rsidRPr="00CE7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E7DE1" w:rsidRPr="00CE7DE1" w:rsidRDefault="00CE7DE1" w:rsidP="00CE7DE1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/Инициатива/ 1835 (V</w:t>
      </w: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7DE1" w:rsidRPr="00CE7DE1" w:rsidRDefault="00CE7DE1" w:rsidP="00CE7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  Воронова</w:t>
      </w:r>
      <w:proofErr w:type="gramEnd"/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Г. 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Доклад: Буга И. С.</w:t>
      </w:r>
    </w:p>
    <w:p w:rsidR="00CE7DE1" w:rsidRPr="00CE7DE1" w:rsidRDefault="00CE7DE1" w:rsidP="00CE7DE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материалами заседани</w:t>
      </w:r>
      <w:r w:rsidR="004204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можно ознакомиться по электронному адресу: </w:t>
      </w:r>
      <w:r w:rsidRPr="00CE7D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/Комитет </w:t>
      </w:r>
      <w:r w:rsidR="00420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общественным объединениям/Комитет 2020/ Комитет 26 ноября 2020 года.</w:t>
      </w:r>
    </w:p>
    <w:p w:rsidR="00CE7DE1" w:rsidRPr="00CE7DE1" w:rsidRDefault="00CE7DE1" w:rsidP="00CE7D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E1" w:rsidRPr="00CE7DE1" w:rsidRDefault="00CE7DE1" w:rsidP="00CE7DE1">
      <w:pPr>
        <w:tabs>
          <w:tab w:val="right" w:pos="907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Pr="00CE7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 С. Буга</w:t>
      </w: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1" w:rsidRPr="00CE7DE1" w:rsidRDefault="00CE7DE1" w:rsidP="00CE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5D" w:rsidRDefault="0075685D"/>
    <w:sectPr w:rsidR="0075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19"/>
    <w:rsid w:val="002B6FDE"/>
    <w:rsid w:val="0035711B"/>
    <w:rsid w:val="004204DB"/>
    <w:rsid w:val="0075685D"/>
    <w:rsid w:val="00952019"/>
    <w:rsid w:val="00987373"/>
    <w:rsid w:val="009E6349"/>
    <w:rsid w:val="00A464D5"/>
    <w:rsid w:val="00CE7DE1"/>
    <w:rsid w:val="00F5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E9B15-85A3-46D6-A871-76407C1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7</cp:revision>
  <cp:lastPrinted>2020-11-23T08:36:00Z</cp:lastPrinted>
  <dcterms:created xsi:type="dcterms:W3CDTF">2020-11-23T07:21:00Z</dcterms:created>
  <dcterms:modified xsi:type="dcterms:W3CDTF">2020-11-23T08:38:00Z</dcterms:modified>
</cp:coreProperties>
</file>