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CCD64" w14:textId="359A65EA" w:rsidR="00625D25" w:rsidRPr="00625D25" w:rsidRDefault="00625D25" w:rsidP="00625D25">
      <w:pPr>
        <w:spacing w:before="0" w:after="0" w:line="240" w:lineRule="auto"/>
        <w:ind w:left="4820"/>
        <w:rPr>
          <w:rFonts w:ascii="Times New Roman" w:eastAsia="Calibri" w:hAnsi="Times New Roman" w:cs="Times New Roman"/>
          <w:sz w:val="28"/>
          <w:szCs w:val="28"/>
          <w:lang w:eastAsia="en-US"/>
        </w:rPr>
      </w:pPr>
      <w:r w:rsidRPr="00625D25">
        <w:rPr>
          <w:rFonts w:ascii="Times New Roman" w:eastAsia="Times New Roman" w:hAnsi="Times New Roman" w:cs="Times New Roman"/>
          <w:color w:val="000000"/>
          <w:sz w:val="28"/>
          <w:szCs w:val="28"/>
        </w:rPr>
        <w:t xml:space="preserve">Приложение </w:t>
      </w:r>
      <w:r w:rsidRPr="00625D25">
        <w:rPr>
          <w:rFonts w:ascii="Times New Roman" w:eastAsia="Times New Roman" w:hAnsi="Times New Roman" w:cs="Times New Roman"/>
          <w:color w:val="000000"/>
          <w:sz w:val="28"/>
          <w:szCs w:val="28"/>
        </w:rPr>
        <w:br/>
        <w:t xml:space="preserve">к Постановлению Верховного Совета Приднестровской Молдавской Республики от </w:t>
      </w:r>
      <w:r>
        <w:rPr>
          <w:rFonts w:ascii="Times New Roman" w:eastAsia="Times New Roman" w:hAnsi="Times New Roman" w:cs="Times New Roman"/>
          <w:color w:val="000000"/>
          <w:sz w:val="28"/>
          <w:szCs w:val="28"/>
        </w:rPr>
        <w:t>23</w:t>
      </w:r>
      <w:r w:rsidRPr="00625D25">
        <w:rPr>
          <w:rFonts w:ascii="Times New Roman" w:eastAsia="Times New Roman" w:hAnsi="Times New Roman" w:cs="Times New Roman"/>
          <w:color w:val="000000"/>
          <w:sz w:val="28"/>
          <w:szCs w:val="28"/>
        </w:rPr>
        <w:t xml:space="preserve"> ию</w:t>
      </w:r>
      <w:r>
        <w:rPr>
          <w:rFonts w:ascii="Times New Roman" w:eastAsia="Times New Roman" w:hAnsi="Times New Roman" w:cs="Times New Roman"/>
          <w:color w:val="000000"/>
          <w:sz w:val="28"/>
          <w:szCs w:val="28"/>
        </w:rPr>
        <w:t>н</w:t>
      </w:r>
      <w:r w:rsidRPr="00625D25">
        <w:rPr>
          <w:rFonts w:ascii="Times New Roman" w:eastAsia="Times New Roman" w:hAnsi="Times New Roman" w:cs="Times New Roman"/>
          <w:color w:val="000000"/>
          <w:sz w:val="28"/>
          <w:szCs w:val="28"/>
        </w:rPr>
        <w:t>я 202</w:t>
      </w:r>
      <w:r>
        <w:rPr>
          <w:rFonts w:ascii="Times New Roman" w:eastAsia="Times New Roman" w:hAnsi="Times New Roman" w:cs="Times New Roman"/>
          <w:color w:val="000000"/>
          <w:sz w:val="28"/>
          <w:szCs w:val="28"/>
        </w:rPr>
        <w:t>1</w:t>
      </w:r>
      <w:r w:rsidRPr="00625D25">
        <w:rPr>
          <w:rFonts w:ascii="Times New Roman" w:eastAsia="Times New Roman" w:hAnsi="Times New Roman" w:cs="Times New Roman"/>
          <w:color w:val="000000"/>
          <w:sz w:val="28"/>
          <w:szCs w:val="28"/>
        </w:rPr>
        <w:t xml:space="preserve"> года № </w:t>
      </w:r>
      <w:r>
        <w:rPr>
          <w:rFonts w:ascii="Times New Roman" w:eastAsia="Times New Roman" w:hAnsi="Times New Roman" w:cs="Times New Roman"/>
          <w:color w:val="000000"/>
          <w:sz w:val="28"/>
          <w:szCs w:val="28"/>
        </w:rPr>
        <w:t>415</w:t>
      </w:r>
      <w:r w:rsidRPr="00625D25">
        <w:rPr>
          <w:rFonts w:ascii="Times New Roman" w:eastAsia="Times New Roman" w:hAnsi="Times New Roman" w:cs="Times New Roman"/>
          <w:color w:val="000000"/>
          <w:sz w:val="28"/>
          <w:szCs w:val="28"/>
        </w:rPr>
        <w:t xml:space="preserve"> </w:t>
      </w:r>
      <w:r w:rsidRPr="00625D25">
        <w:rPr>
          <w:rFonts w:ascii="Times New Roman" w:eastAsia="Times New Roman" w:hAnsi="Times New Roman" w:cs="Times New Roman"/>
          <w:color w:val="000000"/>
          <w:sz w:val="28"/>
          <w:szCs w:val="28"/>
        </w:rPr>
        <w:br/>
      </w:r>
      <w:r w:rsidR="0089173F">
        <w:rPr>
          <w:rFonts w:ascii="Times New Roman" w:eastAsia="Calibri" w:hAnsi="Times New Roman" w:cs="Times New Roman"/>
          <w:sz w:val="28"/>
          <w:szCs w:val="28"/>
          <w:lang w:eastAsia="en-US"/>
        </w:rPr>
        <w:t>«</w:t>
      </w:r>
      <w:r w:rsidR="0089173F" w:rsidRPr="0089173F">
        <w:rPr>
          <w:rFonts w:ascii="Times New Roman" w:hAnsi="Times New Roman" w:cs="Times New Roman"/>
          <w:sz w:val="28"/>
          <w:szCs w:val="28"/>
        </w:rPr>
        <w:t>Об утверждении отчета Приднестровского республиканского банка за 2020 год</w:t>
      </w:r>
      <w:r w:rsidRPr="00625D25">
        <w:rPr>
          <w:rFonts w:ascii="Times New Roman" w:eastAsia="Calibri" w:hAnsi="Times New Roman" w:cs="Times New Roman"/>
          <w:sz w:val="28"/>
          <w:szCs w:val="28"/>
          <w:lang w:eastAsia="en-US"/>
        </w:rPr>
        <w:t>»</w:t>
      </w:r>
    </w:p>
    <w:p w14:paraId="7E21941D" w14:textId="11B8A47D" w:rsidR="00625D25" w:rsidRDefault="00625D25" w:rsidP="005416B5">
      <w:pPr>
        <w:jc w:val="center"/>
        <w:rPr>
          <w:rFonts w:asciiTheme="majorHAnsi" w:eastAsiaTheme="majorEastAsia" w:hAnsiTheme="majorHAnsi" w:cstheme="majorBidi"/>
          <w:color w:val="17365D" w:themeColor="text2" w:themeShade="BF"/>
          <w:spacing w:val="5"/>
          <w:kern w:val="28"/>
          <w:sz w:val="32"/>
          <w:szCs w:val="52"/>
        </w:rPr>
      </w:pPr>
    </w:p>
    <w:p w14:paraId="28F1DC0C" w14:textId="153A7184" w:rsidR="005416B5" w:rsidRPr="000D0F97" w:rsidRDefault="005416B5" w:rsidP="005416B5">
      <w:pPr>
        <w:jc w:val="center"/>
        <w:rPr>
          <w:rFonts w:asciiTheme="majorHAnsi" w:eastAsiaTheme="majorEastAsia" w:hAnsiTheme="majorHAnsi" w:cstheme="majorBidi"/>
          <w:color w:val="17365D" w:themeColor="text2" w:themeShade="BF"/>
          <w:spacing w:val="5"/>
          <w:kern w:val="28"/>
          <w:sz w:val="32"/>
          <w:szCs w:val="52"/>
        </w:rPr>
      </w:pPr>
      <w:bookmarkStart w:id="0" w:name="_GoBack"/>
      <w:bookmarkEnd w:id="0"/>
      <w:r w:rsidRPr="000D0F97">
        <w:rPr>
          <w:rFonts w:asciiTheme="majorHAnsi" w:eastAsiaTheme="majorEastAsia" w:hAnsiTheme="majorHAnsi" w:cstheme="majorBidi"/>
          <w:color w:val="17365D" w:themeColor="text2" w:themeShade="BF"/>
          <w:spacing w:val="5"/>
          <w:kern w:val="28"/>
          <w:sz w:val="32"/>
          <w:szCs w:val="52"/>
        </w:rPr>
        <w:t xml:space="preserve">ЦЕНТРАЛЬНЫЙ БАНК </w:t>
      </w:r>
      <w:r w:rsidRPr="000D0F97">
        <w:rPr>
          <w:rFonts w:asciiTheme="majorHAnsi" w:eastAsiaTheme="majorEastAsia" w:hAnsiTheme="majorHAnsi" w:cstheme="majorBidi"/>
          <w:color w:val="17365D" w:themeColor="text2" w:themeShade="BF"/>
          <w:spacing w:val="5"/>
          <w:kern w:val="28"/>
          <w:sz w:val="32"/>
          <w:szCs w:val="52"/>
        </w:rPr>
        <w:br/>
        <w:t>ПРИДНЕСТРОВСКОЙ МОЛДАВСКОЙ РЕСПУБЛИКИ</w:t>
      </w:r>
    </w:p>
    <w:p w14:paraId="61937AD2" w14:textId="77777777" w:rsidR="005416B5" w:rsidRPr="000D0F97" w:rsidRDefault="005416B5" w:rsidP="005416B5">
      <w:pPr>
        <w:ind w:left="6521"/>
        <w:jc w:val="right"/>
        <w:rPr>
          <w:sz w:val="16"/>
        </w:rPr>
      </w:pPr>
    </w:p>
    <w:p w14:paraId="71DBA88C" w14:textId="77777777" w:rsidR="005416B5" w:rsidRPr="000D0F97" w:rsidRDefault="005416B5" w:rsidP="005416B5">
      <w:pPr>
        <w:ind w:left="6521"/>
        <w:jc w:val="right"/>
        <w:rPr>
          <w:sz w:val="16"/>
        </w:rPr>
      </w:pPr>
    </w:p>
    <w:p w14:paraId="12DDF008" w14:textId="77777777" w:rsidR="005416B5" w:rsidRPr="000D0F97" w:rsidRDefault="005416B5" w:rsidP="005416B5">
      <w:pPr>
        <w:pStyle w:val="af5"/>
        <w:widowControl w:val="0"/>
        <w:ind w:firstLine="709"/>
        <w:jc w:val="right"/>
        <w:rPr>
          <w:rFonts w:ascii="Times New Roman" w:hAnsi="Times New Roman" w:cs="Times New Roman"/>
          <w:b/>
          <w:bCs/>
          <w:szCs w:val="24"/>
        </w:rPr>
      </w:pPr>
    </w:p>
    <w:p w14:paraId="674E2F68" w14:textId="77777777" w:rsidR="005416B5" w:rsidRPr="00AC594F" w:rsidRDefault="005416B5" w:rsidP="005416B5">
      <w:pPr>
        <w:rPr>
          <w:sz w:val="16"/>
          <w:highlight w:val="lightGray"/>
        </w:rPr>
      </w:pPr>
    </w:p>
    <w:p w14:paraId="3D7D9414" w14:textId="77777777" w:rsidR="005416B5" w:rsidRPr="00AC594F" w:rsidRDefault="005416B5" w:rsidP="005416B5">
      <w:pPr>
        <w:rPr>
          <w:sz w:val="16"/>
          <w:highlight w:val="lightGray"/>
        </w:rPr>
      </w:pPr>
    </w:p>
    <w:p w14:paraId="029F8B69" w14:textId="77777777" w:rsidR="005416B5" w:rsidRPr="000D0F97" w:rsidRDefault="005416B5" w:rsidP="005416B5">
      <w:pPr>
        <w:rPr>
          <w:sz w:val="16"/>
        </w:rPr>
      </w:pPr>
    </w:p>
    <w:tbl>
      <w:tblPr>
        <w:tblW w:w="0" w:type="auto"/>
        <w:tblInd w:w="108" w:type="dxa"/>
        <w:tblLook w:val="0000" w:firstRow="0" w:lastRow="0" w:firstColumn="0" w:lastColumn="0" w:noHBand="0" w:noVBand="0"/>
      </w:tblPr>
      <w:tblGrid>
        <w:gridCol w:w="9639"/>
      </w:tblGrid>
      <w:tr w:rsidR="005416B5" w:rsidRPr="000D0F97" w14:paraId="57045051" w14:textId="77777777" w:rsidTr="008B2048">
        <w:trPr>
          <w:trHeight w:val="1320"/>
        </w:trPr>
        <w:tc>
          <w:tcPr>
            <w:tcW w:w="9639" w:type="dxa"/>
            <w:vAlign w:val="center"/>
          </w:tcPr>
          <w:p w14:paraId="3DB3DDC3" w14:textId="77777777" w:rsidR="005416B5" w:rsidRPr="00ED165B" w:rsidRDefault="005416B5" w:rsidP="008966B6">
            <w:pPr>
              <w:pStyle w:val="5"/>
              <w:jc w:val="center"/>
              <w:rPr>
                <w:rFonts w:asciiTheme="majorHAnsi" w:hAnsiTheme="majorHAnsi"/>
                <w:sz w:val="52"/>
                <w:szCs w:val="44"/>
              </w:rPr>
            </w:pPr>
            <w:r w:rsidRPr="00ED165B">
              <w:rPr>
                <w:rFonts w:asciiTheme="majorHAnsi" w:eastAsiaTheme="majorEastAsia" w:hAnsiTheme="majorHAnsi" w:cstheme="majorBidi"/>
                <w:caps w:val="0"/>
                <w:color w:val="17365D" w:themeColor="text2" w:themeShade="BF"/>
                <w:spacing w:val="5"/>
                <w:kern w:val="28"/>
                <w:sz w:val="40"/>
                <w:szCs w:val="52"/>
              </w:rPr>
              <w:t>ОТЧЁТ</w:t>
            </w:r>
          </w:p>
          <w:p w14:paraId="384F5889" w14:textId="5407AD13" w:rsidR="005416B5" w:rsidRPr="000D0F97" w:rsidRDefault="005416B5" w:rsidP="008966B6">
            <w:pPr>
              <w:pStyle w:val="5"/>
              <w:spacing w:before="0"/>
              <w:jc w:val="center"/>
            </w:pPr>
            <w:r w:rsidRPr="00ED165B">
              <w:rPr>
                <w:rFonts w:asciiTheme="majorHAnsi" w:eastAsiaTheme="majorEastAsia" w:hAnsiTheme="majorHAnsi" w:cstheme="majorBidi"/>
                <w:caps w:val="0"/>
                <w:color w:val="17365D" w:themeColor="text2" w:themeShade="BF"/>
                <w:spacing w:val="5"/>
                <w:kern w:val="28"/>
                <w:sz w:val="40"/>
                <w:szCs w:val="52"/>
              </w:rPr>
              <w:t xml:space="preserve">ЦЕНТРАЛЬНОГО </w:t>
            </w:r>
            <w:r w:rsidR="00826C7A" w:rsidRPr="00ED165B">
              <w:rPr>
                <w:rFonts w:asciiTheme="majorHAnsi" w:eastAsiaTheme="majorEastAsia" w:hAnsiTheme="majorHAnsi" w:cstheme="majorBidi"/>
                <w:caps w:val="0"/>
                <w:color w:val="17365D" w:themeColor="text2" w:themeShade="BF"/>
                <w:spacing w:val="5"/>
                <w:kern w:val="28"/>
                <w:sz w:val="40"/>
                <w:szCs w:val="52"/>
              </w:rPr>
              <w:t>БАНКА</w:t>
            </w:r>
            <w:r w:rsidR="00826C7A" w:rsidRPr="00ED165B">
              <w:rPr>
                <w:rFonts w:asciiTheme="majorHAnsi" w:hAnsiTheme="majorHAnsi"/>
                <w:caps w:val="0"/>
                <w:sz w:val="52"/>
                <w:szCs w:val="44"/>
              </w:rPr>
              <w:t xml:space="preserve"> </w:t>
            </w:r>
            <w:r w:rsidR="00ED165B" w:rsidRPr="00ED165B">
              <w:rPr>
                <w:rFonts w:asciiTheme="majorHAnsi" w:hAnsiTheme="majorHAnsi"/>
                <w:caps w:val="0"/>
                <w:sz w:val="52"/>
                <w:szCs w:val="44"/>
              </w:rPr>
              <w:br/>
            </w:r>
            <w:r w:rsidR="00826C7A" w:rsidRPr="00ED165B">
              <w:rPr>
                <w:rFonts w:asciiTheme="majorHAnsi" w:eastAsiaTheme="majorEastAsia" w:hAnsiTheme="majorHAnsi" w:cstheme="majorBidi"/>
                <w:caps w:val="0"/>
                <w:color w:val="17365D" w:themeColor="text2" w:themeShade="BF"/>
                <w:spacing w:val="5"/>
                <w:kern w:val="28"/>
                <w:sz w:val="40"/>
                <w:szCs w:val="52"/>
              </w:rPr>
              <w:t xml:space="preserve">ПРИДНЕСТРОВСКОЙ МОЛДАВСКОЙ РЕСПУБЛИКИ </w:t>
            </w:r>
            <w:r w:rsidR="00826C7A" w:rsidRPr="00ED165B">
              <w:rPr>
                <w:rFonts w:asciiTheme="majorHAnsi" w:hAnsiTheme="majorHAnsi"/>
                <w:caps w:val="0"/>
                <w:sz w:val="52"/>
                <w:szCs w:val="44"/>
              </w:rPr>
              <w:br/>
            </w:r>
            <w:r w:rsidRPr="00ED165B">
              <w:rPr>
                <w:rFonts w:asciiTheme="majorHAnsi" w:eastAsiaTheme="majorEastAsia" w:hAnsiTheme="majorHAnsi" w:cstheme="majorBidi"/>
                <w:caps w:val="0"/>
                <w:color w:val="17365D" w:themeColor="text2" w:themeShade="BF"/>
                <w:spacing w:val="5"/>
                <w:kern w:val="28"/>
                <w:sz w:val="40"/>
                <w:szCs w:val="52"/>
              </w:rPr>
              <w:t>ЗА 20</w:t>
            </w:r>
            <w:r w:rsidR="00551048" w:rsidRPr="00ED165B">
              <w:rPr>
                <w:rFonts w:asciiTheme="majorHAnsi" w:eastAsiaTheme="majorEastAsia" w:hAnsiTheme="majorHAnsi" w:cstheme="majorBidi"/>
                <w:caps w:val="0"/>
                <w:color w:val="17365D" w:themeColor="text2" w:themeShade="BF"/>
                <w:spacing w:val="5"/>
                <w:kern w:val="28"/>
                <w:sz w:val="40"/>
                <w:szCs w:val="52"/>
              </w:rPr>
              <w:t>20</w:t>
            </w:r>
            <w:r w:rsidRPr="00ED165B">
              <w:rPr>
                <w:rFonts w:asciiTheme="majorHAnsi" w:eastAsiaTheme="majorEastAsia" w:hAnsiTheme="majorHAnsi" w:cstheme="majorBidi"/>
                <w:caps w:val="0"/>
                <w:color w:val="17365D" w:themeColor="text2" w:themeShade="BF"/>
                <w:spacing w:val="5"/>
                <w:kern w:val="28"/>
                <w:sz w:val="40"/>
                <w:szCs w:val="52"/>
              </w:rPr>
              <w:t xml:space="preserve"> ГОД</w:t>
            </w:r>
          </w:p>
        </w:tc>
      </w:tr>
    </w:tbl>
    <w:p w14:paraId="7E449803" w14:textId="0FF33387" w:rsidR="007547B7" w:rsidRPr="00BA71C7" w:rsidRDefault="00D833C2" w:rsidP="00822F2A">
      <w:pPr>
        <w:ind w:left="284"/>
        <w:jc w:val="center"/>
        <w:rPr>
          <w:rFonts w:asciiTheme="majorHAnsi" w:eastAsiaTheme="majorEastAsia" w:hAnsiTheme="majorHAnsi" w:cstheme="majorBidi"/>
          <w:bCs/>
          <w:color w:val="17365D" w:themeColor="text2" w:themeShade="BF"/>
          <w:spacing w:val="5"/>
          <w:kern w:val="28"/>
          <w:sz w:val="24"/>
          <w:szCs w:val="52"/>
        </w:rPr>
      </w:pPr>
      <w:r>
        <w:rPr>
          <w:rFonts w:asciiTheme="majorHAnsi" w:eastAsiaTheme="majorEastAsia" w:hAnsiTheme="majorHAnsi" w:cstheme="majorBidi"/>
          <w:bCs/>
          <w:color w:val="17365D" w:themeColor="text2" w:themeShade="BF"/>
          <w:spacing w:val="5"/>
          <w:kern w:val="28"/>
          <w:sz w:val="24"/>
          <w:szCs w:val="52"/>
        </w:rPr>
        <w:t>Согласован Банковским советом</w:t>
      </w:r>
      <w:r w:rsidR="007547B7" w:rsidRPr="00BA71C7">
        <w:rPr>
          <w:rFonts w:asciiTheme="majorHAnsi" w:eastAsiaTheme="majorEastAsia" w:hAnsiTheme="majorHAnsi" w:cstheme="majorBidi"/>
          <w:bCs/>
          <w:color w:val="17365D" w:themeColor="text2" w:themeShade="BF"/>
          <w:spacing w:val="5"/>
          <w:kern w:val="28"/>
          <w:sz w:val="24"/>
          <w:szCs w:val="52"/>
        </w:rPr>
        <w:t xml:space="preserve"> </w:t>
      </w:r>
      <w:r>
        <w:rPr>
          <w:rFonts w:asciiTheme="majorHAnsi" w:eastAsiaTheme="majorEastAsia" w:hAnsiTheme="majorHAnsi" w:cstheme="majorBidi"/>
          <w:bCs/>
          <w:color w:val="17365D" w:themeColor="text2" w:themeShade="BF"/>
          <w:spacing w:val="5"/>
          <w:kern w:val="28"/>
          <w:sz w:val="24"/>
          <w:szCs w:val="52"/>
        </w:rPr>
        <w:t xml:space="preserve">13 </w:t>
      </w:r>
      <w:r w:rsidR="00A20A5A">
        <w:rPr>
          <w:rFonts w:asciiTheme="majorHAnsi" w:eastAsiaTheme="majorEastAsia" w:hAnsiTheme="majorHAnsi" w:cstheme="majorBidi"/>
          <w:bCs/>
          <w:color w:val="17365D" w:themeColor="text2" w:themeShade="BF"/>
          <w:spacing w:val="5"/>
          <w:kern w:val="28"/>
          <w:sz w:val="24"/>
          <w:szCs w:val="52"/>
        </w:rPr>
        <w:t>апреля</w:t>
      </w:r>
      <w:r w:rsidR="007547B7">
        <w:rPr>
          <w:rFonts w:asciiTheme="majorHAnsi" w:eastAsiaTheme="majorEastAsia" w:hAnsiTheme="majorHAnsi" w:cstheme="majorBidi"/>
          <w:bCs/>
          <w:color w:val="17365D" w:themeColor="text2" w:themeShade="BF"/>
          <w:spacing w:val="5"/>
          <w:kern w:val="28"/>
          <w:sz w:val="24"/>
          <w:szCs w:val="52"/>
        </w:rPr>
        <w:t xml:space="preserve"> 2021</w:t>
      </w:r>
      <w:r w:rsidR="007547B7" w:rsidRPr="00BA71C7">
        <w:rPr>
          <w:rFonts w:asciiTheme="majorHAnsi" w:eastAsiaTheme="majorEastAsia" w:hAnsiTheme="majorHAnsi" w:cstheme="majorBidi"/>
          <w:bCs/>
          <w:color w:val="17365D" w:themeColor="text2" w:themeShade="BF"/>
          <w:spacing w:val="5"/>
          <w:kern w:val="28"/>
          <w:sz w:val="24"/>
          <w:szCs w:val="52"/>
        </w:rPr>
        <w:t xml:space="preserve"> </w:t>
      </w:r>
      <w:r w:rsidR="007547B7">
        <w:rPr>
          <w:rFonts w:asciiTheme="majorHAnsi" w:eastAsiaTheme="majorEastAsia" w:hAnsiTheme="majorHAnsi" w:cstheme="majorBidi"/>
          <w:bCs/>
          <w:color w:val="17365D" w:themeColor="text2" w:themeShade="BF"/>
          <w:spacing w:val="5"/>
          <w:kern w:val="28"/>
          <w:sz w:val="24"/>
          <w:szCs w:val="52"/>
        </w:rPr>
        <w:t>года, протокол № 1</w:t>
      </w:r>
    </w:p>
    <w:p w14:paraId="5BAFC9EA" w14:textId="77777777" w:rsidR="005416B5" w:rsidRPr="00AC594F" w:rsidRDefault="005416B5" w:rsidP="005416B5">
      <w:pPr>
        <w:rPr>
          <w:highlight w:val="lightGray"/>
        </w:rPr>
      </w:pPr>
    </w:p>
    <w:p w14:paraId="01E20282" w14:textId="77777777" w:rsidR="005416B5" w:rsidRPr="00AC594F" w:rsidRDefault="005416B5" w:rsidP="005416B5">
      <w:pPr>
        <w:rPr>
          <w:highlight w:val="lightGray"/>
        </w:rPr>
      </w:pPr>
    </w:p>
    <w:p w14:paraId="2136B905" w14:textId="77777777" w:rsidR="005416B5" w:rsidRPr="00AC594F" w:rsidRDefault="005416B5" w:rsidP="005416B5">
      <w:pPr>
        <w:rPr>
          <w:highlight w:val="lightGray"/>
        </w:rPr>
      </w:pPr>
    </w:p>
    <w:p w14:paraId="4B64B33B" w14:textId="77777777" w:rsidR="005416B5" w:rsidRPr="00AC594F" w:rsidRDefault="005416B5" w:rsidP="005416B5">
      <w:pPr>
        <w:rPr>
          <w:highlight w:val="lightGray"/>
        </w:rPr>
      </w:pPr>
    </w:p>
    <w:p w14:paraId="433972CC" w14:textId="77777777" w:rsidR="005416B5" w:rsidRPr="00AC594F" w:rsidRDefault="005416B5" w:rsidP="005416B5">
      <w:pPr>
        <w:rPr>
          <w:highlight w:val="lightGray"/>
        </w:rPr>
      </w:pPr>
    </w:p>
    <w:p w14:paraId="0DF5DABF" w14:textId="77777777" w:rsidR="003354DC" w:rsidRPr="00E85DD7" w:rsidRDefault="003354DC" w:rsidP="00533389">
      <w:pPr>
        <w:pStyle w:val="21"/>
        <w:tabs>
          <w:tab w:val="left" w:pos="0"/>
        </w:tabs>
        <w:spacing w:after="0" w:line="240" w:lineRule="auto"/>
        <w:ind w:left="0"/>
        <w:jc w:val="both"/>
        <w:rPr>
          <w:b/>
          <w:bCs/>
          <w:sz w:val="22"/>
          <w:szCs w:val="22"/>
        </w:rPr>
        <w:sectPr w:rsidR="003354DC" w:rsidRPr="00E85DD7" w:rsidSect="005416B5">
          <w:headerReference w:type="default" r:id="rId8"/>
          <w:footerReference w:type="default" r:id="rId9"/>
          <w:pgSz w:w="11906" w:h="16838" w:code="9"/>
          <w:pgMar w:top="1418" w:right="849" w:bottom="1418" w:left="1134" w:header="992" w:footer="873" w:gutter="0"/>
          <w:pgNumType w:start="2"/>
          <w:cols w:space="720"/>
          <w:titlePg/>
        </w:sectPr>
      </w:pPr>
    </w:p>
    <w:tbl>
      <w:tblPr>
        <w:tblpPr w:leftFromText="180" w:rightFromText="180" w:vertAnchor="page" w:horzAnchor="margin" w:tblpX="108" w:tblpY="1445"/>
        <w:tblW w:w="9606" w:type="dxa"/>
        <w:tblLayout w:type="fixed"/>
        <w:tblLook w:val="0000" w:firstRow="0" w:lastRow="0" w:firstColumn="0" w:lastColumn="0" w:noHBand="0" w:noVBand="0"/>
      </w:tblPr>
      <w:tblGrid>
        <w:gridCol w:w="8897"/>
        <w:gridCol w:w="709"/>
      </w:tblGrid>
      <w:tr w:rsidR="003C18BB" w:rsidRPr="008E40A0" w14:paraId="3BB568AB" w14:textId="77777777">
        <w:trPr>
          <w:cantSplit/>
          <w:trHeight w:val="300"/>
        </w:trPr>
        <w:tc>
          <w:tcPr>
            <w:tcW w:w="9606" w:type="dxa"/>
            <w:gridSpan w:val="2"/>
            <w:vAlign w:val="center"/>
          </w:tcPr>
          <w:p w14:paraId="2BD594AD" w14:textId="77777777" w:rsidR="003C18BB" w:rsidRPr="008E40A0" w:rsidRDefault="003C18BB" w:rsidP="008512DA">
            <w:pPr>
              <w:pStyle w:val="21"/>
              <w:widowControl w:val="0"/>
              <w:tabs>
                <w:tab w:val="left" w:pos="0"/>
              </w:tabs>
              <w:spacing w:after="0" w:line="240" w:lineRule="auto"/>
              <w:ind w:left="-108"/>
              <w:jc w:val="center"/>
              <w:rPr>
                <w:rFonts w:ascii="Times New Roman" w:hAnsi="Times New Roman" w:cs="Times New Roman"/>
                <w:b/>
                <w:bCs/>
                <w:sz w:val="24"/>
                <w:szCs w:val="24"/>
              </w:rPr>
            </w:pPr>
            <w:r w:rsidRPr="008E40A0">
              <w:rPr>
                <w:rFonts w:ascii="Times New Roman" w:hAnsi="Times New Roman" w:cs="Times New Roman"/>
                <w:b/>
                <w:bCs/>
                <w:sz w:val="24"/>
                <w:szCs w:val="24"/>
              </w:rPr>
              <w:lastRenderedPageBreak/>
              <w:t>СОДЕРЖАНИЕ</w:t>
            </w:r>
          </w:p>
        </w:tc>
      </w:tr>
      <w:tr w:rsidR="003C18BB" w:rsidRPr="003B57EC" w14:paraId="0ACC34FC" w14:textId="77777777">
        <w:trPr>
          <w:trHeight w:val="300"/>
        </w:trPr>
        <w:tc>
          <w:tcPr>
            <w:tcW w:w="8897" w:type="dxa"/>
            <w:vAlign w:val="center"/>
          </w:tcPr>
          <w:p w14:paraId="397D4E53" w14:textId="77777777" w:rsidR="003C18BB" w:rsidRPr="008E40A0" w:rsidRDefault="003C18BB" w:rsidP="00DD0567">
            <w:pPr>
              <w:pStyle w:val="21"/>
              <w:widowControl w:val="0"/>
              <w:spacing w:after="100" w:line="240" w:lineRule="auto"/>
              <w:ind w:left="-30"/>
              <w:rPr>
                <w:rFonts w:ascii="Times New Roman" w:hAnsi="Times New Roman" w:cs="Times New Roman"/>
                <w:b/>
                <w:bCs/>
                <w:sz w:val="24"/>
                <w:szCs w:val="24"/>
              </w:rPr>
            </w:pPr>
            <w:r w:rsidRPr="008E40A0">
              <w:rPr>
                <w:rFonts w:ascii="Times New Roman" w:hAnsi="Times New Roman" w:cs="Times New Roman"/>
                <w:b/>
                <w:bCs/>
                <w:sz w:val="24"/>
                <w:szCs w:val="24"/>
              </w:rPr>
              <w:t>Введение</w:t>
            </w:r>
          </w:p>
        </w:tc>
        <w:tc>
          <w:tcPr>
            <w:tcW w:w="709" w:type="dxa"/>
            <w:vAlign w:val="center"/>
          </w:tcPr>
          <w:p w14:paraId="173296B4" w14:textId="77777777" w:rsidR="003C18BB" w:rsidRPr="003B57EC" w:rsidRDefault="003B57EC" w:rsidP="00DD0567">
            <w:pPr>
              <w:pStyle w:val="21"/>
              <w:widowControl w:val="0"/>
              <w:tabs>
                <w:tab w:val="left" w:pos="317"/>
              </w:tabs>
              <w:spacing w:after="100" w:line="240" w:lineRule="auto"/>
              <w:ind w:left="-108"/>
              <w:jc w:val="center"/>
              <w:rPr>
                <w:rFonts w:ascii="Times New Roman" w:hAnsi="Times New Roman" w:cs="Times New Roman"/>
                <w:b/>
                <w:bCs/>
                <w:sz w:val="24"/>
                <w:szCs w:val="24"/>
              </w:rPr>
            </w:pPr>
            <w:r w:rsidRPr="003B57EC">
              <w:rPr>
                <w:rFonts w:ascii="Times New Roman" w:hAnsi="Times New Roman" w:cs="Times New Roman"/>
                <w:b/>
                <w:bCs/>
                <w:sz w:val="24"/>
                <w:szCs w:val="24"/>
              </w:rPr>
              <w:t>4</w:t>
            </w:r>
          </w:p>
        </w:tc>
      </w:tr>
      <w:tr w:rsidR="003C18BB" w:rsidRPr="003B57EC" w14:paraId="07DFCD50" w14:textId="77777777">
        <w:trPr>
          <w:trHeight w:val="300"/>
        </w:trPr>
        <w:tc>
          <w:tcPr>
            <w:tcW w:w="8897" w:type="dxa"/>
            <w:vAlign w:val="center"/>
          </w:tcPr>
          <w:p w14:paraId="571966DC" w14:textId="5013D0F6" w:rsidR="003C18BB" w:rsidRPr="008E40A0" w:rsidRDefault="003C18BB" w:rsidP="00615761">
            <w:pPr>
              <w:pStyle w:val="21"/>
              <w:widowControl w:val="0"/>
              <w:spacing w:before="0" w:after="0" w:line="240" w:lineRule="auto"/>
              <w:ind w:left="0"/>
              <w:rPr>
                <w:rFonts w:ascii="Times New Roman" w:hAnsi="Times New Roman" w:cs="Times New Roman"/>
                <w:b/>
                <w:bCs/>
                <w:i/>
                <w:iCs/>
                <w:sz w:val="24"/>
                <w:szCs w:val="24"/>
              </w:rPr>
            </w:pPr>
            <w:r w:rsidRPr="008E40A0">
              <w:rPr>
                <w:rFonts w:ascii="Times New Roman" w:hAnsi="Times New Roman" w:cs="Times New Roman"/>
                <w:b/>
                <w:bCs/>
                <w:sz w:val="24"/>
                <w:szCs w:val="24"/>
              </w:rPr>
              <w:t xml:space="preserve">1. Экономическое и финансовое положение </w:t>
            </w:r>
            <w:r w:rsidR="00B27036" w:rsidRPr="008E40A0">
              <w:rPr>
                <w:rFonts w:ascii="Times New Roman" w:hAnsi="Times New Roman" w:cs="Times New Roman"/>
                <w:b/>
                <w:bCs/>
                <w:color w:val="000000"/>
                <w:sz w:val="24"/>
                <w:szCs w:val="24"/>
              </w:rPr>
              <w:t>П</w:t>
            </w:r>
            <w:r w:rsidR="00FC53FA" w:rsidRPr="008E40A0">
              <w:rPr>
                <w:rFonts w:ascii="Times New Roman" w:hAnsi="Times New Roman" w:cs="Times New Roman"/>
                <w:b/>
                <w:bCs/>
                <w:color w:val="000000"/>
                <w:sz w:val="24"/>
                <w:szCs w:val="24"/>
              </w:rPr>
              <w:t>риднестровской Молдавской Республики</w:t>
            </w:r>
            <w:r w:rsidRPr="008E40A0">
              <w:rPr>
                <w:rFonts w:ascii="Times New Roman" w:hAnsi="Times New Roman" w:cs="Times New Roman"/>
                <w:b/>
                <w:bCs/>
                <w:sz w:val="24"/>
                <w:szCs w:val="24"/>
              </w:rPr>
              <w:t xml:space="preserve"> в 20</w:t>
            </w:r>
            <w:r w:rsidR="00551048">
              <w:rPr>
                <w:rFonts w:ascii="Times New Roman" w:hAnsi="Times New Roman" w:cs="Times New Roman"/>
                <w:b/>
                <w:bCs/>
                <w:sz w:val="24"/>
                <w:szCs w:val="24"/>
              </w:rPr>
              <w:t>20</w:t>
            </w:r>
            <w:r w:rsidRPr="008E40A0">
              <w:rPr>
                <w:rFonts w:ascii="Times New Roman" w:hAnsi="Times New Roman" w:cs="Times New Roman"/>
                <w:b/>
                <w:bCs/>
                <w:sz w:val="24"/>
                <w:szCs w:val="24"/>
              </w:rPr>
              <w:t xml:space="preserve"> году</w:t>
            </w:r>
          </w:p>
        </w:tc>
        <w:tc>
          <w:tcPr>
            <w:tcW w:w="709" w:type="dxa"/>
            <w:vAlign w:val="center"/>
          </w:tcPr>
          <w:p w14:paraId="048BF26C" w14:textId="3BF8872E" w:rsidR="003C18BB" w:rsidRPr="003B57EC" w:rsidRDefault="00493AC0" w:rsidP="008512DA">
            <w:pPr>
              <w:pStyle w:val="21"/>
              <w:widowControl w:val="0"/>
              <w:tabs>
                <w:tab w:val="left" w:pos="317"/>
              </w:tabs>
              <w:spacing w:after="0" w:line="240" w:lineRule="auto"/>
              <w:ind w:left="-108"/>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3C18BB" w:rsidRPr="003B57EC" w14:paraId="31DEECC7" w14:textId="77777777">
        <w:trPr>
          <w:trHeight w:val="300"/>
        </w:trPr>
        <w:tc>
          <w:tcPr>
            <w:tcW w:w="8897" w:type="dxa"/>
            <w:vAlign w:val="center"/>
          </w:tcPr>
          <w:p w14:paraId="2FD432C1" w14:textId="77777777" w:rsidR="003C18BB" w:rsidRPr="008E40A0" w:rsidRDefault="003C18BB" w:rsidP="002D4618">
            <w:pPr>
              <w:pStyle w:val="21"/>
              <w:widowControl w:val="0"/>
              <w:spacing w:after="0" w:line="240" w:lineRule="auto"/>
              <w:ind w:left="672" w:hanging="388"/>
              <w:rPr>
                <w:rFonts w:ascii="Times New Roman" w:hAnsi="Times New Roman" w:cs="Times New Roman"/>
                <w:sz w:val="24"/>
                <w:szCs w:val="24"/>
              </w:rPr>
            </w:pPr>
            <w:r w:rsidRPr="008E40A0">
              <w:rPr>
                <w:rFonts w:ascii="Times New Roman" w:hAnsi="Times New Roman" w:cs="Times New Roman"/>
                <w:sz w:val="24"/>
                <w:szCs w:val="24"/>
              </w:rPr>
              <w:t xml:space="preserve">1.1. </w:t>
            </w:r>
            <w:r w:rsidR="00207A4A" w:rsidRPr="008E40A0">
              <w:rPr>
                <w:rFonts w:ascii="Times New Roman" w:hAnsi="Times New Roman" w:cs="Times New Roman"/>
                <w:sz w:val="24"/>
                <w:szCs w:val="24"/>
              </w:rPr>
              <w:t>Внешние условия: ми</w:t>
            </w:r>
            <w:r w:rsidRPr="008E40A0">
              <w:rPr>
                <w:rFonts w:ascii="Times New Roman" w:hAnsi="Times New Roman" w:cs="Times New Roman"/>
                <w:sz w:val="24"/>
                <w:szCs w:val="24"/>
              </w:rPr>
              <w:t>ровая экономика и международные рынки</w:t>
            </w:r>
          </w:p>
        </w:tc>
        <w:tc>
          <w:tcPr>
            <w:tcW w:w="709" w:type="dxa"/>
            <w:vAlign w:val="center"/>
          </w:tcPr>
          <w:p w14:paraId="7AABF4E5" w14:textId="16397746" w:rsidR="003C18BB"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6</w:t>
            </w:r>
          </w:p>
        </w:tc>
      </w:tr>
      <w:tr w:rsidR="003C18BB" w:rsidRPr="003B57EC" w14:paraId="0235E742" w14:textId="77777777">
        <w:trPr>
          <w:trHeight w:val="300"/>
        </w:trPr>
        <w:tc>
          <w:tcPr>
            <w:tcW w:w="8897" w:type="dxa"/>
            <w:vAlign w:val="center"/>
          </w:tcPr>
          <w:p w14:paraId="502E643C" w14:textId="77777777" w:rsidR="003C18BB" w:rsidRPr="008E40A0" w:rsidRDefault="003C18BB" w:rsidP="002D4618">
            <w:pPr>
              <w:pStyle w:val="21"/>
              <w:widowControl w:val="0"/>
              <w:spacing w:after="0" w:line="240" w:lineRule="auto"/>
              <w:ind w:left="672" w:hanging="388"/>
              <w:rPr>
                <w:rFonts w:ascii="Times New Roman" w:hAnsi="Times New Roman" w:cs="Times New Roman"/>
                <w:sz w:val="24"/>
                <w:szCs w:val="24"/>
              </w:rPr>
            </w:pPr>
            <w:r w:rsidRPr="008E40A0">
              <w:rPr>
                <w:rFonts w:ascii="Times New Roman" w:hAnsi="Times New Roman" w:cs="Times New Roman"/>
                <w:sz w:val="24"/>
                <w:szCs w:val="24"/>
              </w:rPr>
              <w:t>1.2. Экономическое положение Приднестровья</w:t>
            </w:r>
          </w:p>
        </w:tc>
        <w:tc>
          <w:tcPr>
            <w:tcW w:w="709" w:type="dxa"/>
            <w:vAlign w:val="center"/>
          </w:tcPr>
          <w:p w14:paraId="1EC838C0" w14:textId="3F249E1E" w:rsidR="003C18BB"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9</w:t>
            </w:r>
          </w:p>
        </w:tc>
      </w:tr>
      <w:tr w:rsidR="00207A4A" w:rsidRPr="003B57EC" w14:paraId="6121D459" w14:textId="77777777">
        <w:trPr>
          <w:trHeight w:val="300"/>
        </w:trPr>
        <w:tc>
          <w:tcPr>
            <w:tcW w:w="8897" w:type="dxa"/>
            <w:vAlign w:val="center"/>
          </w:tcPr>
          <w:p w14:paraId="68F589B8" w14:textId="77777777" w:rsidR="00207A4A" w:rsidRPr="008E40A0" w:rsidRDefault="00BF66C3" w:rsidP="002D4618">
            <w:pPr>
              <w:pStyle w:val="21"/>
              <w:spacing w:after="0" w:line="240" w:lineRule="auto"/>
              <w:ind w:left="709"/>
              <w:rPr>
                <w:rFonts w:ascii="Times New Roman" w:hAnsi="Times New Roman" w:cs="Times New Roman"/>
                <w:i/>
                <w:sz w:val="24"/>
                <w:szCs w:val="24"/>
              </w:rPr>
            </w:pPr>
            <w:r w:rsidRPr="008E40A0">
              <w:rPr>
                <w:rFonts w:ascii="Times New Roman" w:hAnsi="Times New Roman" w:cs="Times New Roman"/>
                <w:i/>
                <w:sz w:val="24"/>
                <w:szCs w:val="24"/>
              </w:rPr>
              <w:t>Экономическая активность</w:t>
            </w:r>
            <w:r w:rsidR="00B41FFF" w:rsidRPr="008E40A0">
              <w:rPr>
                <w:rFonts w:ascii="Times New Roman" w:hAnsi="Times New Roman" w:cs="Times New Roman"/>
                <w:i/>
                <w:sz w:val="24"/>
                <w:szCs w:val="24"/>
              </w:rPr>
              <w:t xml:space="preserve"> </w:t>
            </w:r>
          </w:p>
        </w:tc>
        <w:tc>
          <w:tcPr>
            <w:tcW w:w="709" w:type="dxa"/>
            <w:vAlign w:val="center"/>
          </w:tcPr>
          <w:p w14:paraId="2EB14146" w14:textId="3F1F154C" w:rsidR="00207A4A"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9</w:t>
            </w:r>
          </w:p>
        </w:tc>
      </w:tr>
      <w:tr w:rsidR="003B57EC" w:rsidRPr="003B57EC" w14:paraId="568E7291" w14:textId="77777777">
        <w:trPr>
          <w:trHeight w:val="300"/>
        </w:trPr>
        <w:tc>
          <w:tcPr>
            <w:tcW w:w="8897" w:type="dxa"/>
            <w:vAlign w:val="center"/>
          </w:tcPr>
          <w:p w14:paraId="69DC43D4" w14:textId="77777777" w:rsidR="003B57EC" w:rsidRPr="008E40A0" w:rsidRDefault="003B57EC" w:rsidP="002D4618">
            <w:pPr>
              <w:pStyle w:val="21"/>
              <w:spacing w:after="0" w:line="240" w:lineRule="auto"/>
              <w:ind w:left="709"/>
              <w:rPr>
                <w:rFonts w:ascii="Times New Roman" w:hAnsi="Times New Roman" w:cs="Times New Roman"/>
                <w:i/>
                <w:sz w:val="24"/>
                <w:szCs w:val="24"/>
              </w:rPr>
            </w:pPr>
            <w:r w:rsidRPr="008E40A0">
              <w:rPr>
                <w:rFonts w:ascii="Times New Roman" w:hAnsi="Times New Roman" w:cs="Times New Roman"/>
                <w:i/>
                <w:sz w:val="24"/>
                <w:szCs w:val="24"/>
              </w:rPr>
              <w:t>Динамика цен</w:t>
            </w:r>
          </w:p>
        </w:tc>
        <w:tc>
          <w:tcPr>
            <w:tcW w:w="709" w:type="dxa"/>
            <w:vAlign w:val="center"/>
          </w:tcPr>
          <w:p w14:paraId="422312A1" w14:textId="25D8CDD6" w:rsidR="003B57EC"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12</w:t>
            </w:r>
          </w:p>
        </w:tc>
      </w:tr>
      <w:tr w:rsidR="00207A4A" w:rsidRPr="003B57EC" w14:paraId="51ED312F" w14:textId="77777777" w:rsidTr="00207A4A">
        <w:trPr>
          <w:trHeight w:val="105"/>
        </w:trPr>
        <w:tc>
          <w:tcPr>
            <w:tcW w:w="8897" w:type="dxa"/>
            <w:vAlign w:val="center"/>
          </w:tcPr>
          <w:p w14:paraId="31CE1AD7" w14:textId="77777777" w:rsidR="00207A4A" w:rsidRPr="008E40A0" w:rsidRDefault="00BF66C3" w:rsidP="002D4618">
            <w:pPr>
              <w:pStyle w:val="21"/>
              <w:spacing w:after="0" w:line="240" w:lineRule="auto"/>
              <w:ind w:left="709"/>
              <w:rPr>
                <w:rFonts w:ascii="Times New Roman" w:hAnsi="Times New Roman" w:cs="Times New Roman"/>
                <w:i/>
                <w:sz w:val="24"/>
                <w:szCs w:val="24"/>
              </w:rPr>
            </w:pPr>
            <w:r w:rsidRPr="008E40A0">
              <w:rPr>
                <w:rFonts w:ascii="Times New Roman" w:hAnsi="Times New Roman" w:cs="Times New Roman"/>
                <w:i/>
                <w:sz w:val="24"/>
                <w:szCs w:val="24"/>
              </w:rPr>
              <w:t>Социальная сфера</w:t>
            </w:r>
          </w:p>
        </w:tc>
        <w:tc>
          <w:tcPr>
            <w:tcW w:w="709" w:type="dxa"/>
            <w:vAlign w:val="center"/>
          </w:tcPr>
          <w:p w14:paraId="4AE86EBD" w14:textId="2DD1611E" w:rsidR="00207A4A"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14</w:t>
            </w:r>
          </w:p>
        </w:tc>
      </w:tr>
      <w:tr w:rsidR="003C18BB" w:rsidRPr="003B57EC" w14:paraId="28B04FD8" w14:textId="77777777">
        <w:trPr>
          <w:trHeight w:val="80"/>
        </w:trPr>
        <w:tc>
          <w:tcPr>
            <w:tcW w:w="8897" w:type="dxa"/>
            <w:vAlign w:val="center"/>
          </w:tcPr>
          <w:p w14:paraId="1384C0D4" w14:textId="77777777" w:rsidR="003C18BB" w:rsidRPr="008E40A0" w:rsidRDefault="00207A4A" w:rsidP="002D4618">
            <w:pPr>
              <w:pStyle w:val="21"/>
              <w:widowControl w:val="0"/>
              <w:spacing w:after="0" w:line="240" w:lineRule="auto"/>
              <w:ind w:left="672" w:hanging="388"/>
              <w:rPr>
                <w:rFonts w:ascii="Times New Roman" w:hAnsi="Times New Roman" w:cs="Times New Roman"/>
                <w:sz w:val="24"/>
                <w:szCs w:val="24"/>
              </w:rPr>
            </w:pPr>
            <w:r w:rsidRPr="008E40A0">
              <w:rPr>
                <w:rFonts w:ascii="Times New Roman" w:hAnsi="Times New Roman" w:cs="Times New Roman"/>
                <w:sz w:val="24"/>
                <w:szCs w:val="24"/>
              </w:rPr>
              <w:t>1.3. Платёжный баланс</w:t>
            </w:r>
          </w:p>
        </w:tc>
        <w:tc>
          <w:tcPr>
            <w:tcW w:w="709" w:type="dxa"/>
            <w:vAlign w:val="center"/>
          </w:tcPr>
          <w:p w14:paraId="66E635F1" w14:textId="3494965E" w:rsidR="003C18BB"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16</w:t>
            </w:r>
          </w:p>
        </w:tc>
      </w:tr>
      <w:tr w:rsidR="00207A4A" w:rsidRPr="003B57EC" w14:paraId="00668506" w14:textId="77777777">
        <w:trPr>
          <w:trHeight w:val="80"/>
        </w:trPr>
        <w:tc>
          <w:tcPr>
            <w:tcW w:w="8897" w:type="dxa"/>
            <w:vAlign w:val="center"/>
          </w:tcPr>
          <w:p w14:paraId="0EF3DD86" w14:textId="77777777" w:rsidR="00207A4A" w:rsidRPr="008E40A0" w:rsidRDefault="00207A4A" w:rsidP="002D4618">
            <w:pPr>
              <w:pStyle w:val="21"/>
              <w:widowControl w:val="0"/>
              <w:spacing w:after="0" w:line="240" w:lineRule="auto"/>
              <w:ind w:left="672" w:hanging="388"/>
              <w:rPr>
                <w:rFonts w:ascii="Times New Roman" w:hAnsi="Times New Roman" w:cs="Times New Roman"/>
                <w:sz w:val="24"/>
                <w:szCs w:val="24"/>
              </w:rPr>
            </w:pPr>
            <w:r w:rsidRPr="008E40A0">
              <w:rPr>
                <w:rFonts w:ascii="Times New Roman" w:hAnsi="Times New Roman" w:cs="Times New Roman"/>
                <w:sz w:val="24"/>
                <w:szCs w:val="24"/>
              </w:rPr>
              <w:t>1.4. Государственные финансы</w:t>
            </w:r>
          </w:p>
        </w:tc>
        <w:tc>
          <w:tcPr>
            <w:tcW w:w="709" w:type="dxa"/>
            <w:vAlign w:val="center"/>
          </w:tcPr>
          <w:p w14:paraId="3C861F2B" w14:textId="1853050B" w:rsidR="00207A4A"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18</w:t>
            </w:r>
          </w:p>
        </w:tc>
      </w:tr>
      <w:tr w:rsidR="003C18BB" w:rsidRPr="003B57EC" w14:paraId="4B2CC8D1" w14:textId="77777777">
        <w:trPr>
          <w:trHeight w:val="300"/>
        </w:trPr>
        <w:tc>
          <w:tcPr>
            <w:tcW w:w="8897" w:type="dxa"/>
            <w:vAlign w:val="center"/>
          </w:tcPr>
          <w:p w14:paraId="7809E6D5" w14:textId="77777777" w:rsidR="003C18BB" w:rsidRPr="008E40A0" w:rsidRDefault="003C18BB" w:rsidP="002D4618">
            <w:pPr>
              <w:pStyle w:val="21"/>
              <w:widowControl w:val="0"/>
              <w:spacing w:after="0" w:line="240" w:lineRule="auto"/>
              <w:ind w:left="672" w:hanging="388"/>
              <w:rPr>
                <w:rFonts w:ascii="Times New Roman" w:hAnsi="Times New Roman" w:cs="Times New Roman"/>
                <w:sz w:val="24"/>
                <w:szCs w:val="24"/>
              </w:rPr>
            </w:pPr>
            <w:r w:rsidRPr="008E40A0">
              <w:rPr>
                <w:rFonts w:ascii="Times New Roman" w:hAnsi="Times New Roman" w:cs="Times New Roman"/>
                <w:sz w:val="24"/>
                <w:szCs w:val="24"/>
              </w:rPr>
              <w:t>1.</w:t>
            </w:r>
            <w:r w:rsidR="00207A4A" w:rsidRPr="008E40A0">
              <w:rPr>
                <w:rFonts w:ascii="Times New Roman" w:hAnsi="Times New Roman" w:cs="Times New Roman"/>
                <w:sz w:val="24"/>
                <w:szCs w:val="24"/>
              </w:rPr>
              <w:t>5</w:t>
            </w:r>
            <w:r w:rsidRPr="008E40A0">
              <w:rPr>
                <w:rFonts w:ascii="Times New Roman" w:hAnsi="Times New Roman" w:cs="Times New Roman"/>
                <w:sz w:val="24"/>
                <w:szCs w:val="24"/>
              </w:rPr>
              <w:t>. Финансовый сектор</w:t>
            </w:r>
          </w:p>
        </w:tc>
        <w:tc>
          <w:tcPr>
            <w:tcW w:w="709" w:type="dxa"/>
            <w:vAlign w:val="center"/>
          </w:tcPr>
          <w:p w14:paraId="2EE9674D" w14:textId="5A54CD74" w:rsidR="003C18BB"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20</w:t>
            </w:r>
          </w:p>
        </w:tc>
      </w:tr>
      <w:tr w:rsidR="00207A4A" w:rsidRPr="003B57EC" w14:paraId="7D36B570" w14:textId="77777777">
        <w:trPr>
          <w:trHeight w:val="300"/>
        </w:trPr>
        <w:tc>
          <w:tcPr>
            <w:tcW w:w="8897" w:type="dxa"/>
            <w:vAlign w:val="center"/>
          </w:tcPr>
          <w:p w14:paraId="1020DD95" w14:textId="77777777" w:rsidR="00207A4A" w:rsidRPr="002D4618" w:rsidRDefault="00207A4A" w:rsidP="002D4618">
            <w:pPr>
              <w:pStyle w:val="21"/>
              <w:spacing w:after="0" w:line="240" w:lineRule="auto"/>
              <w:ind w:left="142" w:firstLine="607"/>
              <w:rPr>
                <w:rFonts w:ascii="Times New Roman" w:hAnsi="Times New Roman" w:cs="Times New Roman"/>
                <w:i/>
                <w:sz w:val="24"/>
                <w:szCs w:val="24"/>
              </w:rPr>
            </w:pPr>
            <w:r w:rsidRPr="002D4618">
              <w:rPr>
                <w:rFonts w:ascii="Times New Roman" w:hAnsi="Times New Roman" w:cs="Times New Roman"/>
                <w:i/>
                <w:sz w:val="24"/>
                <w:szCs w:val="24"/>
              </w:rPr>
              <w:t>Денежный рынок</w:t>
            </w:r>
          </w:p>
        </w:tc>
        <w:tc>
          <w:tcPr>
            <w:tcW w:w="709" w:type="dxa"/>
            <w:vAlign w:val="center"/>
          </w:tcPr>
          <w:p w14:paraId="57E166EF" w14:textId="76600B53" w:rsidR="00207A4A"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20</w:t>
            </w:r>
          </w:p>
        </w:tc>
      </w:tr>
      <w:tr w:rsidR="00207A4A" w:rsidRPr="003B57EC" w14:paraId="26D30E13" w14:textId="77777777">
        <w:trPr>
          <w:trHeight w:val="300"/>
        </w:trPr>
        <w:tc>
          <w:tcPr>
            <w:tcW w:w="8897" w:type="dxa"/>
            <w:vAlign w:val="center"/>
          </w:tcPr>
          <w:p w14:paraId="36DB88FE" w14:textId="77777777" w:rsidR="00207A4A" w:rsidRPr="002D4618" w:rsidRDefault="00207A4A" w:rsidP="002D4618">
            <w:pPr>
              <w:pStyle w:val="21"/>
              <w:spacing w:after="0" w:line="240" w:lineRule="auto"/>
              <w:ind w:left="142" w:firstLine="607"/>
              <w:rPr>
                <w:rFonts w:ascii="Times New Roman" w:hAnsi="Times New Roman" w:cs="Times New Roman"/>
                <w:i/>
                <w:sz w:val="24"/>
                <w:szCs w:val="24"/>
              </w:rPr>
            </w:pPr>
            <w:r w:rsidRPr="002D4618">
              <w:rPr>
                <w:rFonts w:ascii="Times New Roman" w:hAnsi="Times New Roman" w:cs="Times New Roman"/>
                <w:i/>
                <w:sz w:val="24"/>
                <w:szCs w:val="24"/>
              </w:rPr>
              <w:t>Валютный рынок</w:t>
            </w:r>
          </w:p>
        </w:tc>
        <w:tc>
          <w:tcPr>
            <w:tcW w:w="709" w:type="dxa"/>
            <w:vAlign w:val="center"/>
          </w:tcPr>
          <w:p w14:paraId="1F234321" w14:textId="025C38F4" w:rsidR="00207A4A"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21</w:t>
            </w:r>
          </w:p>
        </w:tc>
      </w:tr>
      <w:tr w:rsidR="00207A4A" w:rsidRPr="003B57EC" w14:paraId="1EABC194" w14:textId="77777777">
        <w:trPr>
          <w:trHeight w:val="300"/>
        </w:trPr>
        <w:tc>
          <w:tcPr>
            <w:tcW w:w="8897" w:type="dxa"/>
            <w:vAlign w:val="center"/>
          </w:tcPr>
          <w:p w14:paraId="09CFB484" w14:textId="77777777" w:rsidR="00207A4A" w:rsidRPr="002D4618" w:rsidRDefault="00207A4A" w:rsidP="002D4618">
            <w:pPr>
              <w:pStyle w:val="21"/>
              <w:spacing w:after="0" w:line="240" w:lineRule="auto"/>
              <w:ind w:left="142" w:firstLine="607"/>
              <w:rPr>
                <w:rFonts w:ascii="Times New Roman" w:hAnsi="Times New Roman" w:cs="Times New Roman"/>
                <w:i/>
                <w:sz w:val="24"/>
                <w:szCs w:val="24"/>
              </w:rPr>
            </w:pPr>
            <w:r w:rsidRPr="002D4618">
              <w:rPr>
                <w:rFonts w:ascii="Times New Roman" w:hAnsi="Times New Roman" w:cs="Times New Roman"/>
                <w:i/>
                <w:sz w:val="24"/>
                <w:szCs w:val="24"/>
              </w:rPr>
              <w:t>Банковская система</w:t>
            </w:r>
          </w:p>
        </w:tc>
        <w:tc>
          <w:tcPr>
            <w:tcW w:w="709" w:type="dxa"/>
            <w:vAlign w:val="center"/>
          </w:tcPr>
          <w:p w14:paraId="004CD59E" w14:textId="7BFCEB84" w:rsidR="00207A4A"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w:t>
            </w:r>
            <w:r w:rsidR="002D4618">
              <w:rPr>
                <w:rFonts w:ascii="Times New Roman" w:hAnsi="Times New Roman" w:cs="Times New Roman"/>
                <w:sz w:val="24"/>
                <w:szCs w:val="24"/>
              </w:rPr>
              <w:t>3</w:t>
            </w:r>
          </w:p>
        </w:tc>
      </w:tr>
      <w:tr w:rsidR="00207A4A" w:rsidRPr="003B57EC" w14:paraId="5F95AB55" w14:textId="77777777" w:rsidTr="0002542F">
        <w:trPr>
          <w:trHeight w:val="329"/>
        </w:trPr>
        <w:tc>
          <w:tcPr>
            <w:tcW w:w="8897" w:type="dxa"/>
            <w:vAlign w:val="center"/>
          </w:tcPr>
          <w:p w14:paraId="3E2E0091" w14:textId="77777777" w:rsidR="00207A4A" w:rsidRPr="002D4618" w:rsidRDefault="00207A4A" w:rsidP="002D4618">
            <w:pPr>
              <w:pStyle w:val="21"/>
              <w:spacing w:after="0" w:line="240" w:lineRule="auto"/>
              <w:ind w:left="142" w:firstLine="607"/>
              <w:rPr>
                <w:rFonts w:ascii="Times New Roman" w:hAnsi="Times New Roman" w:cs="Times New Roman"/>
                <w:i/>
                <w:sz w:val="24"/>
                <w:szCs w:val="24"/>
              </w:rPr>
            </w:pPr>
            <w:r w:rsidRPr="002D4618">
              <w:rPr>
                <w:rFonts w:ascii="Times New Roman" w:hAnsi="Times New Roman" w:cs="Times New Roman"/>
                <w:i/>
                <w:sz w:val="24"/>
                <w:szCs w:val="24"/>
              </w:rPr>
              <w:t>Страховой рынок</w:t>
            </w:r>
          </w:p>
        </w:tc>
        <w:tc>
          <w:tcPr>
            <w:tcW w:w="709" w:type="dxa"/>
            <w:vAlign w:val="center"/>
          </w:tcPr>
          <w:p w14:paraId="05D88C94" w14:textId="03805B5E" w:rsidR="00207A4A"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26</w:t>
            </w:r>
          </w:p>
        </w:tc>
      </w:tr>
      <w:tr w:rsidR="003C18BB" w:rsidRPr="003B57EC" w14:paraId="7DCD7D59" w14:textId="77777777">
        <w:trPr>
          <w:trHeight w:val="300"/>
        </w:trPr>
        <w:tc>
          <w:tcPr>
            <w:tcW w:w="8897" w:type="dxa"/>
            <w:vAlign w:val="center"/>
          </w:tcPr>
          <w:p w14:paraId="0BDAC41C" w14:textId="77777777" w:rsidR="003C18BB" w:rsidRPr="008E40A0" w:rsidRDefault="003C18BB" w:rsidP="002D4618">
            <w:pPr>
              <w:pStyle w:val="21"/>
              <w:widowControl w:val="0"/>
              <w:spacing w:after="0" w:line="240" w:lineRule="auto"/>
              <w:ind w:left="670" w:hanging="386"/>
              <w:rPr>
                <w:rFonts w:ascii="Times New Roman" w:hAnsi="Times New Roman" w:cs="Times New Roman"/>
                <w:sz w:val="24"/>
                <w:szCs w:val="24"/>
              </w:rPr>
            </w:pPr>
            <w:r w:rsidRPr="008E40A0">
              <w:rPr>
                <w:rFonts w:ascii="Times New Roman" w:hAnsi="Times New Roman" w:cs="Times New Roman"/>
                <w:sz w:val="24"/>
                <w:szCs w:val="24"/>
              </w:rPr>
              <w:t>1.</w:t>
            </w:r>
            <w:r w:rsidR="00182680" w:rsidRPr="008E40A0">
              <w:rPr>
                <w:rFonts w:ascii="Times New Roman" w:hAnsi="Times New Roman" w:cs="Times New Roman"/>
                <w:sz w:val="24"/>
                <w:szCs w:val="24"/>
              </w:rPr>
              <w:t>6</w:t>
            </w:r>
            <w:r w:rsidRPr="008E40A0">
              <w:rPr>
                <w:rFonts w:ascii="Times New Roman" w:hAnsi="Times New Roman" w:cs="Times New Roman"/>
                <w:sz w:val="24"/>
                <w:szCs w:val="24"/>
              </w:rPr>
              <w:t>. Платёжная система</w:t>
            </w:r>
          </w:p>
        </w:tc>
        <w:tc>
          <w:tcPr>
            <w:tcW w:w="709" w:type="dxa"/>
            <w:vAlign w:val="center"/>
          </w:tcPr>
          <w:p w14:paraId="62A20CAF" w14:textId="2E70DD41" w:rsidR="003C18BB" w:rsidRPr="003B57EC"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26</w:t>
            </w:r>
          </w:p>
        </w:tc>
      </w:tr>
      <w:tr w:rsidR="003C18BB" w:rsidRPr="002B5F1D" w14:paraId="7C0B7E62" w14:textId="77777777">
        <w:trPr>
          <w:trHeight w:val="300"/>
        </w:trPr>
        <w:tc>
          <w:tcPr>
            <w:tcW w:w="8897" w:type="dxa"/>
            <w:vAlign w:val="center"/>
          </w:tcPr>
          <w:p w14:paraId="4F4EAF20" w14:textId="7582B4E5" w:rsidR="003C18BB" w:rsidRPr="002B5F1D" w:rsidRDefault="003C18BB" w:rsidP="002D4618">
            <w:pPr>
              <w:pStyle w:val="21"/>
              <w:widowControl w:val="0"/>
              <w:spacing w:after="0" w:line="240" w:lineRule="auto"/>
              <w:ind w:left="0"/>
              <w:rPr>
                <w:rFonts w:ascii="Times New Roman" w:hAnsi="Times New Roman" w:cs="Times New Roman"/>
                <w:sz w:val="24"/>
                <w:szCs w:val="24"/>
              </w:rPr>
            </w:pPr>
            <w:r w:rsidRPr="002B5F1D">
              <w:rPr>
                <w:rFonts w:ascii="Times New Roman" w:hAnsi="Times New Roman" w:cs="Times New Roman"/>
                <w:b/>
                <w:bCs/>
                <w:sz w:val="24"/>
                <w:szCs w:val="24"/>
              </w:rPr>
              <w:t>2. Деятельность Приднестровского республиканского банка в 20</w:t>
            </w:r>
            <w:r w:rsidR="00551048">
              <w:rPr>
                <w:rFonts w:ascii="Times New Roman" w:hAnsi="Times New Roman" w:cs="Times New Roman"/>
                <w:b/>
                <w:bCs/>
                <w:sz w:val="24"/>
                <w:szCs w:val="24"/>
              </w:rPr>
              <w:t>20</w:t>
            </w:r>
            <w:r w:rsidRPr="002B5F1D">
              <w:rPr>
                <w:rFonts w:ascii="Times New Roman" w:hAnsi="Times New Roman" w:cs="Times New Roman"/>
                <w:b/>
                <w:bCs/>
                <w:sz w:val="24"/>
                <w:szCs w:val="24"/>
              </w:rPr>
              <w:t xml:space="preserve"> году</w:t>
            </w:r>
          </w:p>
        </w:tc>
        <w:tc>
          <w:tcPr>
            <w:tcW w:w="709" w:type="dxa"/>
            <w:vAlign w:val="center"/>
          </w:tcPr>
          <w:p w14:paraId="18A138C4" w14:textId="609784ED"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b/>
                <w:bCs/>
                <w:sz w:val="24"/>
                <w:szCs w:val="24"/>
              </w:rPr>
            </w:pPr>
            <w:r>
              <w:rPr>
                <w:rFonts w:ascii="Times New Roman" w:hAnsi="Times New Roman" w:cs="Times New Roman"/>
                <w:b/>
                <w:bCs/>
                <w:sz w:val="24"/>
                <w:szCs w:val="24"/>
              </w:rPr>
              <w:t>29</w:t>
            </w:r>
          </w:p>
        </w:tc>
      </w:tr>
      <w:tr w:rsidR="003C18BB" w:rsidRPr="002B5F1D" w14:paraId="26918633" w14:textId="77777777">
        <w:trPr>
          <w:trHeight w:val="225"/>
        </w:trPr>
        <w:tc>
          <w:tcPr>
            <w:tcW w:w="8897" w:type="dxa"/>
            <w:vAlign w:val="center"/>
          </w:tcPr>
          <w:p w14:paraId="5FFC64DE" w14:textId="77777777" w:rsidR="003C18BB" w:rsidRPr="002B5F1D" w:rsidRDefault="003C18BB" w:rsidP="002D4618">
            <w:pPr>
              <w:pStyle w:val="21"/>
              <w:widowControl w:val="0"/>
              <w:tabs>
                <w:tab w:val="left" w:pos="744"/>
              </w:tabs>
              <w:spacing w:after="0" w:line="240" w:lineRule="auto"/>
              <w:ind w:left="672" w:hanging="388"/>
              <w:rPr>
                <w:rFonts w:ascii="Times New Roman" w:hAnsi="Times New Roman" w:cs="Times New Roman"/>
                <w:sz w:val="24"/>
                <w:szCs w:val="24"/>
              </w:rPr>
            </w:pPr>
            <w:r w:rsidRPr="002B5F1D">
              <w:rPr>
                <w:rFonts w:ascii="Times New Roman" w:hAnsi="Times New Roman" w:cs="Times New Roman"/>
                <w:sz w:val="24"/>
                <w:szCs w:val="24"/>
              </w:rPr>
              <w:t>2.1. Денежно-кредитная политика</w:t>
            </w:r>
          </w:p>
        </w:tc>
        <w:tc>
          <w:tcPr>
            <w:tcW w:w="709" w:type="dxa"/>
            <w:vAlign w:val="center"/>
          </w:tcPr>
          <w:p w14:paraId="70B68ECF" w14:textId="7AE76227"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29</w:t>
            </w:r>
          </w:p>
        </w:tc>
      </w:tr>
      <w:tr w:rsidR="003C18BB" w:rsidRPr="002B5F1D" w14:paraId="1CF6133B" w14:textId="77777777">
        <w:trPr>
          <w:trHeight w:val="258"/>
        </w:trPr>
        <w:tc>
          <w:tcPr>
            <w:tcW w:w="8897" w:type="dxa"/>
            <w:vAlign w:val="center"/>
          </w:tcPr>
          <w:p w14:paraId="37D614B1" w14:textId="77777777" w:rsidR="003C18BB" w:rsidRPr="002B5F1D" w:rsidRDefault="003C18BB" w:rsidP="002D4618">
            <w:pPr>
              <w:pStyle w:val="21"/>
              <w:widowControl w:val="0"/>
              <w:spacing w:after="0" w:line="240" w:lineRule="auto"/>
              <w:ind w:left="672" w:firstLine="37"/>
              <w:rPr>
                <w:rFonts w:ascii="Times New Roman" w:hAnsi="Times New Roman" w:cs="Times New Roman"/>
                <w:i/>
                <w:iCs/>
                <w:sz w:val="24"/>
                <w:szCs w:val="24"/>
              </w:rPr>
            </w:pPr>
            <w:r w:rsidRPr="002B5F1D">
              <w:rPr>
                <w:rFonts w:ascii="Times New Roman" w:hAnsi="Times New Roman" w:cs="Times New Roman"/>
                <w:i/>
                <w:iCs/>
                <w:sz w:val="24"/>
                <w:szCs w:val="24"/>
              </w:rPr>
              <w:t>Цели и</w:t>
            </w:r>
            <w:r w:rsidR="00207A4A" w:rsidRPr="002B5F1D">
              <w:rPr>
                <w:rFonts w:ascii="Times New Roman" w:hAnsi="Times New Roman" w:cs="Times New Roman"/>
                <w:i/>
                <w:iCs/>
                <w:sz w:val="24"/>
                <w:szCs w:val="24"/>
              </w:rPr>
              <w:t xml:space="preserve"> </w:t>
            </w:r>
            <w:r w:rsidR="00870351" w:rsidRPr="002B5F1D">
              <w:rPr>
                <w:rFonts w:ascii="Times New Roman" w:hAnsi="Times New Roman" w:cs="Times New Roman"/>
                <w:i/>
                <w:iCs/>
                <w:sz w:val="24"/>
                <w:szCs w:val="24"/>
              </w:rPr>
              <w:t>результаты</w:t>
            </w:r>
            <w:r w:rsidR="0057024D" w:rsidRPr="002B5F1D">
              <w:rPr>
                <w:rFonts w:ascii="Times New Roman" w:hAnsi="Times New Roman" w:cs="Times New Roman"/>
                <w:i/>
                <w:iCs/>
                <w:sz w:val="24"/>
                <w:szCs w:val="24"/>
              </w:rPr>
              <w:t xml:space="preserve"> </w:t>
            </w:r>
            <w:r w:rsidRPr="002B5F1D">
              <w:rPr>
                <w:rFonts w:ascii="Times New Roman" w:hAnsi="Times New Roman" w:cs="Times New Roman"/>
                <w:i/>
                <w:iCs/>
                <w:sz w:val="24"/>
                <w:szCs w:val="24"/>
              </w:rPr>
              <w:t>денежно-кредитной политики</w:t>
            </w:r>
          </w:p>
        </w:tc>
        <w:tc>
          <w:tcPr>
            <w:tcW w:w="709" w:type="dxa"/>
            <w:vAlign w:val="center"/>
          </w:tcPr>
          <w:p w14:paraId="2AE48CB0" w14:textId="29E1AAC5"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29</w:t>
            </w:r>
          </w:p>
        </w:tc>
      </w:tr>
      <w:tr w:rsidR="003C18BB" w:rsidRPr="002B5F1D" w14:paraId="7EE17997" w14:textId="77777777">
        <w:trPr>
          <w:trHeight w:val="258"/>
        </w:trPr>
        <w:tc>
          <w:tcPr>
            <w:tcW w:w="8897" w:type="dxa"/>
            <w:vAlign w:val="center"/>
          </w:tcPr>
          <w:p w14:paraId="274C895D" w14:textId="77777777" w:rsidR="003C18BB" w:rsidRPr="002B5F1D" w:rsidRDefault="004C5696" w:rsidP="002D4618">
            <w:pPr>
              <w:pStyle w:val="21"/>
              <w:widowControl w:val="0"/>
              <w:spacing w:after="0" w:line="240" w:lineRule="auto"/>
              <w:ind w:left="672" w:firstLine="37"/>
              <w:rPr>
                <w:rFonts w:ascii="Times New Roman" w:hAnsi="Times New Roman" w:cs="Times New Roman"/>
                <w:i/>
                <w:iCs/>
                <w:sz w:val="24"/>
                <w:szCs w:val="24"/>
              </w:rPr>
            </w:pPr>
            <w:r w:rsidRPr="002B5F1D">
              <w:rPr>
                <w:rFonts w:ascii="Times New Roman" w:hAnsi="Times New Roman" w:cs="Times New Roman"/>
                <w:i/>
                <w:iCs/>
                <w:sz w:val="24"/>
                <w:szCs w:val="24"/>
              </w:rPr>
              <w:t>Инструменты</w:t>
            </w:r>
            <w:r w:rsidR="00E02B6B" w:rsidRPr="002B5F1D">
              <w:rPr>
                <w:rFonts w:ascii="Times New Roman" w:hAnsi="Times New Roman" w:cs="Times New Roman"/>
                <w:i/>
                <w:iCs/>
                <w:sz w:val="24"/>
                <w:szCs w:val="24"/>
              </w:rPr>
              <w:t xml:space="preserve"> </w:t>
            </w:r>
            <w:r w:rsidRPr="002B5F1D">
              <w:rPr>
                <w:rFonts w:ascii="Times New Roman" w:hAnsi="Times New Roman" w:cs="Times New Roman"/>
                <w:i/>
                <w:iCs/>
                <w:sz w:val="24"/>
                <w:szCs w:val="24"/>
              </w:rPr>
              <w:t>денежно-кредитной политики</w:t>
            </w:r>
          </w:p>
        </w:tc>
        <w:tc>
          <w:tcPr>
            <w:tcW w:w="709" w:type="dxa"/>
            <w:vAlign w:val="center"/>
          </w:tcPr>
          <w:p w14:paraId="3E3E80D6" w14:textId="414669AA"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29</w:t>
            </w:r>
          </w:p>
        </w:tc>
      </w:tr>
      <w:tr w:rsidR="003C18BB" w:rsidRPr="002B5F1D" w14:paraId="7D31334B" w14:textId="77777777">
        <w:trPr>
          <w:trHeight w:val="135"/>
        </w:trPr>
        <w:tc>
          <w:tcPr>
            <w:tcW w:w="8897" w:type="dxa"/>
            <w:vAlign w:val="center"/>
          </w:tcPr>
          <w:p w14:paraId="2B028C9E" w14:textId="00C050F4" w:rsidR="004216F3" w:rsidRPr="002B5F1D" w:rsidRDefault="003C18BB" w:rsidP="002D4618">
            <w:pPr>
              <w:pStyle w:val="21"/>
              <w:widowControl w:val="0"/>
              <w:spacing w:after="0" w:line="240" w:lineRule="auto"/>
              <w:ind w:left="672" w:hanging="388"/>
              <w:rPr>
                <w:rFonts w:ascii="Times New Roman" w:hAnsi="Times New Roman" w:cs="Times New Roman"/>
                <w:sz w:val="24"/>
                <w:szCs w:val="24"/>
              </w:rPr>
            </w:pPr>
            <w:r w:rsidRPr="002B5F1D">
              <w:rPr>
                <w:rFonts w:ascii="Times New Roman" w:hAnsi="Times New Roman" w:cs="Times New Roman"/>
                <w:sz w:val="24"/>
                <w:szCs w:val="24"/>
              </w:rPr>
              <w:t>2.2. Динамика золотовалютных резервов</w:t>
            </w:r>
          </w:p>
        </w:tc>
        <w:tc>
          <w:tcPr>
            <w:tcW w:w="709" w:type="dxa"/>
            <w:vAlign w:val="center"/>
          </w:tcPr>
          <w:p w14:paraId="1BD95F7E" w14:textId="03029152"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30</w:t>
            </w:r>
          </w:p>
        </w:tc>
      </w:tr>
      <w:tr w:rsidR="00493AC0" w:rsidRPr="002B5F1D" w14:paraId="20F389AC" w14:textId="77777777">
        <w:trPr>
          <w:trHeight w:val="135"/>
        </w:trPr>
        <w:tc>
          <w:tcPr>
            <w:tcW w:w="8897" w:type="dxa"/>
            <w:vAlign w:val="center"/>
          </w:tcPr>
          <w:p w14:paraId="58A2C39D" w14:textId="68CAC97B" w:rsidR="00493AC0" w:rsidRPr="002B5F1D" w:rsidRDefault="00493AC0" w:rsidP="00615761">
            <w:pPr>
              <w:pStyle w:val="21"/>
              <w:widowControl w:val="0"/>
              <w:tabs>
                <w:tab w:val="left" w:pos="654"/>
                <w:tab w:val="left" w:pos="710"/>
                <w:tab w:val="left" w:pos="766"/>
              </w:tabs>
              <w:spacing w:after="0" w:line="240" w:lineRule="auto"/>
              <w:ind w:left="749" w:hanging="473"/>
              <w:rPr>
                <w:rFonts w:ascii="Times New Roman" w:hAnsi="Times New Roman" w:cs="Times New Roman"/>
                <w:sz w:val="24"/>
                <w:szCs w:val="24"/>
              </w:rPr>
            </w:pPr>
            <w:r>
              <w:rPr>
                <w:rFonts w:ascii="Times New Roman" w:hAnsi="Times New Roman" w:cs="Times New Roman"/>
                <w:sz w:val="24"/>
                <w:szCs w:val="24"/>
              </w:rPr>
              <w:t xml:space="preserve">2.3. </w:t>
            </w:r>
            <w:r w:rsidRPr="00736ADD">
              <w:rPr>
                <w:rFonts w:ascii="Times New Roman" w:hAnsi="Times New Roman" w:cs="Times New Roman"/>
                <w:sz w:val="24"/>
                <w:szCs w:val="24"/>
              </w:rPr>
              <w:t>Мониторинг рисков и меры регулирования для обеспечения финансовой стабильности</w:t>
            </w:r>
          </w:p>
        </w:tc>
        <w:tc>
          <w:tcPr>
            <w:tcW w:w="709" w:type="dxa"/>
            <w:vAlign w:val="center"/>
          </w:tcPr>
          <w:p w14:paraId="77375638" w14:textId="0F4C18DE" w:rsidR="00493AC0"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w:t>
            </w:r>
            <w:r w:rsidR="002D4618">
              <w:rPr>
                <w:rFonts w:ascii="Times New Roman" w:hAnsi="Times New Roman" w:cs="Times New Roman"/>
                <w:sz w:val="24"/>
                <w:szCs w:val="24"/>
              </w:rPr>
              <w:t>1</w:t>
            </w:r>
          </w:p>
        </w:tc>
      </w:tr>
      <w:tr w:rsidR="003C18BB" w:rsidRPr="002B5F1D" w14:paraId="4674ADEB" w14:textId="77777777">
        <w:trPr>
          <w:trHeight w:val="258"/>
        </w:trPr>
        <w:tc>
          <w:tcPr>
            <w:tcW w:w="8897" w:type="dxa"/>
            <w:vAlign w:val="center"/>
          </w:tcPr>
          <w:p w14:paraId="6389D23C" w14:textId="0E114095" w:rsidR="003C18BB" w:rsidRPr="000F3426" w:rsidRDefault="00736ADD" w:rsidP="002D4618">
            <w:pPr>
              <w:pStyle w:val="21"/>
              <w:widowControl w:val="0"/>
              <w:spacing w:after="0" w:line="240" w:lineRule="auto"/>
              <w:ind w:left="672" w:hanging="388"/>
              <w:rPr>
                <w:rFonts w:ascii="Times New Roman" w:hAnsi="Times New Roman" w:cs="Times New Roman"/>
                <w:sz w:val="24"/>
                <w:szCs w:val="24"/>
              </w:rPr>
            </w:pPr>
            <w:r w:rsidRPr="000F3426">
              <w:rPr>
                <w:rFonts w:ascii="Times New Roman" w:hAnsi="Times New Roman" w:cs="Times New Roman"/>
                <w:sz w:val="24"/>
                <w:szCs w:val="24"/>
              </w:rPr>
              <w:t>2.4</w:t>
            </w:r>
            <w:r w:rsidR="003C18BB" w:rsidRPr="000F3426">
              <w:rPr>
                <w:rFonts w:ascii="Times New Roman" w:hAnsi="Times New Roman" w:cs="Times New Roman"/>
                <w:sz w:val="24"/>
                <w:szCs w:val="24"/>
              </w:rPr>
              <w:t xml:space="preserve">. </w:t>
            </w:r>
            <w:r w:rsidR="0027181C" w:rsidRPr="000F3426">
              <w:rPr>
                <w:rFonts w:ascii="Times New Roman" w:hAnsi="Times New Roman" w:cs="Times New Roman"/>
                <w:sz w:val="24"/>
                <w:szCs w:val="24"/>
              </w:rPr>
              <w:t>Р</w:t>
            </w:r>
            <w:r w:rsidR="003C18BB" w:rsidRPr="000F3426">
              <w:rPr>
                <w:rFonts w:ascii="Times New Roman" w:hAnsi="Times New Roman" w:cs="Times New Roman"/>
                <w:sz w:val="24"/>
                <w:szCs w:val="24"/>
              </w:rPr>
              <w:t xml:space="preserve">егулирование и надзор </w:t>
            </w:r>
            <w:r w:rsidR="0027181C" w:rsidRPr="000F3426">
              <w:rPr>
                <w:rFonts w:ascii="Times New Roman" w:hAnsi="Times New Roman" w:cs="Times New Roman"/>
                <w:sz w:val="24"/>
                <w:szCs w:val="24"/>
              </w:rPr>
              <w:t>в банковской и страховой сферах</w:t>
            </w:r>
          </w:p>
        </w:tc>
        <w:tc>
          <w:tcPr>
            <w:tcW w:w="709" w:type="dxa"/>
            <w:vAlign w:val="center"/>
          </w:tcPr>
          <w:p w14:paraId="395329BB" w14:textId="0274C007"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32</w:t>
            </w:r>
          </w:p>
        </w:tc>
      </w:tr>
      <w:tr w:rsidR="003C18BB" w:rsidRPr="002B5F1D" w14:paraId="7976359F" w14:textId="77777777">
        <w:trPr>
          <w:trHeight w:val="258"/>
        </w:trPr>
        <w:tc>
          <w:tcPr>
            <w:tcW w:w="8897" w:type="dxa"/>
            <w:vAlign w:val="center"/>
          </w:tcPr>
          <w:p w14:paraId="0540F90D" w14:textId="17614F80" w:rsidR="003C18BB" w:rsidRPr="000F3426" w:rsidRDefault="003C18BB" w:rsidP="002D4618">
            <w:pPr>
              <w:pStyle w:val="21"/>
              <w:widowControl w:val="0"/>
              <w:spacing w:after="0" w:line="240" w:lineRule="auto"/>
              <w:ind w:left="672" w:firstLine="37"/>
              <w:rPr>
                <w:rFonts w:ascii="Times New Roman" w:hAnsi="Times New Roman" w:cs="Times New Roman"/>
                <w:i/>
                <w:iCs/>
                <w:sz w:val="24"/>
                <w:szCs w:val="24"/>
              </w:rPr>
            </w:pPr>
            <w:r w:rsidRPr="000F3426">
              <w:rPr>
                <w:rFonts w:ascii="Times New Roman" w:hAnsi="Times New Roman" w:cs="Times New Roman"/>
                <w:i/>
                <w:iCs/>
                <w:sz w:val="24"/>
                <w:szCs w:val="24"/>
              </w:rPr>
              <w:t xml:space="preserve">Регистрация и лицензирование </w:t>
            </w:r>
          </w:p>
        </w:tc>
        <w:tc>
          <w:tcPr>
            <w:tcW w:w="709" w:type="dxa"/>
            <w:vAlign w:val="center"/>
          </w:tcPr>
          <w:p w14:paraId="289F11AF" w14:textId="50F8BF12"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32</w:t>
            </w:r>
          </w:p>
        </w:tc>
      </w:tr>
      <w:tr w:rsidR="003C18BB" w:rsidRPr="002B5F1D" w14:paraId="4C45F037" w14:textId="77777777">
        <w:trPr>
          <w:trHeight w:val="258"/>
        </w:trPr>
        <w:tc>
          <w:tcPr>
            <w:tcW w:w="8897" w:type="dxa"/>
            <w:vAlign w:val="center"/>
          </w:tcPr>
          <w:p w14:paraId="46F406CD" w14:textId="77777777" w:rsidR="003C18BB" w:rsidRPr="000F3426" w:rsidRDefault="003C18BB" w:rsidP="002D4618">
            <w:pPr>
              <w:pStyle w:val="21"/>
              <w:widowControl w:val="0"/>
              <w:spacing w:after="0" w:line="240" w:lineRule="auto"/>
              <w:ind w:left="672" w:firstLine="37"/>
              <w:rPr>
                <w:rFonts w:ascii="Times New Roman" w:hAnsi="Times New Roman" w:cs="Times New Roman"/>
                <w:i/>
                <w:iCs/>
                <w:sz w:val="24"/>
                <w:szCs w:val="24"/>
              </w:rPr>
            </w:pPr>
            <w:r w:rsidRPr="000F3426">
              <w:rPr>
                <w:rFonts w:ascii="Times New Roman" w:hAnsi="Times New Roman" w:cs="Times New Roman"/>
                <w:i/>
                <w:iCs/>
                <w:sz w:val="24"/>
                <w:szCs w:val="24"/>
              </w:rPr>
              <w:t>Дистанционный надзор</w:t>
            </w:r>
          </w:p>
        </w:tc>
        <w:tc>
          <w:tcPr>
            <w:tcW w:w="709" w:type="dxa"/>
            <w:vAlign w:val="center"/>
          </w:tcPr>
          <w:p w14:paraId="1AB5D1FF" w14:textId="5A52C09B"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33</w:t>
            </w:r>
          </w:p>
        </w:tc>
      </w:tr>
      <w:tr w:rsidR="003C18BB" w:rsidRPr="002B5F1D" w14:paraId="5D5D0B18" w14:textId="77777777">
        <w:trPr>
          <w:trHeight w:val="258"/>
        </w:trPr>
        <w:tc>
          <w:tcPr>
            <w:tcW w:w="8897" w:type="dxa"/>
            <w:vAlign w:val="center"/>
          </w:tcPr>
          <w:p w14:paraId="321D39E2" w14:textId="678B786C" w:rsidR="003C18BB" w:rsidRPr="00493AC0" w:rsidRDefault="00736ADD" w:rsidP="002D4618">
            <w:pPr>
              <w:pStyle w:val="21"/>
              <w:widowControl w:val="0"/>
              <w:spacing w:after="0" w:line="240" w:lineRule="auto"/>
              <w:ind w:left="672" w:firstLine="37"/>
              <w:rPr>
                <w:rFonts w:ascii="Times New Roman" w:hAnsi="Times New Roman" w:cs="Times New Roman"/>
                <w:i/>
                <w:iCs/>
                <w:sz w:val="24"/>
                <w:szCs w:val="24"/>
              </w:rPr>
            </w:pPr>
            <w:r w:rsidRPr="00493AC0">
              <w:rPr>
                <w:rFonts w:ascii="Times New Roman" w:hAnsi="Times New Roman" w:cs="Times New Roman"/>
                <w:i/>
                <w:iCs/>
                <w:sz w:val="24"/>
                <w:szCs w:val="24"/>
              </w:rPr>
              <w:t>Р</w:t>
            </w:r>
            <w:r w:rsidR="003C18BB" w:rsidRPr="00493AC0">
              <w:rPr>
                <w:rFonts w:ascii="Times New Roman" w:hAnsi="Times New Roman" w:cs="Times New Roman"/>
                <w:i/>
                <w:iCs/>
                <w:sz w:val="24"/>
                <w:szCs w:val="24"/>
              </w:rPr>
              <w:t>егулирование</w:t>
            </w:r>
            <w:r w:rsidR="000F3426" w:rsidRPr="00493AC0">
              <w:rPr>
                <w:rFonts w:ascii="Times New Roman" w:hAnsi="Times New Roman" w:cs="Times New Roman"/>
                <w:i/>
                <w:iCs/>
                <w:sz w:val="24"/>
                <w:szCs w:val="24"/>
              </w:rPr>
              <w:t xml:space="preserve"> кредитных организаций</w:t>
            </w:r>
          </w:p>
        </w:tc>
        <w:tc>
          <w:tcPr>
            <w:tcW w:w="709" w:type="dxa"/>
            <w:vAlign w:val="center"/>
          </w:tcPr>
          <w:p w14:paraId="26426D04" w14:textId="1581296A" w:rsidR="003C18BB" w:rsidRPr="002B5F1D" w:rsidRDefault="00493AC0" w:rsidP="00DD0567">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w:t>
            </w:r>
            <w:r w:rsidR="00DD0567">
              <w:rPr>
                <w:rFonts w:ascii="Times New Roman" w:hAnsi="Times New Roman" w:cs="Times New Roman"/>
                <w:sz w:val="24"/>
                <w:szCs w:val="24"/>
              </w:rPr>
              <w:t>4</w:t>
            </w:r>
          </w:p>
        </w:tc>
      </w:tr>
      <w:tr w:rsidR="003C18BB" w:rsidRPr="002B5F1D" w14:paraId="4BA50DD2" w14:textId="77777777">
        <w:trPr>
          <w:trHeight w:val="258"/>
        </w:trPr>
        <w:tc>
          <w:tcPr>
            <w:tcW w:w="8897" w:type="dxa"/>
            <w:vAlign w:val="center"/>
          </w:tcPr>
          <w:p w14:paraId="557F6CFC" w14:textId="02495CAA" w:rsidR="003C18BB" w:rsidRPr="00493AC0" w:rsidRDefault="003C18BB" w:rsidP="002D4618">
            <w:pPr>
              <w:pStyle w:val="21"/>
              <w:widowControl w:val="0"/>
              <w:spacing w:after="0" w:line="240" w:lineRule="auto"/>
              <w:ind w:left="672" w:firstLine="37"/>
              <w:rPr>
                <w:rFonts w:ascii="Times New Roman" w:hAnsi="Times New Roman" w:cs="Times New Roman"/>
                <w:i/>
                <w:iCs/>
                <w:sz w:val="24"/>
                <w:szCs w:val="24"/>
              </w:rPr>
            </w:pPr>
            <w:r w:rsidRPr="00493AC0">
              <w:rPr>
                <w:rFonts w:ascii="Times New Roman" w:hAnsi="Times New Roman" w:cs="Times New Roman"/>
                <w:i/>
                <w:iCs/>
                <w:sz w:val="24"/>
                <w:szCs w:val="24"/>
              </w:rPr>
              <w:t xml:space="preserve">Инспектирование </w:t>
            </w:r>
          </w:p>
        </w:tc>
        <w:tc>
          <w:tcPr>
            <w:tcW w:w="709" w:type="dxa"/>
            <w:vAlign w:val="center"/>
          </w:tcPr>
          <w:p w14:paraId="1484F483" w14:textId="48941C7A"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35</w:t>
            </w:r>
          </w:p>
        </w:tc>
      </w:tr>
      <w:tr w:rsidR="006E78A2" w:rsidRPr="002B5F1D" w14:paraId="59912919" w14:textId="77777777">
        <w:trPr>
          <w:trHeight w:val="258"/>
        </w:trPr>
        <w:tc>
          <w:tcPr>
            <w:tcW w:w="8897" w:type="dxa"/>
            <w:vAlign w:val="center"/>
          </w:tcPr>
          <w:p w14:paraId="16100F07" w14:textId="56907DCE" w:rsidR="000F3426" w:rsidRPr="00493AC0" w:rsidRDefault="006E78A2" w:rsidP="002D4618">
            <w:pPr>
              <w:pStyle w:val="21"/>
              <w:widowControl w:val="0"/>
              <w:spacing w:after="0" w:line="240" w:lineRule="auto"/>
              <w:ind w:left="672" w:firstLine="37"/>
              <w:rPr>
                <w:rFonts w:ascii="Times New Roman" w:hAnsi="Times New Roman" w:cs="Times New Roman"/>
                <w:i/>
                <w:iCs/>
                <w:sz w:val="24"/>
                <w:szCs w:val="24"/>
              </w:rPr>
            </w:pPr>
            <w:r w:rsidRPr="00493AC0">
              <w:rPr>
                <w:rFonts w:ascii="Times New Roman" w:hAnsi="Times New Roman" w:cs="Times New Roman"/>
                <w:i/>
                <w:iCs/>
                <w:sz w:val="24"/>
                <w:szCs w:val="24"/>
              </w:rPr>
              <w:t>Регулирование страхового</w:t>
            </w:r>
            <w:r w:rsidR="00870351" w:rsidRPr="00493AC0">
              <w:rPr>
                <w:rFonts w:ascii="Times New Roman" w:hAnsi="Times New Roman" w:cs="Times New Roman"/>
                <w:i/>
                <w:iCs/>
                <w:sz w:val="24"/>
                <w:szCs w:val="24"/>
              </w:rPr>
              <w:t xml:space="preserve"> рынка</w:t>
            </w:r>
          </w:p>
        </w:tc>
        <w:tc>
          <w:tcPr>
            <w:tcW w:w="709" w:type="dxa"/>
            <w:vAlign w:val="center"/>
          </w:tcPr>
          <w:p w14:paraId="011D3BF0" w14:textId="5C1ACB07" w:rsidR="006E78A2"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35</w:t>
            </w:r>
          </w:p>
        </w:tc>
      </w:tr>
      <w:tr w:rsidR="000F3426" w:rsidRPr="002B5F1D" w14:paraId="5A3F6A9E" w14:textId="77777777">
        <w:trPr>
          <w:trHeight w:val="258"/>
        </w:trPr>
        <w:tc>
          <w:tcPr>
            <w:tcW w:w="8897" w:type="dxa"/>
            <w:vAlign w:val="center"/>
          </w:tcPr>
          <w:p w14:paraId="71C800F5" w14:textId="75DC0CFA" w:rsidR="000F3426" w:rsidRPr="00493AC0" w:rsidRDefault="000F3426" w:rsidP="002D4618">
            <w:pPr>
              <w:pStyle w:val="21"/>
              <w:widowControl w:val="0"/>
              <w:spacing w:after="0" w:line="240" w:lineRule="auto"/>
              <w:ind w:left="672" w:firstLine="37"/>
              <w:rPr>
                <w:rFonts w:ascii="Times New Roman" w:hAnsi="Times New Roman" w:cs="Times New Roman"/>
                <w:i/>
                <w:iCs/>
                <w:sz w:val="24"/>
                <w:szCs w:val="24"/>
              </w:rPr>
            </w:pPr>
            <w:r w:rsidRPr="00493AC0">
              <w:rPr>
                <w:rFonts w:ascii="Times New Roman" w:hAnsi="Times New Roman" w:cs="Times New Roman"/>
                <w:i/>
                <w:iCs/>
                <w:sz w:val="24"/>
                <w:szCs w:val="24"/>
              </w:rPr>
              <w:t>Регулирование микрофинансовых организаций</w:t>
            </w:r>
          </w:p>
        </w:tc>
        <w:tc>
          <w:tcPr>
            <w:tcW w:w="709" w:type="dxa"/>
            <w:vAlign w:val="center"/>
          </w:tcPr>
          <w:p w14:paraId="20D9AFF1" w14:textId="6D7D7030" w:rsidR="000F3426"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36</w:t>
            </w:r>
          </w:p>
        </w:tc>
      </w:tr>
      <w:tr w:rsidR="003C18BB" w:rsidRPr="002B5F1D" w14:paraId="3A4DE1E7" w14:textId="77777777">
        <w:trPr>
          <w:trHeight w:val="268"/>
        </w:trPr>
        <w:tc>
          <w:tcPr>
            <w:tcW w:w="8897" w:type="dxa"/>
            <w:vAlign w:val="center"/>
          </w:tcPr>
          <w:p w14:paraId="30E285CA" w14:textId="48D487AB" w:rsidR="003C18BB" w:rsidRPr="002B5F1D" w:rsidRDefault="003C18BB" w:rsidP="002D4618">
            <w:pPr>
              <w:pStyle w:val="21"/>
              <w:widowControl w:val="0"/>
              <w:spacing w:after="0" w:line="240" w:lineRule="auto"/>
              <w:ind w:left="672" w:hanging="388"/>
              <w:rPr>
                <w:rFonts w:ascii="Times New Roman" w:hAnsi="Times New Roman" w:cs="Times New Roman"/>
                <w:sz w:val="24"/>
                <w:szCs w:val="24"/>
              </w:rPr>
            </w:pPr>
            <w:r w:rsidRPr="002B5F1D">
              <w:rPr>
                <w:rFonts w:ascii="Times New Roman" w:hAnsi="Times New Roman" w:cs="Times New Roman"/>
                <w:sz w:val="24"/>
                <w:szCs w:val="24"/>
              </w:rPr>
              <w:t>2.</w:t>
            </w:r>
            <w:r w:rsidR="00736ADD">
              <w:rPr>
                <w:rFonts w:ascii="Times New Roman" w:hAnsi="Times New Roman" w:cs="Times New Roman"/>
                <w:sz w:val="24"/>
                <w:szCs w:val="24"/>
              </w:rPr>
              <w:t>5</w:t>
            </w:r>
            <w:r w:rsidRPr="002B5F1D">
              <w:rPr>
                <w:rFonts w:ascii="Times New Roman" w:hAnsi="Times New Roman" w:cs="Times New Roman"/>
                <w:sz w:val="24"/>
                <w:szCs w:val="24"/>
              </w:rPr>
              <w:t>. Валютное регулирование и валютный контроль</w:t>
            </w:r>
          </w:p>
        </w:tc>
        <w:tc>
          <w:tcPr>
            <w:tcW w:w="709" w:type="dxa"/>
            <w:vAlign w:val="center"/>
          </w:tcPr>
          <w:p w14:paraId="7D33764A" w14:textId="3F1B55EB"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37</w:t>
            </w:r>
          </w:p>
        </w:tc>
      </w:tr>
      <w:tr w:rsidR="003C18BB" w:rsidRPr="002B5F1D" w14:paraId="0C446B04" w14:textId="77777777">
        <w:trPr>
          <w:trHeight w:val="268"/>
        </w:trPr>
        <w:tc>
          <w:tcPr>
            <w:tcW w:w="8897" w:type="dxa"/>
            <w:vAlign w:val="center"/>
          </w:tcPr>
          <w:p w14:paraId="58E03FD8" w14:textId="23EA93E6" w:rsidR="003C18BB" w:rsidRPr="002B5F1D" w:rsidRDefault="00736ADD" w:rsidP="00615761">
            <w:pPr>
              <w:pStyle w:val="21"/>
              <w:widowControl w:val="0"/>
              <w:tabs>
                <w:tab w:val="left" w:pos="749"/>
              </w:tabs>
              <w:spacing w:after="0" w:line="240" w:lineRule="auto"/>
              <w:ind w:left="724" w:hanging="434"/>
              <w:rPr>
                <w:rFonts w:ascii="Times New Roman" w:hAnsi="Times New Roman" w:cs="Times New Roman"/>
                <w:sz w:val="24"/>
                <w:szCs w:val="24"/>
              </w:rPr>
            </w:pPr>
            <w:r>
              <w:rPr>
                <w:rFonts w:ascii="Times New Roman" w:hAnsi="Times New Roman" w:cs="Times New Roman"/>
                <w:sz w:val="24"/>
                <w:szCs w:val="24"/>
              </w:rPr>
              <w:t>2.6</w:t>
            </w:r>
            <w:r w:rsidR="003C18BB" w:rsidRPr="002B5F1D">
              <w:rPr>
                <w:rFonts w:ascii="Times New Roman" w:hAnsi="Times New Roman" w:cs="Times New Roman"/>
                <w:sz w:val="24"/>
                <w:szCs w:val="24"/>
              </w:rPr>
              <w:t xml:space="preserve">. </w:t>
            </w:r>
            <w:r w:rsidR="00870351" w:rsidRPr="002B5F1D">
              <w:rPr>
                <w:rFonts w:ascii="Times New Roman" w:hAnsi="Times New Roman" w:cs="Times New Roman"/>
                <w:sz w:val="24"/>
                <w:szCs w:val="24"/>
              </w:rPr>
              <w:t>П</w:t>
            </w:r>
            <w:r w:rsidR="003C18BB" w:rsidRPr="002B5F1D">
              <w:rPr>
                <w:rFonts w:ascii="Times New Roman" w:hAnsi="Times New Roman" w:cs="Times New Roman"/>
                <w:sz w:val="24"/>
                <w:szCs w:val="24"/>
              </w:rPr>
              <w:t>ротиводействи</w:t>
            </w:r>
            <w:r w:rsidR="00870351" w:rsidRPr="002B5F1D">
              <w:rPr>
                <w:rFonts w:ascii="Times New Roman" w:hAnsi="Times New Roman" w:cs="Times New Roman"/>
                <w:sz w:val="24"/>
                <w:szCs w:val="24"/>
              </w:rPr>
              <w:t>е</w:t>
            </w:r>
            <w:r w:rsidR="003C18BB" w:rsidRPr="002B5F1D">
              <w:rPr>
                <w:rFonts w:ascii="Times New Roman" w:hAnsi="Times New Roman" w:cs="Times New Roman"/>
                <w:sz w:val="24"/>
                <w:szCs w:val="24"/>
              </w:rPr>
              <w:t xml:space="preserve"> легализации </w:t>
            </w:r>
            <w:r>
              <w:rPr>
                <w:rFonts w:ascii="Times New Roman" w:hAnsi="Times New Roman" w:cs="Times New Roman"/>
                <w:sz w:val="24"/>
                <w:szCs w:val="24"/>
              </w:rPr>
              <w:t xml:space="preserve">(отмыванию) доходов, полученных </w:t>
            </w:r>
            <w:r w:rsidR="003C18BB" w:rsidRPr="002B5F1D">
              <w:rPr>
                <w:rFonts w:ascii="Times New Roman" w:hAnsi="Times New Roman" w:cs="Times New Roman"/>
                <w:sz w:val="24"/>
                <w:szCs w:val="24"/>
              </w:rPr>
              <w:t xml:space="preserve">преступным путём, и финансированию терроризма </w:t>
            </w:r>
          </w:p>
        </w:tc>
        <w:tc>
          <w:tcPr>
            <w:tcW w:w="709" w:type="dxa"/>
            <w:vAlign w:val="center"/>
          </w:tcPr>
          <w:p w14:paraId="2DFE3502" w14:textId="610F9889"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39</w:t>
            </w:r>
          </w:p>
        </w:tc>
      </w:tr>
      <w:tr w:rsidR="003C18BB" w:rsidRPr="002B5F1D" w14:paraId="44A5F2C2" w14:textId="77777777">
        <w:trPr>
          <w:trHeight w:val="258"/>
        </w:trPr>
        <w:tc>
          <w:tcPr>
            <w:tcW w:w="8897" w:type="dxa"/>
            <w:vAlign w:val="center"/>
          </w:tcPr>
          <w:p w14:paraId="37CA3166" w14:textId="3F1698E9" w:rsidR="003C18BB" w:rsidRPr="002B5F1D" w:rsidRDefault="00736ADD" w:rsidP="00615761">
            <w:pPr>
              <w:pStyle w:val="21"/>
              <w:widowControl w:val="0"/>
              <w:spacing w:after="0" w:line="240" w:lineRule="auto"/>
              <w:ind w:left="710" w:hanging="434"/>
              <w:rPr>
                <w:rFonts w:ascii="Times New Roman" w:hAnsi="Times New Roman" w:cs="Times New Roman"/>
                <w:sz w:val="24"/>
                <w:szCs w:val="24"/>
              </w:rPr>
            </w:pPr>
            <w:r>
              <w:rPr>
                <w:rFonts w:ascii="Times New Roman" w:hAnsi="Times New Roman" w:cs="Times New Roman"/>
                <w:sz w:val="24"/>
                <w:szCs w:val="24"/>
              </w:rPr>
              <w:t>2.7</w:t>
            </w:r>
            <w:r w:rsidR="003C18BB" w:rsidRPr="002B5F1D">
              <w:rPr>
                <w:rFonts w:ascii="Times New Roman" w:hAnsi="Times New Roman" w:cs="Times New Roman"/>
                <w:sz w:val="24"/>
                <w:szCs w:val="24"/>
              </w:rPr>
              <w:t>. Функционирование платёжной системы Приднестровского республиканского банка</w:t>
            </w:r>
          </w:p>
        </w:tc>
        <w:tc>
          <w:tcPr>
            <w:tcW w:w="709" w:type="dxa"/>
            <w:vAlign w:val="center"/>
          </w:tcPr>
          <w:p w14:paraId="62D5F1B1" w14:textId="2D1A842F"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40</w:t>
            </w:r>
          </w:p>
        </w:tc>
      </w:tr>
      <w:tr w:rsidR="003C18BB" w:rsidRPr="002B5F1D" w14:paraId="6AB67C82" w14:textId="77777777">
        <w:trPr>
          <w:trHeight w:val="258"/>
        </w:trPr>
        <w:tc>
          <w:tcPr>
            <w:tcW w:w="8897" w:type="dxa"/>
            <w:vAlign w:val="center"/>
          </w:tcPr>
          <w:p w14:paraId="2D5EE60D" w14:textId="7DBAE7CA" w:rsidR="003C18BB" w:rsidRPr="002B5F1D" w:rsidRDefault="00736ADD" w:rsidP="002D4618">
            <w:pPr>
              <w:pStyle w:val="21"/>
              <w:widowControl w:val="0"/>
              <w:spacing w:after="0" w:line="240" w:lineRule="auto"/>
              <w:ind w:left="672" w:hanging="388"/>
              <w:rPr>
                <w:rFonts w:ascii="Times New Roman" w:hAnsi="Times New Roman" w:cs="Times New Roman"/>
                <w:sz w:val="24"/>
                <w:szCs w:val="24"/>
              </w:rPr>
            </w:pPr>
            <w:r>
              <w:rPr>
                <w:rFonts w:ascii="Times New Roman" w:hAnsi="Times New Roman" w:cs="Times New Roman"/>
                <w:sz w:val="24"/>
                <w:szCs w:val="24"/>
              </w:rPr>
              <w:t>2.8</w:t>
            </w:r>
            <w:r w:rsidR="003C18BB" w:rsidRPr="002B5F1D">
              <w:rPr>
                <w:rFonts w:ascii="Times New Roman" w:hAnsi="Times New Roman" w:cs="Times New Roman"/>
                <w:sz w:val="24"/>
                <w:szCs w:val="24"/>
              </w:rPr>
              <w:t>. Организация наличного денежного обращения</w:t>
            </w:r>
          </w:p>
        </w:tc>
        <w:tc>
          <w:tcPr>
            <w:tcW w:w="709" w:type="dxa"/>
            <w:vAlign w:val="center"/>
          </w:tcPr>
          <w:p w14:paraId="2CAC57F1" w14:textId="35C5267F"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41</w:t>
            </w:r>
          </w:p>
        </w:tc>
      </w:tr>
      <w:tr w:rsidR="003C18BB" w:rsidRPr="002B5F1D" w14:paraId="237CBC6C" w14:textId="77777777">
        <w:trPr>
          <w:trHeight w:val="312"/>
        </w:trPr>
        <w:tc>
          <w:tcPr>
            <w:tcW w:w="8897" w:type="dxa"/>
            <w:vAlign w:val="center"/>
          </w:tcPr>
          <w:p w14:paraId="75D37DC3" w14:textId="24228F35" w:rsidR="003C18BB" w:rsidRPr="002B5F1D" w:rsidRDefault="00736ADD" w:rsidP="00DD0567">
            <w:pPr>
              <w:pStyle w:val="21"/>
              <w:widowControl w:val="0"/>
              <w:spacing w:before="0" w:after="0" w:line="240" w:lineRule="auto"/>
              <w:ind w:left="862" w:hanging="527"/>
              <w:rPr>
                <w:rFonts w:ascii="Times New Roman" w:hAnsi="Times New Roman" w:cs="Times New Roman"/>
                <w:sz w:val="24"/>
                <w:szCs w:val="24"/>
              </w:rPr>
            </w:pPr>
            <w:r>
              <w:rPr>
                <w:rFonts w:ascii="Times New Roman" w:hAnsi="Times New Roman" w:cs="Times New Roman"/>
                <w:sz w:val="24"/>
                <w:szCs w:val="24"/>
              </w:rPr>
              <w:lastRenderedPageBreak/>
              <w:t>2.9</w:t>
            </w:r>
            <w:r w:rsidR="003C18BB" w:rsidRPr="002B5F1D">
              <w:rPr>
                <w:rFonts w:ascii="Times New Roman" w:hAnsi="Times New Roman" w:cs="Times New Roman"/>
                <w:sz w:val="24"/>
                <w:szCs w:val="24"/>
              </w:rPr>
              <w:t>.</w:t>
            </w:r>
            <w:r w:rsidR="0057024D" w:rsidRPr="002B5F1D">
              <w:rPr>
                <w:rFonts w:ascii="Times New Roman" w:hAnsi="Times New Roman" w:cs="Times New Roman"/>
                <w:sz w:val="24"/>
                <w:szCs w:val="24"/>
              </w:rPr>
              <w:t xml:space="preserve"> </w:t>
            </w:r>
            <w:r w:rsidR="00615761">
              <w:rPr>
                <w:rFonts w:ascii="Times New Roman" w:hAnsi="Times New Roman" w:cs="Times New Roman"/>
                <w:sz w:val="24"/>
                <w:szCs w:val="24"/>
              </w:rPr>
              <w:t xml:space="preserve">  </w:t>
            </w:r>
            <w:r w:rsidR="00870351" w:rsidRPr="002B5F1D">
              <w:rPr>
                <w:rFonts w:ascii="Times New Roman" w:hAnsi="Times New Roman" w:cs="Times New Roman"/>
                <w:sz w:val="24"/>
                <w:szCs w:val="24"/>
              </w:rPr>
              <w:t xml:space="preserve">Совершенствование бухгалтерского учёта и отчётности кредитных и </w:t>
            </w:r>
            <w:r w:rsidR="00615761">
              <w:rPr>
                <w:rFonts w:ascii="Times New Roman" w:hAnsi="Times New Roman" w:cs="Times New Roman"/>
                <w:sz w:val="24"/>
                <w:szCs w:val="24"/>
              </w:rPr>
              <w:t xml:space="preserve"> </w:t>
            </w:r>
            <w:r w:rsidR="00870351" w:rsidRPr="002B5F1D">
              <w:rPr>
                <w:rFonts w:ascii="Times New Roman" w:hAnsi="Times New Roman" w:cs="Times New Roman"/>
                <w:sz w:val="24"/>
                <w:szCs w:val="24"/>
              </w:rPr>
              <w:t>страховых организаций</w:t>
            </w:r>
          </w:p>
        </w:tc>
        <w:tc>
          <w:tcPr>
            <w:tcW w:w="709" w:type="dxa"/>
            <w:vAlign w:val="center"/>
          </w:tcPr>
          <w:p w14:paraId="4D8C8951" w14:textId="0D867FB1" w:rsidR="003C18BB" w:rsidRPr="002B5F1D" w:rsidRDefault="00493AC0" w:rsidP="00DD0567">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w:t>
            </w:r>
            <w:r w:rsidR="00DD0567">
              <w:rPr>
                <w:rFonts w:ascii="Times New Roman" w:hAnsi="Times New Roman" w:cs="Times New Roman"/>
                <w:sz w:val="24"/>
                <w:szCs w:val="24"/>
              </w:rPr>
              <w:t>3</w:t>
            </w:r>
          </w:p>
        </w:tc>
      </w:tr>
      <w:tr w:rsidR="003C18BB" w:rsidRPr="002B5F1D" w14:paraId="4C2DB71D" w14:textId="77777777">
        <w:trPr>
          <w:trHeight w:val="312"/>
        </w:trPr>
        <w:tc>
          <w:tcPr>
            <w:tcW w:w="8897" w:type="dxa"/>
            <w:vAlign w:val="center"/>
          </w:tcPr>
          <w:p w14:paraId="03554677" w14:textId="1CFB19F8" w:rsidR="003C18BB" w:rsidRPr="002B5F1D" w:rsidRDefault="00736ADD" w:rsidP="00615761">
            <w:pPr>
              <w:pStyle w:val="21"/>
              <w:widowControl w:val="0"/>
              <w:spacing w:before="0" w:after="0" w:line="240" w:lineRule="auto"/>
              <w:ind w:left="891" w:hanging="567"/>
              <w:rPr>
                <w:rFonts w:ascii="Times New Roman" w:hAnsi="Times New Roman" w:cs="Times New Roman"/>
                <w:sz w:val="24"/>
                <w:szCs w:val="24"/>
              </w:rPr>
            </w:pPr>
            <w:r>
              <w:rPr>
                <w:rFonts w:ascii="Times New Roman" w:hAnsi="Times New Roman" w:cs="Times New Roman"/>
                <w:sz w:val="24"/>
                <w:szCs w:val="24"/>
              </w:rPr>
              <w:t>2.10</w:t>
            </w:r>
            <w:r w:rsidR="003C18BB" w:rsidRPr="002B5F1D">
              <w:rPr>
                <w:rFonts w:ascii="Times New Roman" w:hAnsi="Times New Roman" w:cs="Times New Roman"/>
                <w:sz w:val="24"/>
                <w:szCs w:val="24"/>
              </w:rPr>
              <w:t>.</w:t>
            </w:r>
            <w:r w:rsidR="0057024D" w:rsidRPr="002B5F1D">
              <w:rPr>
                <w:rFonts w:ascii="Times New Roman" w:hAnsi="Times New Roman" w:cs="Times New Roman"/>
                <w:sz w:val="24"/>
                <w:szCs w:val="24"/>
              </w:rPr>
              <w:t xml:space="preserve"> </w:t>
            </w:r>
            <w:r w:rsidR="00870351" w:rsidRPr="002B5F1D">
              <w:rPr>
                <w:rFonts w:ascii="Times New Roman" w:hAnsi="Times New Roman" w:cs="Times New Roman"/>
                <w:sz w:val="24"/>
                <w:szCs w:val="24"/>
              </w:rPr>
              <w:t>Взаимодействие Приднестровского республиканского банка с органами государственной власти</w:t>
            </w:r>
          </w:p>
        </w:tc>
        <w:tc>
          <w:tcPr>
            <w:tcW w:w="709" w:type="dxa"/>
            <w:vAlign w:val="center"/>
          </w:tcPr>
          <w:p w14:paraId="797D04CA" w14:textId="17530D81" w:rsidR="003C18BB" w:rsidRPr="002B5F1D" w:rsidRDefault="00493AC0" w:rsidP="00DD0567">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w:t>
            </w:r>
            <w:r w:rsidR="00DD0567">
              <w:rPr>
                <w:rFonts w:ascii="Times New Roman" w:hAnsi="Times New Roman" w:cs="Times New Roman"/>
                <w:sz w:val="24"/>
                <w:szCs w:val="24"/>
              </w:rPr>
              <w:t>4</w:t>
            </w:r>
          </w:p>
        </w:tc>
      </w:tr>
      <w:tr w:rsidR="003C18BB" w:rsidRPr="002B5F1D" w14:paraId="4A921B2A" w14:textId="77777777">
        <w:trPr>
          <w:trHeight w:val="312"/>
        </w:trPr>
        <w:tc>
          <w:tcPr>
            <w:tcW w:w="8897" w:type="dxa"/>
            <w:vAlign w:val="center"/>
          </w:tcPr>
          <w:p w14:paraId="10D6BC83" w14:textId="467F6938" w:rsidR="003C18BB" w:rsidRPr="002B5F1D" w:rsidRDefault="003C18BB" w:rsidP="00615761">
            <w:pPr>
              <w:pStyle w:val="21"/>
              <w:widowControl w:val="0"/>
              <w:spacing w:before="0" w:after="0" w:line="240" w:lineRule="auto"/>
              <w:ind w:left="891" w:hanging="567"/>
              <w:rPr>
                <w:rFonts w:ascii="Times New Roman" w:hAnsi="Times New Roman" w:cs="Times New Roman"/>
                <w:i/>
                <w:iCs/>
                <w:sz w:val="24"/>
                <w:szCs w:val="24"/>
              </w:rPr>
            </w:pPr>
            <w:r w:rsidRPr="002B5F1D">
              <w:rPr>
                <w:rFonts w:ascii="Times New Roman" w:hAnsi="Times New Roman" w:cs="Times New Roman"/>
                <w:sz w:val="24"/>
                <w:szCs w:val="24"/>
              </w:rPr>
              <w:t>2.1</w:t>
            </w:r>
            <w:r w:rsidR="00736ADD">
              <w:rPr>
                <w:rFonts w:ascii="Times New Roman" w:hAnsi="Times New Roman" w:cs="Times New Roman"/>
                <w:sz w:val="24"/>
                <w:szCs w:val="24"/>
              </w:rPr>
              <w:t>1</w:t>
            </w:r>
            <w:r w:rsidRPr="002B5F1D">
              <w:rPr>
                <w:rFonts w:ascii="Times New Roman" w:hAnsi="Times New Roman" w:cs="Times New Roman"/>
                <w:sz w:val="24"/>
                <w:szCs w:val="24"/>
              </w:rPr>
              <w:t>. Организация внутренней деятельности Приднестровского республиканского банка</w:t>
            </w:r>
          </w:p>
        </w:tc>
        <w:tc>
          <w:tcPr>
            <w:tcW w:w="709" w:type="dxa"/>
            <w:vAlign w:val="center"/>
          </w:tcPr>
          <w:p w14:paraId="190AB36D" w14:textId="384C438F" w:rsidR="003C18BB" w:rsidRPr="002B5F1D" w:rsidRDefault="00493AC0" w:rsidP="00DD0567">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w:t>
            </w:r>
            <w:r w:rsidR="00DD0567">
              <w:rPr>
                <w:rFonts w:ascii="Times New Roman" w:hAnsi="Times New Roman" w:cs="Times New Roman"/>
                <w:sz w:val="24"/>
                <w:szCs w:val="24"/>
              </w:rPr>
              <w:t>5</w:t>
            </w:r>
          </w:p>
        </w:tc>
      </w:tr>
      <w:tr w:rsidR="003C18BB" w:rsidRPr="002B5F1D" w14:paraId="735DC1FA" w14:textId="77777777">
        <w:trPr>
          <w:trHeight w:val="312"/>
        </w:trPr>
        <w:tc>
          <w:tcPr>
            <w:tcW w:w="8897" w:type="dxa"/>
            <w:vAlign w:val="center"/>
          </w:tcPr>
          <w:p w14:paraId="6228E76F" w14:textId="77777777" w:rsidR="003C18BB" w:rsidRPr="002B5F1D" w:rsidRDefault="003C18BB" w:rsidP="00615761">
            <w:pPr>
              <w:widowControl w:val="0"/>
              <w:spacing w:after="0" w:line="240" w:lineRule="auto"/>
              <w:ind w:left="891" w:hanging="14"/>
              <w:rPr>
                <w:rFonts w:ascii="Times New Roman" w:hAnsi="Times New Roman" w:cs="Times New Roman"/>
                <w:sz w:val="24"/>
                <w:szCs w:val="24"/>
              </w:rPr>
            </w:pPr>
            <w:r w:rsidRPr="002B5F1D">
              <w:rPr>
                <w:rFonts w:ascii="Times New Roman" w:hAnsi="Times New Roman" w:cs="Times New Roman"/>
                <w:i/>
                <w:iCs/>
                <w:sz w:val="24"/>
                <w:szCs w:val="24"/>
              </w:rPr>
              <w:t>Организационная структура</w:t>
            </w:r>
            <w:r w:rsidR="00870351" w:rsidRPr="002B5F1D">
              <w:rPr>
                <w:rFonts w:ascii="Times New Roman" w:hAnsi="Times New Roman" w:cs="Times New Roman"/>
                <w:i/>
                <w:iCs/>
                <w:sz w:val="24"/>
                <w:szCs w:val="24"/>
              </w:rPr>
              <w:t xml:space="preserve"> банка</w:t>
            </w:r>
            <w:r w:rsidRPr="002B5F1D">
              <w:rPr>
                <w:rFonts w:ascii="Times New Roman" w:hAnsi="Times New Roman" w:cs="Times New Roman"/>
                <w:i/>
                <w:iCs/>
                <w:sz w:val="24"/>
                <w:szCs w:val="24"/>
              </w:rPr>
              <w:t>, кадровое обеспечение и обучение персонала</w:t>
            </w:r>
          </w:p>
        </w:tc>
        <w:tc>
          <w:tcPr>
            <w:tcW w:w="709" w:type="dxa"/>
            <w:vAlign w:val="center"/>
          </w:tcPr>
          <w:p w14:paraId="56436A9C" w14:textId="6E326903" w:rsidR="003C18BB" w:rsidRPr="002B5F1D" w:rsidRDefault="00493AC0" w:rsidP="00DD0567">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w:t>
            </w:r>
            <w:r w:rsidR="00DD0567">
              <w:rPr>
                <w:rFonts w:ascii="Times New Roman" w:hAnsi="Times New Roman" w:cs="Times New Roman"/>
                <w:sz w:val="24"/>
                <w:szCs w:val="24"/>
              </w:rPr>
              <w:t>5</w:t>
            </w:r>
          </w:p>
        </w:tc>
      </w:tr>
      <w:tr w:rsidR="003C18BB" w:rsidRPr="002B5F1D" w14:paraId="470700E8" w14:textId="77777777">
        <w:trPr>
          <w:trHeight w:val="312"/>
        </w:trPr>
        <w:tc>
          <w:tcPr>
            <w:tcW w:w="8897" w:type="dxa"/>
            <w:vAlign w:val="center"/>
          </w:tcPr>
          <w:p w14:paraId="6EE795D2" w14:textId="77777777" w:rsidR="003C18BB" w:rsidRPr="002B5F1D" w:rsidRDefault="003C18BB" w:rsidP="00615761">
            <w:pPr>
              <w:widowControl w:val="0"/>
              <w:spacing w:after="0" w:line="240" w:lineRule="auto"/>
              <w:ind w:left="891" w:hanging="14"/>
              <w:rPr>
                <w:rFonts w:ascii="Times New Roman" w:hAnsi="Times New Roman" w:cs="Times New Roman"/>
                <w:sz w:val="24"/>
                <w:szCs w:val="24"/>
              </w:rPr>
            </w:pPr>
            <w:r w:rsidRPr="002B5F1D">
              <w:rPr>
                <w:rFonts w:ascii="Times New Roman" w:hAnsi="Times New Roman" w:cs="Times New Roman"/>
                <w:i/>
                <w:iCs/>
                <w:sz w:val="24"/>
                <w:szCs w:val="24"/>
              </w:rPr>
              <w:t>Техническое обеспечение</w:t>
            </w:r>
          </w:p>
        </w:tc>
        <w:tc>
          <w:tcPr>
            <w:tcW w:w="709" w:type="dxa"/>
            <w:vAlign w:val="center"/>
          </w:tcPr>
          <w:p w14:paraId="456B78D3" w14:textId="43670C9A" w:rsidR="003C18BB" w:rsidRPr="002B5F1D" w:rsidRDefault="00493AC0" w:rsidP="00DD0567">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w:t>
            </w:r>
            <w:r w:rsidR="00DD0567">
              <w:rPr>
                <w:rFonts w:ascii="Times New Roman" w:hAnsi="Times New Roman" w:cs="Times New Roman"/>
                <w:sz w:val="24"/>
                <w:szCs w:val="24"/>
              </w:rPr>
              <w:t>6</w:t>
            </w:r>
          </w:p>
        </w:tc>
      </w:tr>
      <w:tr w:rsidR="003C18BB" w:rsidRPr="002B5F1D" w14:paraId="100BD3F7" w14:textId="77777777">
        <w:trPr>
          <w:trHeight w:val="312"/>
        </w:trPr>
        <w:tc>
          <w:tcPr>
            <w:tcW w:w="8897" w:type="dxa"/>
            <w:vAlign w:val="center"/>
          </w:tcPr>
          <w:p w14:paraId="72BA9E58" w14:textId="77777777" w:rsidR="003C18BB" w:rsidRPr="002B5F1D" w:rsidRDefault="00870351" w:rsidP="00615761">
            <w:pPr>
              <w:widowControl w:val="0"/>
              <w:spacing w:after="0" w:line="240" w:lineRule="auto"/>
              <w:ind w:left="891" w:hanging="14"/>
              <w:rPr>
                <w:rFonts w:ascii="Times New Roman" w:hAnsi="Times New Roman" w:cs="Times New Roman"/>
                <w:sz w:val="24"/>
                <w:szCs w:val="24"/>
              </w:rPr>
            </w:pPr>
            <w:r w:rsidRPr="002B5F1D">
              <w:rPr>
                <w:rFonts w:ascii="Times New Roman" w:hAnsi="Times New Roman" w:cs="Times New Roman"/>
                <w:i/>
                <w:iCs/>
                <w:sz w:val="24"/>
                <w:szCs w:val="24"/>
              </w:rPr>
              <w:t>С</w:t>
            </w:r>
            <w:r w:rsidR="003C18BB" w:rsidRPr="002B5F1D">
              <w:rPr>
                <w:rFonts w:ascii="Times New Roman" w:hAnsi="Times New Roman" w:cs="Times New Roman"/>
                <w:i/>
                <w:iCs/>
                <w:sz w:val="24"/>
                <w:szCs w:val="24"/>
              </w:rPr>
              <w:t>овершенствовани</w:t>
            </w:r>
            <w:r w:rsidRPr="002B5F1D">
              <w:rPr>
                <w:rFonts w:ascii="Times New Roman" w:hAnsi="Times New Roman" w:cs="Times New Roman"/>
                <w:i/>
                <w:iCs/>
                <w:sz w:val="24"/>
                <w:szCs w:val="24"/>
              </w:rPr>
              <w:t>е</w:t>
            </w:r>
            <w:r w:rsidR="0027181C" w:rsidRPr="002B5F1D">
              <w:rPr>
                <w:rFonts w:ascii="Times New Roman" w:hAnsi="Times New Roman" w:cs="Times New Roman"/>
                <w:i/>
                <w:iCs/>
                <w:sz w:val="24"/>
                <w:szCs w:val="24"/>
              </w:rPr>
              <w:t xml:space="preserve"> </w:t>
            </w:r>
            <w:r w:rsidR="003C18BB" w:rsidRPr="002B5F1D">
              <w:rPr>
                <w:rFonts w:ascii="Times New Roman" w:hAnsi="Times New Roman" w:cs="Times New Roman"/>
                <w:i/>
                <w:iCs/>
                <w:sz w:val="24"/>
                <w:szCs w:val="24"/>
              </w:rPr>
              <w:t>законодательства. Претензионно-исковая работа</w:t>
            </w:r>
          </w:p>
        </w:tc>
        <w:tc>
          <w:tcPr>
            <w:tcW w:w="709" w:type="dxa"/>
            <w:vAlign w:val="center"/>
          </w:tcPr>
          <w:p w14:paraId="7C597C8B" w14:textId="2E54F01A"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46</w:t>
            </w:r>
          </w:p>
        </w:tc>
      </w:tr>
      <w:tr w:rsidR="00870351" w:rsidRPr="002B5F1D" w14:paraId="43169E84" w14:textId="77777777">
        <w:trPr>
          <w:trHeight w:val="312"/>
        </w:trPr>
        <w:tc>
          <w:tcPr>
            <w:tcW w:w="8897" w:type="dxa"/>
            <w:vAlign w:val="center"/>
          </w:tcPr>
          <w:p w14:paraId="30CF5AC3" w14:textId="77777777" w:rsidR="00870351" w:rsidRPr="002B5F1D" w:rsidRDefault="00870351" w:rsidP="00615761">
            <w:pPr>
              <w:widowControl w:val="0"/>
              <w:spacing w:after="0" w:line="240" w:lineRule="auto"/>
              <w:ind w:left="891"/>
              <w:rPr>
                <w:rFonts w:ascii="Times New Roman" w:hAnsi="Times New Roman" w:cs="Times New Roman"/>
                <w:i/>
                <w:iCs/>
                <w:sz w:val="24"/>
                <w:szCs w:val="24"/>
              </w:rPr>
            </w:pPr>
            <w:r w:rsidRPr="002B5F1D">
              <w:rPr>
                <w:rFonts w:ascii="Times New Roman" w:hAnsi="Times New Roman" w:cs="Times New Roman"/>
                <w:i/>
                <w:iCs/>
                <w:sz w:val="24"/>
                <w:szCs w:val="24"/>
              </w:rPr>
              <w:t>Управление рисками банковских операций</w:t>
            </w:r>
          </w:p>
        </w:tc>
        <w:tc>
          <w:tcPr>
            <w:tcW w:w="709" w:type="dxa"/>
            <w:vAlign w:val="center"/>
          </w:tcPr>
          <w:p w14:paraId="1DD9AEE1" w14:textId="503C1769" w:rsidR="00870351"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47</w:t>
            </w:r>
          </w:p>
        </w:tc>
      </w:tr>
      <w:tr w:rsidR="00870351" w:rsidRPr="002B5F1D" w14:paraId="512B1260" w14:textId="77777777">
        <w:trPr>
          <w:trHeight w:val="312"/>
        </w:trPr>
        <w:tc>
          <w:tcPr>
            <w:tcW w:w="8897" w:type="dxa"/>
            <w:vAlign w:val="center"/>
          </w:tcPr>
          <w:p w14:paraId="55CC114F" w14:textId="77777777" w:rsidR="00870351" w:rsidRPr="002B5F1D" w:rsidRDefault="00870351" w:rsidP="00615761">
            <w:pPr>
              <w:widowControl w:val="0"/>
              <w:spacing w:after="0" w:line="240" w:lineRule="auto"/>
              <w:ind w:left="891"/>
              <w:rPr>
                <w:rFonts w:ascii="Times New Roman" w:hAnsi="Times New Roman" w:cs="Times New Roman"/>
                <w:i/>
                <w:iCs/>
                <w:sz w:val="24"/>
                <w:szCs w:val="24"/>
              </w:rPr>
            </w:pPr>
            <w:r w:rsidRPr="002B5F1D">
              <w:rPr>
                <w:rFonts w:ascii="Times New Roman" w:hAnsi="Times New Roman" w:cs="Times New Roman"/>
                <w:i/>
                <w:iCs/>
                <w:sz w:val="24"/>
                <w:szCs w:val="24"/>
              </w:rPr>
              <w:t>Контроль и внутренний аудит</w:t>
            </w:r>
          </w:p>
        </w:tc>
        <w:tc>
          <w:tcPr>
            <w:tcW w:w="709" w:type="dxa"/>
            <w:vAlign w:val="center"/>
          </w:tcPr>
          <w:p w14:paraId="10C0D7FF" w14:textId="512583D6" w:rsidR="00870351"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w:t>
            </w:r>
            <w:r w:rsidR="007D0198">
              <w:rPr>
                <w:rFonts w:ascii="Times New Roman" w:hAnsi="Times New Roman" w:cs="Times New Roman"/>
                <w:sz w:val="24"/>
                <w:szCs w:val="24"/>
              </w:rPr>
              <w:t>8</w:t>
            </w:r>
          </w:p>
        </w:tc>
      </w:tr>
      <w:tr w:rsidR="003C18BB" w:rsidRPr="002B5F1D" w14:paraId="62AD7134" w14:textId="77777777">
        <w:trPr>
          <w:trHeight w:val="312"/>
        </w:trPr>
        <w:tc>
          <w:tcPr>
            <w:tcW w:w="8897" w:type="dxa"/>
            <w:vAlign w:val="center"/>
          </w:tcPr>
          <w:p w14:paraId="7C6CC450" w14:textId="77777777" w:rsidR="003C18BB" w:rsidRPr="002B5F1D" w:rsidRDefault="00182680" w:rsidP="00615761">
            <w:pPr>
              <w:widowControl w:val="0"/>
              <w:spacing w:after="0" w:line="240" w:lineRule="auto"/>
              <w:ind w:left="891"/>
              <w:rPr>
                <w:rFonts w:ascii="Times New Roman" w:hAnsi="Times New Roman" w:cs="Times New Roman"/>
                <w:i/>
                <w:iCs/>
                <w:sz w:val="24"/>
                <w:szCs w:val="24"/>
              </w:rPr>
            </w:pPr>
            <w:r w:rsidRPr="002B5F1D">
              <w:rPr>
                <w:rFonts w:ascii="Times New Roman" w:hAnsi="Times New Roman" w:cs="Times New Roman"/>
                <w:i/>
                <w:iCs/>
                <w:sz w:val="24"/>
                <w:szCs w:val="24"/>
              </w:rPr>
              <w:t>Информационно-разъяснительная деятельность</w:t>
            </w:r>
          </w:p>
        </w:tc>
        <w:tc>
          <w:tcPr>
            <w:tcW w:w="709" w:type="dxa"/>
            <w:vAlign w:val="center"/>
          </w:tcPr>
          <w:p w14:paraId="73B4304A" w14:textId="7E4780D6"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48</w:t>
            </w:r>
          </w:p>
        </w:tc>
      </w:tr>
      <w:tr w:rsidR="003C18BB" w:rsidRPr="002B5F1D" w14:paraId="5F76FDB6" w14:textId="77777777">
        <w:trPr>
          <w:trHeight w:val="312"/>
        </w:trPr>
        <w:tc>
          <w:tcPr>
            <w:tcW w:w="8897" w:type="dxa"/>
            <w:vAlign w:val="center"/>
          </w:tcPr>
          <w:p w14:paraId="32DCCE81" w14:textId="0C0A22AB" w:rsidR="003C18BB" w:rsidRPr="002B5F1D" w:rsidRDefault="003C18BB" w:rsidP="00615761">
            <w:pPr>
              <w:pStyle w:val="21"/>
              <w:widowControl w:val="0"/>
              <w:spacing w:after="0" w:line="240" w:lineRule="auto"/>
              <w:ind w:left="0"/>
              <w:rPr>
                <w:rFonts w:ascii="Times New Roman" w:hAnsi="Times New Roman" w:cs="Times New Roman"/>
                <w:b/>
                <w:bCs/>
                <w:sz w:val="24"/>
                <w:szCs w:val="24"/>
              </w:rPr>
            </w:pPr>
            <w:r w:rsidRPr="002B5F1D">
              <w:rPr>
                <w:rFonts w:ascii="Times New Roman" w:hAnsi="Times New Roman" w:cs="Times New Roman"/>
                <w:b/>
                <w:bCs/>
                <w:sz w:val="24"/>
                <w:szCs w:val="24"/>
              </w:rPr>
              <w:t xml:space="preserve">3. Основные </w:t>
            </w:r>
            <w:r w:rsidR="00D20A31" w:rsidRPr="002B5F1D">
              <w:rPr>
                <w:rFonts w:ascii="Times New Roman" w:hAnsi="Times New Roman" w:cs="Times New Roman"/>
                <w:b/>
                <w:bCs/>
                <w:sz w:val="24"/>
                <w:szCs w:val="24"/>
              </w:rPr>
              <w:t>нормативно-правовые акты</w:t>
            </w:r>
            <w:r w:rsidRPr="002B5F1D">
              <w:rPr>
                <w:rFonts w:ascii="Times New Roman" w:hAnsi="Times New Roman" w:cs="Times New Roman"/>
                <w:b/>
                <w:bCs/>
                <w:sz w:val="24"/>
                <w:szCs w:val="24"/>
              </w:rPr>
              <w:t xml:space="preserve"> Приднестровского республиканского банка, </w:t>
            </w:r>
            <w:r w:rsidR="00D20A31" w:rsidRPr="002B5F1D">
              <w:rPr>
                <w:rFonts w:ascii="Times New Roman" w:hAnsi="Times New Roman" w:cs="Times New Roman"/>
                <w:b/>
                <w:bCs/>
                <w:sz w:val="24"/>
                <w:szCs w:val="24"/>
              </w:rPr>
              <w:t>принятые</w:t>
            </w:r>
            <w:r w:rsidRPr="002B5F1D">
              <w:rPr>
                <w:rFonts w:ascii="Times New Roman" w:hAnsi="Times New Roman" w:cs="Times New Roman"/>
                <w:b/>
                <w:bCs/>
                <w:sz w:val="24"/>
                <w:szCs w:val="24"/>
              </w:rPr>
              <w:t xml:space="preserve"> в 20</w:t>
            </w:r>
            <w:r w:rsidR="00551048">
              <w:rPr>
                <w:rFonts w:ascii="Times New Roman" w:hAnsi="Times New Roman" w:cs="Times New Roman"/>
                <w:b/>
                <w:bCs/>
                <w:sz w:val="24"/>
                <w:szCs w:val="24"/>
              </w:rPr>
              <w:t>20</w:t>
            </w:r>
            <w:r w:rsidRPr="002B5F1D">
              <w:rPr>
                <w:rFonts w:ascii="Times New Roman" w:hAnsi="Times New Roman" w:cs="Times New Roman"/>
                <w:b/>
                <w:bCs/>
                <w:sz w:val="24"/>
                <w:szCs w:val="24"/>
              </w:rPr>
              <w:t xml:space="preserve"> году</w:t>
            </w:r>
          </w:p>
        </w:tc>
        <w:tc>
          <w:tcPr>
            <w:tcW w:w="709" w:type="dxa"/>
            <w:vAlign w:val="center"/>
          </w:tcPr>
          <w:p w14:paraId="5BEAF2F1" w14:textId="5234DEB7" w:rsidR="003C18BB" w:rsidRPr="002B5F1D" w:rsidRDefault="00493AC0" w:rsidP="002D4618">
            <w:pPr>
              <w:pStyle w:val="21"/>
              <w:widowControl w:val="0"/>
              <w:tabs>
                <w:tab w:val="left" w:pos="317"/>
              </w:tabs>
              <w:spacing w:after="0" w:line="240" w:lineRule="auto"/>
              <w:ind w:left="-108"/>
              <w:jc w:val="center"/>
              <w:rPr>
                <w:rFonts w:ascii="Times New Roman" w:hAnsi="Times New Roman" w:cs="Times New Roman"/>
                <w:b/>
                <w:bCs/>
                <w:sz w:val="24"/>
                <w:szCs w:val="24"/>
              </w:rPr>
            </w:pPr>
            <w:r>
              <w:rPr>
                <w:rFonts w:ascii="Times New Roman" w:hAnsi="Times New Roman" w:cs="Times New Roman"/>
                <w:b/>
                <w:bCs/>
                <w:sz w:val="24"/>
                <w:szCs w:val="24"/>
              </w:rPr>
              <w:t>50</w:t>
            </w:r>
          </w:p>
        </w:tc>
      </w:tr>
      <w:tr w:rsidR="003C18BB" w:rsidRPr="008E40A0" w14:paraId="67B02F46" w14:textId="77777777" w:rsidTr="00FD1356">
        <w:trPr>
          <w:trHeight w:val="250"/>
        </w:trPr>
        <w:tc>
          <w:tcPr>
            <w:tcW w:w="8897" w:type="dxa"/>
            <w:vAlign w:val="center"/>
          </w:tcPr>
          <w:p w14:paraId="40E6F332" w14:textId="5384926E" w:rsidR="00825E16" w:rsidRPr="005D38F2" w:rsidRDefault="00FD1356" w:rsidP="00825E16">
            <w:pPr>
              <w:jc w:val="both"/>
              <w:rPr>
                <w:rFonts w:ascii="Times New Roman" w:hAnsi="Times New Roman" w:cs="Times New Roman"/>
                <w:b/>
                <w:sz w:val="24"/>
                <w:szCs w:val="24"/>
              </w:rPr>
            </w:pPr>
            <w:r>
              <w:rPr>
                <w:rFonts w:ascii="Times New Roman" w:hAnsi="Times New Roman" w:cs="Times New Roman"/>
                <w:b/>
                <w:sz w:val="24"/>
                <w:szCs w:val="24"/>
              </w:rPr>
              <w:t>Приложения</w:t>
            </w:r>
          </w:p>
          <w:p w14:paraId="770C9B54" w14:textId="6194FE94" w:rsidR="00825E16" w:rsidRPr="00825E16" w:rsidRDefault="00825E16" w:rsidP="00825E16">
            <w:pPr>
              <w:pStyle w:val="21"/>
              <w:widowControl w:val="0"/>
              <w:spacing w:before="0" w:after="0" w:line="240" w:lineRule="auto"/>
              <w:ind w:left="890" w:hanging="567"/>
              <w:jc w:val="both"/>
              <w:rPr>
                <w:rFonts w:ascii="Times New Roman" w:hAnsi="Times New Roman" w:cs="Times New Roman"/>
                <w:sz w:val="24"/>
                <w:szCs w:val="24"/>
              </w:rPr>
            </w:pPr>
            <w:r w:rsidRPr="005D38F2">
              <w:rPr>
                <w:rFonts w:ascii="Times New Roman" w:hAnsi="Times New Roman" w:cs="Times New Roman"/>
                <w:sz w:val="24"/>
                <w:szCs w:val="24"/>
              </w:rPr>
              <w:t>1</w:t>
            </w:r>
            <w:r w:rsidRPr="00825E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25E16">
              <w:rPr>
                <w:rFonts w:ascii="Times New Roman" w:hAnsi="Times New Roman" w:cs="Times New Roman"/>
                <w:sz w:val="24"/>
                <w:szCs w:val="24"/>
              </w:rPr>
              <w:t>Отчёт об исполнении сметы доходов и расходов Приднестровского республиканского банка за 2020 год</w:t>
            </w:r>
          </w:p>
          <w:p w14:paraId="39AFE15F" w14:textId="77777777" w:rsidR="00825E16" w:rsidRPr="00825E16" w:rsidRDefault="00825E16" w:rsidP="00825E16">
            <w:pPr>
              <w:pStyle w:val="21"/>
              <w:widowControl w:val="0"/>
              <w:spacing w:before="0" w:after="0" w:line="240" w:lineRule="auto"/>
              <w:ind w:left="890" w:hanging="567"/>
              <w:jc w:val="both"/>
              <w:rPr>
                <w:rFonts w:ascii="Times New Roman" w:hAnsi="Times New Roman" w:cs="Times New Roman"/>
                <w:sz w:val="24"/>
                <w:szCs w:val="24"/>
              </w:rPr>
            </w:pPr>
            <w:r w:rsidRPr="00825E16">
              <w:rPr>
                <w:rFonts w:ascii="Times New Roman" w:hAnsi="Times New Roman" w:cs="Times New Roman"/>
                <w:sz w:val="24"/>
                <w:szCs w:val="24"/>
              </w:rPr>
              <w:t>2. Аудиторское заключение по годовой финансовой отчётности Приднестровского республиканского банка за 2020 год</w:t>
            </w:r>
          </w:p>
          <w:p w14:paraId="2B65DD18" w14:textId="5E189D18" w:rsidR="00825E16" w:rsidRPr="00825E16" w:rsidRDefault="00825E16" w:rsidP="00825E16">
            <w:pPr>
              <w:pStyle w:val="21"/>
              <w:widowControl w:val="0"/>
              <w:spacing w:before="0" w:after="0" w:line="240" w:lineRule="auto"/>
              <w:ind w:left="890" w:hanging="567"/>
              <w:jc w:val="both"/>
              <w:rPr>
                <w:rFonts w:ascii="Times New Roman" w:hAnsi="Times New Roman" w:cs="Times New Roman"/>
                <w:sz w:val="24"/>
                <w:szCs w:val="24"/>
              </w:rPr>
            </w:pPr>
            <w:r w:rsidRPr="00825E16">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825E16">
              <w:rPr>
                <w:rFonts w:ascii="Times New Roman" w:hAnsi="Times New Roman" w:cs="Times New Roman"/>
                <w:sz w:val="24"/>
                <w:szCs w:val="24"/>
              </w:rPr>
              <w:t xml:space="preserve">Финансовая отчётность Приднестровского республиканского банка за </w:t>
            </w:r>
            <w:r>
              <w:rPr>
                <w:rFonts w:ascii="Times New Roman" w:hAnsi="Times New Roman" w:cs="Times New Roman"/>
                <w:sz w:val="24"/>
                <w:szCs w:val="24"/>
              </w:rPr>
              <w:br/>
            </w:r>
            <w:r w:rsidRPr="00825E16">
              <w:rPr>
                <w:rFonts w:ascii="Times New Roman" w:hAnsi="Times New Roman" w:cs="Times New Roman"/>
                <w:sz w:val="24"/>
                <w:szCs w:val="24"/>
              </w:rPr>
              <w:t>2020 год</w:t>
            </w:r>
          </w:p>
          <w:p w14:paraId="7DDFA48D" w14:textId="1536E18B" w:rsidR="00825E16" w:rsidRPr="00825E16" w:rsidRDefault="00825E16" w:rsidP="00825E16">
            <w:pPr>
              <w:pStyle w:val="21"/>
              <w:widowControl w:val="0"/>
              <w:spacing w:before="0" w:after="0" w:line="240" w:lineRule="auto"/>
              <w:ind w:left="890" w:hanging="567"/>
              <w:jc w:val="both"/>
              <w:rPr>
                <w:rFonts w:ascii="Times New Roman" w:hAnsi="Times New Roman" w:cs="Times New Roman"/>
                <w:sz w:val="24"/>
                <w:szCs w:val="24"/>
              </w:rPr>
            </w:pPr>
            <w:r w:rsidRPr="00825E16">
              <w:rPr>
                <w:rFonts w:ascii="Times New Roman" w:hAnsi="Times New Roman" w:cs="Times New Roman"/>
                <w:sz w:val="24"/>
                <w:szCs w:val="24"/>
              </w:rPr>
              <w:t>4.</w:t>
            </w:r>
            <w:r>
              <w:rPr>
                <w:rFonts w:ascii="Times New Roman" w:hAnsi="Times New Roman" w:cs="Times New Roman"/>
                <w:sz w:val="24"/>
                <w:szCs w:val="24"/>
              </w:rPr>
              <w:t xml:space="preserve">    </w:t>
            </w:r>
            <w:r w:rsidRPr="00825E16">
              <w:rPr>
                <w:rFonts w:ascii="Times New Roman" w:hAnsi="Times New Roman" w:cs="Times New Roman"/>
                <w:sz w:val="24"/>
                <w:szCs w:val="24"/>
              </w:rPr>
              <w:t xml:space="preserve"> Заключение Счётной палаты Приднестровской Молдавской Республики по результатам проверки счетов и операций центрального банка Приднестровской Молдавской Республики (Приднестровского республиканского банка), на которые распространяется действие законодательства Приднестровской Молдавской Рес</w:t>
            </w:r>
            <w:r>
              <w:rPr>
                <w:rFonts w:ascii="Times New Roman" w:hAnsi="Times New Roman" w:cs="Times New Roman"/>
                <w:sz w:val="24"/>
                <w:szCs w:val="24"/>
              </w:rPr>
              <w:t>публики о государственной тайне</w:t>
            </w:r>
          </w:p>
          <w:p w14:paraId="72F01A1D" w14:textId="02A272DC" w:rsidR="003C18BB" w:rsidRPr="005D38F2" w:rsidRDefault="003C18BB" w:rsidP="00825E16">
            <w:pPr>
              <w:pStyle w:val="21"/>
              <w:widowControl w:val="0"/>
              <w:spacing w:before="0" w:after="0" w:line="240" w:lineRule="auto"/>
              <w:ind w:left="335" w:firstLine="527"/>
              <w:rPr>
                <w:rFonts w:ascii="Times New Roman" w:hAnsi="Times New Roman" w:cs="Times New Roman"/>
                <w:sz w:val="24"/>
                <w:szCs w:val="24"/>
              </w:rPr>
            </w:pPr>
          </w:p>
        </w:tc>
        <w:tc>
          <w:tcPr>
            <w:tcW w:w="709" w:type="dxa"/>
          </w:tcPr>
          <w:p w14:paraId="0026B310" w14:textId="66BB03E4" w:rsidR="003C18BB" w:rsidRPr="00FD1356" w:rsidRDefault="00FD1356" w:rsidP="00D833C2">
            <w:pPr>
              <w:pStyle w:val="21"/>
              <w:widowControl w:val="0"/>
              <w:tabs>
                <w:tab w:val="left" w:pos="317"/>
              </w:tabs>
              <w:spacing w:after="0" w:line="240" w:lineRule="auto"/>
              <w:ind w:left="-108"/>
              <w:jc w:val="center"/>
              <w:rPr>
                <w:rFonts w:ascii="Times New Roman" w:hAnsi="Times New Roman" w:cs="Times New Roman"/>
                <w:b/>
                <w:sz w:val="24"/>
                <w:szCs w:val="24"/>
              </w:rPr>
            </w:pPr>
            <w:r w:rsidRPr="00FD1356">
              <w:rPr>
                <w:rFonts w:ascii="Times New Roman" w:hAnsi="Times New Roman" w:cs="Times New Roman"/>
                <w:b/>
                <w:sz w:val="24"/>
                <w:szCs w:val="24"/>
              </w:rPr>
              <w:t>6</w:t>
            </w:r>
            <w:r w:rsidR="00D833C2">
              <w:rPr>
                <w:rFonts w:ascii="Times New Roman" w:hAnsi="Times New Roman" w:cs="Times New Roman"/>
                <w:b/>
                <w:sz w:val="24"/>
                <w:szCs w:val="24"/>
              </w:rPr>
              <w:t>2</w:t>
            </w:r>
          </w:p>
        </w:tc>
      </w:tr>
    </w:tbl>
    <w:p w14:paraId="6D126EB0" w14:textId="77777777" w:rsidR="008E40A0" w:rsidRDefault="008E40A0" w:rsidP="002D2B0D">
      <w:pPr>
        <w:jc w:val="center"/>
        <w:rPr>
          <w:b/>
          <w:bCs/>
          <w:sz w:val="28"/>
          <w:szCs w:val="28"/>
        </w:rPr>
      </w:pPr>
    </w:p>
    <w:p w14:paraId="772D517E" w14:textId="77777777" w:rsidR="008E40A0" w:rsidRDefault="008E40A0">
      <w:pPr>
        <w:rPr>
          <w:b/>
          <w:bCs/>
          <w:sz w:val="28"/>
          <w:szCs w:val="28"/>
        </w:rPr>
      </w:pPr>
      <w:r>
        <w:rPr>
          <w:b/>
          <w:bCs/>
          <w:sz w:val="28"/>
          <w:szCs w:val="28"/>
        </w:rPr>
        <w:br w:type="page"/>
      </w:r>
    </w:p>
    <w:p w14:paraId="09EC7C31" w14:textId="77777777" w:rsidR="003C18BB" w:rsidRPr="008E40A0" w:rsidRDefault="003C18BB" w:rsidP="008E40A0">
      <w:pPr>
        <w:spacing w:before="0" w:after="0" w:line="240" w:lineRule="auto"/>
        <w:jc w:val="center"/>
        <w:rPr>
          <w:rFonts w:ascii="Times New Roman" w:hAnsi="Times New Roman" w:cs="Times New Roman"/>
          <w:b/>
          <w:bCs/>
          <w:sz w:val="24"/>
          <w:szCs w:val="24"/>
        </w:rPr>
      </w:pPr>
      <w:r w:rsidRPr="00971C13">
        <w:rPr>
          <w:b/>
          <w:bCs/>
          <w:noProof/>
          <w:sz w:val="28"/>
          <w:szCs w:val="28"/>
        </w:rPr>
        <w:lastRenderedPageBreak/>
        <w:t>ВВЕДЕНИЕ</w:t>
      </w:r>
    </w:p>
    <w:p w14:paraId="4766E7B7" w14:textId="77777777" w:rsidR="001A30F0" w:rsidRPr="008E40A0" w:rsidRDefault="001A30F0" w:rsidP="001A30F0">
      <w:pPr>
        <w:widowControl w:val="0"/>
        <w:spacing w:before="120" w:after="0" w:line="240" w:lineRule="auto"/>
        <w:ind w:firstLine="425"/>
        <w:jc w:val="both"/>
        <w:rPr>
          <w:rFonts w:ascii="Times New Roman" w:hAnsi="Times New Roman" w:cs="Times New Roman"/>
          <w:sz w:val="24"/>
          <w:szCs w:val="24"/>
        </w:rPr>
      </w:pPr>
      <w:r w:rsidRPr="008E40A0">
        <w:rPr>
          <w:rFonts w:ascii="Times New Roman" w:hAnsi="Times New Roman" w:cs="Times New Roman"/>
          <w:sz w:val="24"/>
          <w:szCs w:val="24"/>
        </w:rPr>
        <w:t>Отчёт Приднестровского республиканского банка за 20</w:t>
      </w:r>
      <w:r>
        <w:rPr>
          <w:rFonts w:ascii="Times New Roman" w:hAnsi="Times New Roman" w:cs="Times New Roman"/>
          <w:sz w:val="24"/>
          <w:szCs w:val="24"/>
        </w:rPr>
        <w:t>20</w:t>
      </w:r>
      <w:r w:rsidRPr="008E40A0">
        <w:rPr>
          <w:rFonts w:ascii="Times New Roman" w:hAnsi="Times New Roman" w:cs="Times New Roman"/>
          <w:sz w:val="24"/>
          <w:szCs w:val="24"/>
        </w:rPr>
        <w:t xml:space="preserve"> год подготовлен в соответствии со статьёй 23 Закона Приднес</w:t>
      </w:r>
      <w:r>
        <w:rPr>
          <w:rFonts w:ascii="Times New Roman" w:hAnsi="Times New Roman" w:cs="Times New Roman"/>
          <w:sz w:val="24"/>
          <w:szCs w:val="24"/>
        </w:rPr>
        <w:t xml:space="preserve">тровской Молдавской Республики </w:t>
      </w:r>
      <w:r w:rsidRPr="008E40A0">
        <w:rPr>
          <w:rFonts w:ascii="Times New Roman" w:hAnsi="Times New Roman" w:cs="Times New Roman"/>
          <w:sz w:val="24"/>
          <w:szCs w:val="24"/>
        </w:rPr>
        <w:t xml:space="preserve">от 7 мая 2007 года </w:t>
      </w:r>
      <w:r>
        <w:rPr>
          <w:rFonts w:ascii="Times New Roman" w:hAnsi="Times New Roman" w:cs="Times New Roman"/>
          <w:sz w:val="24"/>
          <w:szCs w:val="24"/>
        </w:rPr>
        <w:br/>
      </w:r>
      <w:r w:rsidRPr="008E40A0">
        <w:rPr>
          <w:rFonts w:ascii="Times New Roman" w:hAnsi="Times New Roman" w:cs="Times New Roman"/>
          <w:sz w:val="24"/>
          <w:szCs w:val="24"/>
        </w:rPr>
        <w:t>№ 212-З-</w:t>
      </w:r>
      <w:r w:rsidRPr="008E40A0">
        <w:rPr>
          <w:rFonts w:ascii="Times New Roman" w:hAnsi="Times New Roman" w:cs="Times New Roman"/>
          <w:sz w:val="24"/>
          <w:szCs w:val="24"/>
          <w:lang w:val="en-US"/>
        </w:rPr>
        <w:t>IV</w:t>
      </w:r>
      <w:r w:rsidRPr="008E40A0">
        <w:rPr>
          <w:rFonts w:ascii="Times New Roman" w:hAnsi="Times New Roman" w:cs="Times New Roman"/>
          <w:sz w:val="24"/>
          <w:szCs w:val="24"/>
        </w:rPr>
        <w:t xml:space="preserve"> «О центральном банке Приднестровской Молдавской Республики», содержит анализ внешних и внутренних условий проведения денежно-кредитной политики и отражает основные результаты деятельности Приднестровского республиканского банка за отчётный период, включая годовую финансовую отчётность и аудиторское заключение по ней.</w:t>
      </w:r>
    </w:p>
    <w:p w14:paraId="5F7777F9" w14:textId="2BD93F13" w:rsidR="008C6E16" w:rsidRDefault="001A30F0" w:rsidP="001A30F0">
      <w:pPr>
        <w:spacing w:before="0" w:after="0" w:line="240" w:lineRule="auto"/>
        <w:ind w:firstLine="425"/>
        <w:jc w:val="both"/>
        <w:rPr>
          <w:rFonts w:ascii="Times New Roman" w:hAnsi="Times New Roman" w:cs="Times New Roman"/>
          <w:sz w:val="24"/>
          <w:szCs w:val="24"/>
        </w:rPr>
      </w:pPr>
      <w:r w:rsidRPr="0050654F">
        <w:rPr>
          <w:rFonts w:ascii="Times New Roman" w:hAnsi="Times New Roman" w:cs="Times New Roman"/>
          <w:sz w:val="24"/>
          <w:szCs w:val="24"/>
        </w:rPr>
        <w:t>Ключевым событием 2020 года, оказавшим влияние на макроэкономические условия, стал</w:t>
      </w:r>
      <w:r>
        <w:rPr>
          <w:rFonts w:ascii="Times New Roman" w:hAnsi="Times New Roman" w:cs="Times New Roman"/>
          <w:sz w:val="24"/>
          <w:szCs w:val="24"/>
        </w:rPr>
        <w:t>а</w:t>
      </w:r>
      <w:r w:rsidRPr="0050654F">
        <w:rPr>
          <w:rFonts w:ascii="Times New Roman" w:hAnsi="Times New Roman" w:cs="Times New Roman"/>
          <w:sz w:val="24"/>
          <w:szCs w:val="24"/>
        </w:rPr>
        <w:t xml:space="preserve"> пандеми</w:t>
      </w:r>
      <w:r>
        <w:rPr>
          <w:rFonts w:ascii="Times New Roman" w:hAnsi="Times New Roman" w:cs="Times New Roman"/>
          <w:sz w:val="24"/>
          <w:szCs w:val="24"/>
        </w:rPr>
        <w:t>я</w:t>
      </w:r>
      <w:r w:rsidRPr="0050654F">
        <w:rPr>
          <w:rFonts w:ascii="Times New Roman" w:hAnsi="Times New Roman" w:cs="Times New Roman"/>
          <w:sz w:val="24"/>
          <w:szCs w:val="24"/>
        </w:rPr>
        <w:t xml:space="preserve"> коронавирусной инфекции. </w:t>
      </w:r>
      <w:r w:rsidRPr="008C6E16">
        <w:rPr>
          <w:rFonts w:ascii="Times New Roman" w:hAnsi="Times New Roman" w:cs="Times New Roman"/>
          <w:sz w:val="24"/>
          <w:szCs w:val="24"/>
        </w:rPr>
        <w:t xml:space="preserve">Уникальная природа </w:t>
      </w:r>
      <w:r>
        <w:rPr>
          <w:rFonts w:ascii="Times New Roman" w:hAnsi="Times New Roman" w:cs="Times New Roman"/>
          <w:sz w:val="24"/>
          <w:szCs w:val="24"/>
        </w:rPr>
        <w:t>вызванного ею</w:t>
      </w:r>
      <w:r w:rsidRPr="008C6E16">
        <w:rPr>
          <w:rFonts w:ascii="Times New Roman" w:hAnsi="Times New Roman" w:cs="Times New Roman"/>
          <w:sz w:val="24"/>
          <w:szCs w:val="24"/>
        </w:rPr>
        <w:t xml:space="preserve"> кризиса, связанная с его распространением на всю мировую экономическую систему, обусловила масштабное сокращение деловой активности</w:t>
      </w:r>
      <w:r>
        <w:rPr>
          <w:rFonts w:ascii="Times New Roman" w:hAnsi="Times New Roman" w:cs="Times New Roman"/>
          <w:sz w:val="24"/>
          <w:szCs w:val="24"/>
        </w:rPr>
        <w:t xml:space="preserve"> и усугубило фактически начавшуюся ещё в </w:t>
      </w:r>
      <w:r w:rsidR="00DC16EC">
        <w:rPr>
          <w:rFonts w:ascii="Times New Roman" w:hAnsi="Times New Roman" w:cs="Times New Roman"/>
          <w:sz w:val="24"/>
          <w:szCs w:val="24"/>
        </w:rPr>
        <w:br/>
      </w:r>
      <w:r>
        <w:rPr>
          <w:rFonts w:ascii="Times New Roman" w:hAnsi="Times New Roman" w:cs="Times New Roman"/>
          <w:sz w:val="24"/>
          <w:szCs w:val="24"/>
        </w:rPr>
        <w:t>2019 году рецессию</w:t>
      </w:r>
      <w:r w:rsidRPr="008C6E16">
        <w:rPr>
          <w:rFonts w:ascii="Times New Roman" w:hAnsi="Times New Roman" w:cs="Times New Roman"/>
          <w:sz w:val="24"/>
          <w:szCs w:val="24"/>
        </w:rPr>
        <w:t xml:space="preserve">. </w:t>
      </w:r>
      <w:r>
        <w:rPr>
          <w:rFonts w:ascii="Times New Roman" w:hAnsi="Times New Roman" w:cs="Times New Roman"/>
          <w:sz w:val="24"/>
          <w:szCs w:val="24"/>
        </w:rPr>
        <w:t>Основными ф</w:t>
      </w:r>
      <w:r w:rsidRPr="008C6E16">
        <w:rPr>
          <w:rFonts w:ascii="Times New Roman" w:hAnsi="Times New Roman" w:cs="Times New Roman"/>
          <w:sz w:val="24"/>
          <w:szCs w:val="24"/>
        </w:rPr>
        <w:t xml:space="preserve">акторами, определившими итоги экономического развития </w:t>
      </w:r>
      <w:r>
        <w:rPr>
          <w:rFonts w:ascii="Times New Roman" w:hAnsi="Times New Roman" w:cs="Times New Roman"/>
          <w:sz w:val="24"/>
          <w:szCs w:val="24"/>
        </w:rPr>
        <w:t xml:space="preserve">Приднестровской Молдавской </w:t>
      </w:r>
      <w:r w:rsidRPr="008C6E16">
        <w:rPr>
          <w:rFonts w:ascii="Times New Roman" w:hAnsi="Times New Roman" w:cs="Times New Roman"/>
          <w:sz w:val="24"/>
          <w:szCs w:val="24"/>
        </w:rPr>
        <w:t>Республики в 2020 году, стали сжат</w:t>
      </w:r>
      <w:r>
        <w:rPr>
          <w:rFonts w:ascii="Times New Roman" w:hAnsi="Times New Roman" w:cs="Times New Roman"/>
          <w:sz w:val="24"/>
          <w:szCs w:val="24"/>
        </w:rPr>
        <w:t>ие</w:t>
      </w:r>
      <w:r w:rsidRPr="008C6E16">
        <w:rPr>
          <w:rFonts w:ascii="Times New Roman" w:hAnsi="Times New Roman" w:cs="Times New Roman"/>
          <w:sz w:val="24"/>
          <w:szCs w:val="24"/>
        </w:rPr>
        <w:t xml:space="preserve"> внешн</w:t>
      </w:r>
      <w:r>
        <w:rPr>
          <w:rFonts w:ascii="Times New Roman" w:hAnsi="Times New Roman" w:cs="Times New Roman"/>
          <w:sz w:val="24"/>
          <w:szCs w:val="24"/>
        </w:rPr>
        <w:t>его</w:t>
      </w:r>
      <w:r w:rsidRPr="008C6E16">
        <w:rPr>
          <w:rFonts w:ascii="Times New Roman" w:hAnsi="Times New Roman" w:cs="Times New Roman"/>
          <w:sz w:val="24"/>
          <w:szCs w:val="24"/>
        </w:rPr>
        <w:t xml:space="preserve"> и внутренн</w:t>
      </w:r>
      <w:r>
        <w:rPr>
          <w:rFonts w:ascii="Times New Roman" w:hAnsi="Times New Roman" w:cs="Times New Roman"/>
          <w:sz w:val="24"/>
          <w:szCs w:val="24"/>
        </w:rPr>
        <w:t>его</w:t>
      </w:r>
      <w:r w:rsidRPr="008C6E16">
        <w:rPr>
          <w:rFonts w:ascii="Times New Roman" w:hAnsi="Times New Roman" w:cs="Times New Roman"/>
          <w:sz w:val="24"/>
          <w:szCs w:val="24"/>
        </w:rPr>
        <w:t xml:space="preserve"> спрос</w:t>
      </w:r>
      <w:r>
        <w:rPr>
          <w:rFonts w:ascii="Times New Roman" w:hAnsi="Times New Roman" w:cs="Times New Roman"/>
          <w:sz w:val="24"/>
          <w:szCs w:val="24"/>
        </w:rPr>
        <w:t>а</w:t>
      </w:r>
      <w:r w:rsidRPr="008C6E16">
        <w:rPr>
          <w:rFonts w:ascii="Times New Roman" w:hAnsi="Times New Roman" w:cs="Times New Roman"/>
          <w:sz w:val="24"/>
          <w:szCs w:val="24"/>
        </w:rPr>
        <w:t xml:space="preserve">, </w:t>
      </w:r>
      <w:r>
        <w:rPr>
          <w:rFonts w:ascii="Times New Roman" w:hAnsi="Times New Roman" w:cs="Times New Roman"/>
          <w:sz w:val="24"/>
          <w:szCs w:val="24"/>
        </w:rPr>
        <w:t xml:space="preserve">нарушение логистических цепочек, </w:t>
      </w:r>
      <w:r w:rsidRPr="008C6E16">
        <w:rPr>
          <w:rFonts w:ascii="Times New Roman" w:hAnsi="Times New Roman" w:cs="Times New Roman"/>
          <w:sz w:val="24"/>
          <w:szCs w:val="24"/>
        </w:rPr>
        <w:t>падение стоимости топливно-энергетических товаров</w:t>
      </w:r>
      <w:r>
        <w:rPr>
          <w:rFonts w:ascii="Times New Roman" w:hAnsi="Times New Roman" w:cs="Times New Roman"/>
          <w:sz w:val="24"/>
          <w:szCs w:val="24"/>
        </w:rPr>
        <w:t>, девальвация национальных валют стран торговых партнёров Приднестровья.</w:t>
      </w:r>
      <w:r w:rsidRPr="008C6E16">
        <w:rPr>
          <w:rFonts w:ascii="Times New Roman" w:hAnsi="Times New Roman" w:cs="Times New Roman"/>
          <w:sz w:val="24"/>
          <w:szCs w:val="24"/>
        </w:rPr>
        <w:t xml:space="preserve"> </w:t>
      </w:r>
      <w:r>
        <w:rPr>
          <w:rFonts w:ascii="Times New Roman" w:hAnsi="Times New Roman" w:cs="Times New Roman"/>
          <w:sz w:val="24"/>
          <w:szCs w:val="24"/>
        </w:rPr>
        <w:t xml:space="preserve">При этом 2020 год обозначился небывалой засухой во всём черноморском регионе, в результате чего крайне неблагоприятные погодные условия обусловили большие потери в сельском хозяйстве, отразившись в негативной динамике ВВП и экспорта. </w:t>
      </w:r>
    </w:p>
    <w:p w14:paraId="5123D180" w14:textId="03A90C62" w:rsidR="00827FA9" w:rsidRPr="008E40A0" w:rsidRDefault="001A30F0" w:rsidP="001A30F0">
      <w:pPr>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Проведение денежной-кредитной политики в условиях неопределённости выхода из кризиса было нацелено на недопущение дестабилизации в финансовом секторе и усиления инфляционных процессов, на содействие наиболее мягкому прохождению кризиса экономическими субъектами и населением. С учётом сложившихся особенностей экономики, осознавая важность сохранения стабильной курсовой динамики, Банк Приднестровья в рамках режима таргетирования валютного курса</w:t>
      </w:r>
      <w:r w:rsidRPr="008E40A0">
        <w:rPr>
          <w:rFonts w:ascii="Times New Roman" w:hAnsi="Times New Roman" w:cs="Times New Roman"/>
          <w:sz w:val="24"/>
          <w:szCs w:val="24"/>
        </w:rPr>
        <w:t xml:space="preserve"> сохранял </w:t>
      </w:r>
      <w:r>
        <w:rPr>
          <w:rFonts w:ascii="Times New Roman" w:hAnsi="Times New Roman" w:cs="Times New Roman"/>
          <w:sz w:val="24"/>
          <w:szCs w:val="24"/>
        </w:rPr>
        <w:t>о</w:t>
      </w:r>
      <w:r w:rsidRPr="008E40A0">
        <w:rPr>
          <w:rFonts w:ascii="Times New Roman" w:hAnsi="Times New Roman" w:cs="Times New Roman"/>
          <w:sz w:val="24"/>
          <w:szCs w:val="24"/>
        </w:rPr>
        <w:t xml:space="preserve">фициальный курс доллара США в течение </w:t>
      </w:r>
      <w:r>
        <w:rPr>
          <w:rFonts w:ascii="Times New Roman" w:hAnsi="Times New Roman" w:cs="Times New Roman"/>
          <w:sz w:val="24"/>
          <w:szCs w:val="24"/>
        </w:rPr>
        <w:t>отчётного периода</w:t>
      </w:r>
      <w:r w:rsidRPr="008E40A0">
        <w:rPr>
          <w:rFonts w:ascii="Times New Roman" w:hAnsi="Times New Roman" w:cs="Times New Roman"/>
          <w:sz w:val="24"/>
          <w:szCs w:val="24"/>
        </w:rPr>
        <w:t xml:space="preserve"> на нижней границе </w:t>
      </w:r>
      <w:r>
        <w:rPr>
          <w:rFonts w:ascii="Times New Roman" w:hAnsi="Times New Roman" w:cs="Times New Roman"/>
          <w:sz w:val="24"/>
          <w:szCs w:val="24"/>
        </w:rPr>
        <w:t xml:space="preserve">целевого диапазона, установленного </w:t>
      </w:r>
      <w:r w:rsidRPr="008E40A0">
        <w:rPr>
          <w:rFonts w:ascii="Times New Roman" w:hAnsi="Times New Roman" w:cs="Times New Roman"/>
          <w:sz w:val="24"/>
          <w:szCs w:val="24"/>
        </w:rPr>
        <w:t>«Основными направлениями единой государственной денежно-кредитной политики на 20</w:t>
      </w:r>
      <w:r>
        <w:rPr>
          <w:rFonts w:ascii="Times New Roman" w:hAnsi="Times New Roman" w:cs="Times New Roman"/>
          <w:sz w:val="24"/>
          <w:szCs w:val="24"/>
        </w:rPr>
        <w:t>20</w:t>
      </w:r>
      <w:r w:rsidRPr="008E40A0">
        <w:rPr>
          <w:rFonts w:ascii="Times New Roman" w:hAnsi="Times New Roman" w:cs="Times New Roman"/>
          <w:sz w:val="24"/>
          <w:szCs w:val="24"/>
        </w:rPr>
        <w:t xml:space="preserve"> год»</w:t>
      </w:r>
      <w:r>
        <w:rPr>
          <w:rFonts w:ascii="Times New Roman" w:hAnsi="Times New Roman" w:cs="Times New Roman"/>
          <w:sz w:val="24"/>
          <w:szCs w:val="24"/>
        </w:rPr>
        <w:t xml:space="preserve"> </w:t>
      </w:r>
      <w:r>
        <w:rPr>
          <w:rFonts w:ascii="Times New Roman" w:hAnsi="Times New Roman" w:cs="Times New Roman"/>
          <w:sz w:val="24"/>
          <w:szCs w:val="24"/>
        </w:rPr>
        <w:br/>
        <w:t>(16,1-16,5 руб./долл.).</w:t>
      </w:r>
    </w:p>
    <w:p w14:paraId="3C58C06F" w14:textId="14FC032E" w:rsidR="00C470B2" w:rsidRDefault="001A30F0" w:rsidP="00C470B2">
      <w:pPr>
        <w:pStyle w:val="af9"/>
        <w:widowControl w:val="0"/>
        <w:spacing w:before="0" w:beforeAutospacing="0" w:after="0" w:afterAutospacing="0" w:line="240" w:lineRule="auto"/>
        <w:ind w:firstLine="425"/>
        <w:jc w:val="both"/>
        <w:rPr>
          <w:rFonts w:ascii="Times New Roman" w:hAnsi="Times New Roman" w:cs="Times New Roman"/>
        </w:rPr>
      </w:pPr>
      <w:r w:rsidRPr="008F1863">
        <w:rPr>
          <w:rFonts w:ascii="Times New Roman" w:hAnsi="Times New Roman" w:cs="Times New Roman"/>
        </w:rPr>
        <w:t>Ослабление валют стран с формирующимися рынками, многие из которых являются торговыми партнёрами Приднестровья, определил</w:t>
      </w:r>
      <w:r>
        <w:rPr>
          <w:rFonts w:ascii="Times New Roman" w:hAnsi="Times New Roman" w:cs="Times New Roman"/>
        </w:rPr>
        <w:t>о</w:t>
      </w:r>
      <w:r w:rsidRPr="008F1863">
        <w:rPr>
          <w:rFonts w:ascii="Times New Roman" w:hAnsi="Times New Roman" w:cs="Times New Roman"/>
        </w:rPr>
        <w:t xml:space="preserve"> по итогам 2020 года рост реального эффективного курса приднестровского рубля на 4,0%</w:t>
      </w:r>
      <w:r>
        <w:rPr>
          <w:rFonts w:ascii="Times New Roman" w:hAnsi="Times New Roman" w:cs="Times New Roman"/>
        </w:rPr>
        <w:t xml:space="preserve">, которое нивелировало его обесценение </w:t>
      </w:r>
      <w:r w:rsidRPr="008F1863">
        <w:rPr>
          <w:rFonts w:ascii="Times New Roman" w:hAnsi="Times New Roman" w:cs="Times New Roman"/>
        </w:rPr>
        <w:t>в 2019 году на 3,5%.</w:t>
      </w:r>
    </w:p>
    <w:p w14:paraId="2F06FAFC" w14:textId="11948897" w:rsidR="008F1863" w:rsidRPr="00C470B2" w:rsidRDefault="001A30F0" w:rsidP="00C105F2">
      <w:pPr>
        <w:pStyle w:val="af9"/>
        <w:widowControl w:val="0"/>
        <w:spacing w:before="0" w:beforeAutospacing="0" w:after="0" w:afterAutospacing="0" w:line="240" w:lineRule="auto"/>
        <w:ind w:firstLine="425"/>
        <w:jc w:val="both"/>
        <w:rPr>
          <w:rFonts w:ascii="Times New Roman" w:hAnsi="Times New Roman" w:cs="Times New Roman"/>
          <w:highlight w:val="yellow"/>
        </w:rPr>
      </w:pPr>
      <w:r w:rsidRPr="00C470B2">
        <w:rPr>
          <w:rFonts w:ascii="Times New Roman" w:hAnsi="Times New Roman" w:cs="Times New Roman"/>
        </w:rPr>
        <w:t>В рамках политики таргетирования валютного курса основным инструментом денежно-кредитной политики оставались валютные интервенции, проводимые в безналичной форме. Поставка иностранной валюты осуществлялась для импортёров с отсрочкой на 60 дней, для нетто-экспортёров – день в день. Спрос клиентов удовлетворялся в полном объёме.</w:t>
      </w:r>
    </w:p>
    <w:p w14:paraId="4CB40C22" w14:textId="0CC9056B" w:rsidR="00BD054C" w:rsidRDefault="001A30F0" w:rsidP="00BD054C">
      <w:pPr>
        <w:spacing w:before="0" w:after="0" w:line="240" w:lineRule="auto"/>
        <w:ind w:firstLine="425"/>
        <w:jc w:val="both"/>
        <w:rPr>
          <w:rFonts w:ascii="Times New Roman" w:hAnsi="Times New Roman" w:cs="Times New Roman"/>
          <w:sz w:val="24"/>
          <w:szCs w:val="24"/>
        </w:rPr>
      </w:pPr>
      <w:r w:rsidRPr="00BD054C">
        <w:rPr>
          <w:rFonts w:ascii="Times New Roman" w:hAnsi="Times New Roman" w:cs="Times New Roman"/>
          <w:sz w:val="24"/>
          <w:szCs w:val="24"/>
        </w:rPr>
        <w:t xml:space="preserve">На фоне стагнации в экономике, снижения инвестиционного и потребительского спроса, 2020 год характеризовался замедлением темпов инфляции до минимального за последние </w:t>
      </w:r>
      <w:r>
        <w:rPr>
          <w:rFonts w:ascii="Times New Roman" w:hAnsi="Times New Roman" w:cs="Times New Roman"/>
          <w:sz w:val="24"/>
          <w:szCs w:val="24"/>
        </w:rPr>
        <w:br/>
      </w:r>
      <w:r w:rsidRPr="00BD054C">
        <w:rPr>
          <w:rFonts w:ascii="Times New Roman" w:hAnsi="Times New Roman" w:cs="Times New Roman"/>
          <w:sz w:val="24"/>
          <w:szCs w:val="24"/>
        </w:rPr>
        <w:t>10 лет значения – 1,5% (4,7% в 2019 году)</w:t>
      </w:r>
      <w:r>
        <w:rPr>
          <w:rFonts w:ascii="Times New Roman" w:hAnsi="Times New Roman" w:cs="Times New Roman"/>
          <w:sz w:val="24"/>
          <w:szCs w:val="24"/>
        </w:rPr>
        <w:t xml:space="preserve">. </w:t>
      </w:r>
      <w:r w:rsidRPr="00BD054C">
        <w:rPr>
          <w:rFonts w:ascii="Times New Roman" w:hAnsi="Times New Roman" w:cs="Times New Roman"/>
          <w:sz w:val="24"/>
          <w:szCs w:val="24"/>
        </w:rPr>
        <w:t>Влияние административных и сезонных факторов по-прежнему превалировало над денежными: «небазовая» инфляция составила 2,2% (7,7% годом ранее), базовая – 0,9% (2,9% соответственно)</w:t>
      </w:r>
      <w:r>
        <w:rPr>
          <w:rFonts w:ascii="Times New Roman" w:hAnsi="Times New Roman" w:cs="Times New Roman"/>
          <w:sz w:val="24"/>
          <w:szCs w:val="24"/>
        </w:rPr>
        <w:t>.</w:t>
      </w:r>
    </w:p>
    <w:p w14:paraId="465D940A" w14:textId="77777777" w:rsidR="001A30F0" w:rsidRDefault="001A30F0" w:rsidP="00C105F2">
      <w:pPr>
        <w:spacing w:before="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color w:val="000000"/>
          <w:sz w:val="24"/>
          <w:szCs w:val="24"/>
        </w:rPr>
        <w:t>В 2020 году в рамках повышения финансовой устойчивости кредитных организаций и реализации предусмотренных законодательством целей развития и поддержания стаби</w:t>
      </w:r>
      <w:r>
        <w:rPr>
          <w:rFonts w:ascii="Times New Roman" w:eastAsia="Times New Roman" w:hAnsi="Times New Roman" w:cs="Times New Roman"/>
          <w:color w:val="000000"/>
          <w:sz w:val="24"/>
          <w:szCs w:val="24"/>
        </w:rPr>
        <w:t xml:space="preserve">льности финансового сектора </w:t>
      </w:r>
      <w:r w:rsidRPr="00AE725A">
        <w:rPr>
          <w:rFonts w:ascii="Times New Roman" w:eastAsia="Times New Roman" w:hAnsi="Times New Roman" w:cs="Times New Roman"/>
          <w:color w:val="000000"/>
          <w:sz w:val="24"/>
          <w:szCs w:val="24"/>
        </w:rPr>
        <w:t>продолжена работа по совершенствованию банковского и страхового регулирования</w:t>
      </w:r>
      <w:r>
        <w:rPr>
          <w:rFonts w:ascii="Times New Roman" w:eastAsia="Times New Roman" w:hAnsi="Times New Roman" w:cs="Times New Roman"/>
          <w:color w:val="000000"/>
          <w:sz w:val="24"/>
          <w:szCs w:val="24"/>
        </w:rPr>
        <w:t xml:space="preserve">, проведены мероприятия в части </w:t>
      </w:r>
      <w:r w:rsidRPr="00B174AF">
        <w:rPr>
          <w:rFonts w:ascii="Times New Roman" w:hAnsi="Times New Roman" w:cs="Times New Roman"/>
          <w:sz w:val="24"/>
          <w:szCs w:val="24"/>
        </w:rPr>
        <w:t xml:space="preserve">глобальных усовершенствований в </w:t>
      </w:r>
      <w:r>
        <w:rPr>
          <w:rFonts w:ascii="Times New Roman" w:hAnsi="Times New Roman" w:cs="Times New Roman"/>
          <w:sz w:val="24"/>
          <w:szCs w:val="24"/>
        </w:rPr>
        <w:t xml:space="preserve">области регулирования </w:t>
      </w:r>
      <w:r w:rsidRPr="00B174AF">
        <w:rPr>
          <w:rFonts w:ascii="Times New Roman" w:hAnsi="Times New Roman" w:cs="Times New Roman"/>
          <w:sz w:val="24"/>
          <w:szCs w:val="24"/>
        </w:rPr>
        <w:t>мик</w:t>
      </w:r>
      <w:r>
        <w:rPr>
          <w:rFonts w:ascii="Times New Roman" w:hAnsi="Times New Roman" w:cs="Times New Roman"/>
          <w:sz w:val="24"/>
          <w:szCs w:val="24"/>
        </w:rPr>
        <w:t>рофинансовой деятельности</w:t>
      </w:r>
      <w:r>
        <w:rPr>
          <w:rFonts w:ascii="Times New Roman" w:eastAsia="Times New Roman" w:hAnsi="Times New Roman" w:cs="Times New Roman"/>
          <w:color w:val="000000"/>
          <w:sz w:val="24"/>
          <w:szCs w:val="24"/>
        </w:rPr>
        <w:t>. В</w:t>
      </w:r>
      <w:r w:rsidRPr="00AE725A">
        <w:rPr>
          <w:rFonts w:ascii="Times New Roman" w:eastAsia="Times New Roman" w:hAnsi="Times New Roman" w:cs="Times New Roman"/>
          <w:sz w:val="24"/>
          <w:szCs w:val="24"/>
        </w:rPr>
        <w:t xml:space="preserve"> связи с введением на территории </w:t>
      </w:r>
      <w:r>
        <w:rPr>
          <w:rFonts w:ascii="Times New Roman" w:hAnsi="Times New Roman" w:cs="Times New Roman"/>
          <w:sz w:val="24"/>
          <w:szCs w:val="24"/>
        </w:rPr>
        <w:t>Приднестровской Молдавской Республики</w:t>
      </w:r>
      <w:r w:rsidRPr="00AE725A">
        <w:rPr>
          <w:rFonts w:ascii="Times New Roman" w:eastAsia="Times New Roman" w:hAnsi="Times New Roman" w:cs="Times New Roman"/>
          <w:sz w:val="24"/>
          <w:szCs w:val="24"/>
        </w:rPr>
        <w:t xml:space="preserve"> ограничительных мероприятий по предотвращению распространения коронавирусной инфекции</w:t>
      </w:r>
      <w:r>
        <w:rPr>
          <w:rFonts w:ascii="Times New Roman" w:eastAsia="Times New Roman" w:hAnsi="Times New Roman" w:cs="Times New Roman"/>
          <w:sz w:val="24"/>
          <w:szCs w:val="24"/>
        </w:rPr>
        <w:t xml:space="preserve"> центральным банком </w:t>
      </w:r>
      <w:r w:rsidRPr="00AE725A">
        <w:rPr>
          <w:rFonts w:ascii="Times New Roman" w:eastAsia="Times New Roman" w:hAnsi="Times New Roman" w:cs="Times New Roman"/>
          <w:sz w:val="24"/>
          <w:szCs w:val="24"/>
        </w:rPr>
        <w:t xml:space="preserve">приняты </w:t>
      </w:r>
      <w:r w:rsidRPr="00433BAA">
        <w:rPr>
          <w:rFonts w:ascii="Times New Roman" w:eastAsia="Times New Roman" w:hAnsi="Times New Roman" w:cs="Times New Roman"/>
          <w:sz w:val="24"/>
          <w:szCs w:val="24"/>
        </w:rPr>
        <w:lastRenderedPageBreak/>
        <w:t>меры, в том числе регуляторного характера, способствующие адаптации финансовой системы и экономики к новым реалиям и обеспечению финансовой стабильности.</w:t>
      </w:r>
    </w:p>
    <w:p w14:paraId="7CB23110" w14:textId="77777777" w:rsidR="001A30F0" w:rsidRPr="00433BAA" w:rsidRDefault="001A30F0" w:rsidP="001A30F0">
      <w:pPr>
        <w:spacing w:before="0" w:after="0" w:line="240" w:lineRule="auto"/>
        <w:ind w:firstLine="425"/>
        <w:jc w:val="both"/>
        <w:rPr>
          <w:rFonts w:ascii="Times New Roman" w:hAnsi="Times New Roman" w:cs="Times New Roman"/>
          <w:sz w:val="24"/>
          <w:szCs w:val="24"/>
        </w:rPr>
      </w:pPr>
      <w:r w:rsidRPr="00433BAA">
        <w:rPr>
          <w:rFonts w:ascii="Times New Roman" w:hAnsi="Times New Roman" w:cs="Times New Roman"/>
          <w:sz w:val="24"/>
          <w:szCs w:val="24"/>
        </w:rPr>
        <w:t>Повышению доступности платёжных услуг, предоставляемых банковской системой, расширению безналичных розничных платежей способствовало активное развитие и совершенствование платёжной системы республики. В последней четверти года стартовал проект внедрения на территории республики единой платёжной системы «Клевер», призванный объединить в себе две действующие локальные системы с целью оптимизации и повышения качества и эффективности услуг финансового посредничества.</w:t>
      </w:r>
    </w:p>
    <w:p w14:paraId="0E9C843D" w14:textId="77777777" w:rsidR="001A30F0" w:rsidRDefault="001A30F0" w:rsidP="001A30F0">
      <w:pPr>
        <w:spacing w:before="0" w:after="0" w:line="240" w:lineRule="auto"/>
        <w:ind w:firstLine="425"/>
        <w:jc w:val="both"/>
        <w:rPr>
          <w:rFonts w:ascii="Times New Roman" w:hAnsi="Times New Roman" w:cs="Times New Roman"/>
          <w:sz w:val="24"/>
          <w:szCs w:val="24"/>
        </w:rPr>
      </w:pPr>
      <w:r w:rsidRPr="00433BAA">
        <w:rPr>
          <w:rFonts w:ascii="Times New Roman" w:hAnsi="Times New Roman" w:cs="Times New Roman"/>
          <w:sz w:val="24"/>
          <w:szCs w:val="24"/>
        </w:rPr>
        <w:t>В целях анализа ситуации и финансового состояния в индустриальном и аграрном секторе,</w:t>
      </w:r>
      <w:r>
        <w:rPr>
          <w:rFonts w:ascii="Times New Roman" w:hAnsi="Times New Roman" w:cs="Times New Roman"/>
          <w:sz w:val="24"/>
          <w:szCs w:val="24"/>
        </w:rPr>
        <w:t xml:space="preserve"> а также в сегменте малого бизнеса</w:t>
      </w:r>
      <w:r w:rsidRPr="004C3B7E">
        <w:rPr>
          <w:rFonts w:ascii="Times New Roman" w:hAnsi="Times New Roman" w:cs="Times New Roman"/>
          <w:sz w:val="24"/>
          <w:szCs w:val="24"/>
        </w:rPr>
        <w:t xml:space="preserve">, </w:t>
      </w:r>
      <w:r>
        <w:rPr>
          <w:rFonts w:ascii="Times New Roman" w:hAnsi="Times New Roman" w:cs="Times New Roman"/>
          <w:sz w:val="24"/>
          <w:szCs w:val="24"/>
        </w:rPr>
        <w:t xml:space="preserve">определения </w:t>
      </w:r>
      <w:r w:rsidRPr="00181209">
        <w:rPr>
          <w:rFonts w:ascii="Times New Roman" w:hAnsi="Times New Roman" w:cs="Times New Roman"/>
          <w:sz w:val="24"/>
          <w:szCs w:val="24"/>
        </w:rPr>
        <w:t xml:space="preserve">основных тенденций </w:t>
      </w:r>
      <w:r>
        <w:rPr>
          <w:rFonts w:ascii="Times New Roman" w:hAnsi="Times New Roman" w:cs="Times New Roman"/>
          <w:sz w:val="24"/>
          <w:szCs w:val="24"/>
        </w:rPr>
        <w:t xml:space="preserve">и </w:t>
      </w:r>
      <w:r w:rsidRPr="004C3B7E">
        <w:rPr>
          <w:rFonts w:ascii="Times New Roman" w:hAnsi="Times New Roman" w:cs="Times New Roman"/>
          <w:sz w:val="24"/>
          <w:szCs w:val="24"/>
        </w:rPr>
        <w:t xml:space="preserve">прогнозных оценок </w:t>
      </w:r>
      <w:r>
        <w:rPr>
          <w:rFonts w:ascii="Times New Roman" w:hAnsi="Times New Roman" w:cs="Times New Roman"/>
          <w:sz w:val="24"/>
          <w:szCs w:val="24"/>
        </w:rPr>
        <w:t xml:space="preserve">их </w:t>
      </w:r>
      <w:r w:rsidRPr="004C3B7E">
        <w:rPr>
          <w:rFonts w:ascii="Times New Roman" w:hAnsi="Times New Roman" w:cs="Times New Roman"/>
          <w:sz w:val="24"/>
          <w:szCs w:val="24"/>
        </w:rPr>
        <w:t>деятельности</w:t>
      </w:r>
      <w:r w:rsidRPr="00181209">
        <w:rPr>
          <w:rFonts w:ascii="Times New Roman" w:hAnsi="Times New Roman" w:cs="Times New Roman"/>
          <w:sz w:val="24"/>
          <w:szCs w:val="24"/>
        </w:rPr>
        <w:t xml:space="preserve"> на краткосрочную перспективу</w:t>
      </w:r>
      <w:r>
        <w:rPr>
          <w:rFonts w:ascii="Times New Roman" w:hAnsi="Times New Roman" w:cs="Times New Roman"/>
          <w:sz w:val="24"/>
          <w:szCs w:val="24"/>
        </w:rPr>
        <w:t xml:space="preserve">, </w:t>
      </w:r>
      <w:r w:rsidRPr="00181209">
        <w:rPr>
          <w:rFonts w:ascii="Times New Roman" w:hAnsi="Times New Roman" w:cs="Times New Roman"/>
          <w:sz w:val="24"/>
          <w:szCs w:val="24"/>
        </w:rPr>
        <w:t>Приднестровским республиканским банком проводился регулярный мониторинг структурообразующих предприятий республики в соответствующей отрасли (секторе) экономики.</w:t>
      </w:r>
      <w:r>
        <w:rPr>
          <w:rFonts w:ascii="Times New Roman" w:hAnsi="Times New Roman" w:cs="Times New Roman"/>
          <w:sz w:val="24"/>
          <w:szCs w:val="24"/>
        </w:rPr>
        <w:t xml:space="preserve"> Начиная с апреля в практику были внедрены ежемесячные ёмкие опросы крупных организаций промышленности, а затем и сферы услуг. Итогом проводимых опросов является расчёт опережающих экономических индикаторов и публикация аналитических материалов на официальном сайте банка.</w:t>
      </w:r>
    </w:p>
    <w:p w14:paraId="2589CF4F" w14:textId="77777777" w:rsidR="001A30F0" w:rsidRPr="00181209" w:rsidRDefault="001A30F0" w:rsidP="001A30F0">
      <w:pPr>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Д</w:t>
      </w:r>
      <w:r w:rsidRPr="00A73BDD">
        <w:rPr>
          <w:rFonts w:ascii="Times New Roman" w:hAnsi="Times New Roman" w:cs="Times New Roman"/>
          <w:sz w:val="24"/>
          <w:szCs w:val="24"/>
        </w:rPr>
        <w:t xml:space="preserve">ля измерения основных показателей, характеризующих оценки населением сложившегося и ожидаемого уровня инфляции, а также анализа доступности финансовых услуг Приднестровским республиканским банком </w:t>
      </w:r>
      <w:r>
        <w:rPr>
          <w:rFonts w:ascii="Times New Roman" w:hAnsi="Times New Roman" w:cs="Times New Roman"/>
          <w:sz w:val="24"/>
          <w:szCs w:val="24"/>
        </w:rPr>
        <w:t xml:space="preserve">с привлечением </w:t>
      </w:r>
      <w:r w:rsidRPr="00A73BDD">
        <w:rPr>
          <w:rFonts w:ascii="Times New Roman" w:hAnsi="Times New Roman" w:cs="Times New Roman"/>
          <w:sz w:val="24"/>
          <w:szCs w:val="24"/>
        </w:rPr>
        <w:t>РОО НЦАИ «Новый Век»</w:t>
      </w:r>
      <w:r>
        <w:rPr>
          <w:rFonts w:ascii="Times New Roman" w:hAnsi="Times New Roman" w:cs="Times New Roman"/>
          <w:sz w:val="24"/>
          <w:szCs w:val="24"/>
        </w:rPr>
        <w:t xml:space="preserve"> </w:t>
      </w:r>
      <w:r w:rsidRPr="00A73BDD">
        <w:rPr>
          <w:rFonts w:ascii="Times New Roman" w:hAnsi="Times New Roman" w:cs="Times New Roman"/>
          <w:sz w:val="24"/>
          <w:szCs w:val="24"/>
        </w:rPr>
        <w:t xml:space="preserve">на ежеквартальной основе </w:t>
      </w:r>
      <w:r w:rsidRPr="00181209">
        <w:rPr>
          <w:rFonts w:ascii="Times New Roman" w:hAnsi="Times New Roman" w:cs="Times New Roman"/>
          <w:sz w:val="24"/>
          <w:szCs w:val="24"/>
        </w:rPr>
        <w:t>проводились социологические опросы</w:t>
      </w:r>
      <w:r>
        <w:rPr>
          <w:rFonts w:ascii="Times New Roman" w:hAnsi="Times New Roman" w:cs="Times New Roman"/>
          <w:sz w:val="24"/>
          <w:szCs w:val="24"/>
        </w:rPr>
        <w:t xml:space="preserve"> граждан в городах и районах республики. </w:t>
      </w:r>
    </w:p>
    <w:p w14:paraId="32E2D78D" w14:textId="77777777" w:rsidR="001A30F0" w:rsidRPr="0054657D" w:rsidRDefault="001A30F0" w:rsidP="001A30F0">
      <w:pPr>
        <w:spacing w:before="0" w:after="0" w:line="240" w:lineRule="auto"/>
        <w:ind w:firstLine="425"/>
        <w:jc w:val="both"/>
        <w:rPr>
          <w:rFonts w:ascii="Times New Roman" w:hAnsi="Times New Roman" w:cs="Times New Roman"/>
          <w:sz w:val="24"/>
          <w:szCs w:val="24"/>
        </w:rPr>
      </w:pPr>
      <w:r w:rsidRPr="00181209">
        <w:rPr>
          <w:rFonts w:ascii="Times New Roman" w:hAnsi="Times New Roman" w:cs="Times New Roman"/>
          <w:sz w:val="24"/>
          <w:szCs w:val="24"/>
        </w:rPr>
        <w:t>В целях обеспечения прозрачности деятельности центрального банка и повышения информированности всех заинтересованных лиц о социально-экономической ситуации в Приднестровье и мире</w:t>
      </w:r>
      <w:r>
        <w:rPr>
          <w:rFonts w:ascii="Times New Roman" w:hAnsi="Times New Roman" w:cs="Times New Roman"/>
          <w:sz w:val="24"/>
          <w:szCs w:val="24"/>
        </w:rPr>
        <w:t>, об основных аспектах проводимой денежно-кредитной политики</w:t>
      </w:r>
      <w:r w:rsidRPr="00181209">
        <w:rPr>
          <w:rFonts w:ascii="Times New Roman" w:hAnsi="Times New Roman" w:cs="Times New Roman"/>
          <w:sz w:val="24"/>
          <w:szCs w:val="24"/>
        </w:rPr>
        <w:t xml:space="preserve"> в 2020 году в информационно-аналитическом издании «Вестник ПРБ» и на официальном сайте </w:t>
      </w:r>
      <w:r>
        <w:rPr>
          <w:rFonts w:ascii="Times New Roman" w:hAnsi="Times New Roman" w:cs="Times New Roman"/>
          <w:sz w:val="24"/>
          <w:szCs w:val="24"/>
        </w:rPr>
        <w:t xml:space="preserve">банка </w:t>
      </w:r>
      <w:r w:rsidRPr="00181209">
        <w:rPr>
          <w:rFonts w:ascii="Times New Roman" w:hAnsi="Times New Roman" w:cs="Times New Roman"/>
          <w:sz w:val="24"/>
          <w:szCs w:val="24"/>
        </w:rPr>
        <w:t>размещались аналитические</w:t>
      </w:r>
      <w:r>
        <w:rPr>
          <w:rFonts w:ascii="Times New Roman" w:hAnsi="Times New Roman" w:cs="Times New Roman"/>
          <w:sz w:val="24"/>
          <w:szCs w:val="24"/>
        </w:rPr>
        <w:t>,</w:t>
      </w:r>
      <w:r w:rsidRPr="00181209">
        <w:rPr>
          <w:rFonts w:ascii="Times New Roman" w:hAnsi="Times New Roman" w:cs="Times New Roman"/>
          <w:sz w:val="24"/>
          <w:szCs w:val="24"/>
        </w:rPr>
        <w:t xml:space="preserve"> статистические </w:t>
      </w:r>
      <w:r>
        <w:rPr>
          <w:rFonts w:ascii="Times New Roman" w:hAnsi="Times New Roman" w:cs="Times New Roman"/>
          <w:sz w:val="24"/>
          <w:szCs w:val="24"/>
        </w:rPr>
        <w:t xml:space="preserve">и просветительские </w:t>
      </w:r>
      <w:r w:rsidRPr="00181209">
        <w:rPr>
          <w:rFonts w:ascii="Times New Roman" w:hAnsi="Times New Roman" w:cs="Times New Roman"/>
          <w:sz w:val="24"/>
          <w:szCs w:val="24"/>
        </w:rPr>
        <w:t xml:space="preserve">материалы, пресс-релизы и выступления в СМИ руководителей банка. С целью расширения взаимодействия центрального банка с представителями бизнеса и гражданами республики, анализа доступности финансовых услуг, предоставляемых в банковском и страховом секторах, Банк Приднестровья </w:t>
      </w:r>
      <w:r w:rsidRPr="00403906">
        <w:rPr>
          <w:rFonts w:ascii="Times New Roman" w:hAnsi="Times New Roman" w:cs="Times New Roman"/>
          <w:sz w:val="24"/>
          <w:szCs w:val="24"/>
        </w:rPr>
        <w:t>поддерживал</w:t>
      </w:r>
      <w:r w:rsidRPr="00181209">
        <w:rPr>
          <w:rFonts w:ascii="Times New Roman" w:hAnsi="Times New Roman" w:cs="Times New Roman"/>
          <w:sz w:val="24"/>
          <w:szCs w:val="24"/>
        </w:rPr>
        <w:t xml:space="preserve"> дополнительный канал обратной связи через мессенджеры Viber, Telegram, WhatsApp.</w:t>
      </w:r>
    </w:p>
    <w:p w14:paraId="12BF9117" w14:textId="77777777" w:rsidR="002355E4" w:rsidRPr="008E40A0" w:rsidRDefault="002355E4" w:rsidP="0054657D">
      <w:pPr>
        <w:spacing w:before="0" w:after="0" w:line="240" w:lineRule="auto"/>
        <w:ind w:firstLine="425"/>
        <w:jc w:val="both"/>
        <w:rPr>
          <w:rFonts w:ascii="Times New Roman" w:hAnsi="Times New Roman" w:cs="Times New Roman"/>
          <w:sz w:val="24"/>
          <w:szCs w:val="24"/>
        </w:rPr>
      </w:pPr>
    </w:p>
    <w:p w14:paraId="5A2DE6E9" w14:textId="4B2DB6AA" w:rsidR="00041331" w:rsidRDefault="00041331" w:rsidP="00041331">
      <w:pPr>
        <w:ind w:firstLine="425"/>
        <w:jc w:val="both"/>
        <w:rPr>
          <w:sz w:val="24"/>
        </w:rPr>
      </w:pPr>
    </w:p>
    <w:p w14:paraId="33C56B74" w14:textId="77777777" w:rsidR="001A30F0" w:rsidRDefault="001A30F0" w:rsidP="00041331">
      <w:pPr>
        <w:ind w:firstLine="425"/>
        <w:jc w:val="both"/>
        <w:rPr>
          <w:sz w:val="24"/>
        </w:rPr>
      </w:pPr>
    </w:p>
    <w:p w14:paraId="2D709B20" w14:textId="77777777" w:rsidR="004D7D79" w:rsidRDefault="004D7D79" w:rsidP="000D5444">
      <w:pPr>
        <w:widowControl w:val="0"/>
        <w:ind w:firstLine="425"/>
        <w:jc w:val="center"/>
        <w:rPr>
          <w:b/>
          <w:bCs/>
          <w:noProof/>
          <w:sz w:val="28"/>
          <w:szCs w:val="28"/>
        </w:rPr>
      </w:pPr>
    </w:p>
    <w:p w14:paraId="53FBD871" w14:textId="17195600" w:rsidR="004D7D79" w:rsidRDefault="004D7D79" w:rsidP="000D5444">
      <w:pPr>
        <w:widowControl w:val="0"/>
        <w:ind w:firstLine="425"/>
        <w:jc w:val="center"/>
        <w:rPr>
          <w:b/>
          <w:bCs/>
          <w:noProof/>
          <w:sz w:val="28"/>
          <w:szCs w:val="28"/>
        </w:rPr>
      </w:pPr>
    </w:p>
    <w:p w14:paraId="4204ECAE" w14:textId="77777777" w:rsidR="00EC7E6D" w:rsidRDefault="00EC7E6D" w:rsidP="000D5444">
      <w:pPr>
        <w:widowControl w:val="0"/>
        <w:ind w:firstLine="425"/>
        <w:jc w:val="center"/>
        <w:rPr>
          <w:b/>
          <w:bCs/>
          <w:noProof/>
          <w:sz w:val="28"/>
          <w:szCs w:val="28"/>
        </w:rPr>
      </w:pPr>
    </w:p>
    <w:p w14:paraId="7FAB3B44" w14:textId="77777777" w:rsidR="004D7D79" w:rsidRDefault="004D7D79" w:rsidP="000D5444">
      <w:pPr>
        <w:widowControl w:val="0"/>
        <w:ind w:firstLine="425"/>
        <w:jc w:val="center"/>
        <w:rPr>
          <w:b/>
          <w:bCs/>
          <w:noProof/>
          <w:sz w:val="28"/>
          <w:szCs w:val="28"/>
        </w:rPr>
      </w:pPr>
    </w:p>
    <w:p w14:paraId="670DA633" w14:textId="77777777" w:rsidR="004D7D79" w:rsidRDefault="004D7D79" w:rsidP="000D5444">
      <w:pPr>
        <w:widowControl w:val="0"/>
        <w:ind w:firstLine="425"/>
        <w:jc w:val="center"/>
        <w:rPr>
          <w:b/>
          <w:bCs/>
          <w:noProof/>
          <w:sz w:val="28"/>
          <w:szCs w:val="28"/>
        </w:rPr>
      </w:pPr>
    </w:p>
    <w:p w14:paraId="11ADCE2B" w14:textId="77777777" w:rsidR="004D7D79" w:rsidRDefault="004D7D79" w:rsidP="000D5444">
      <w:pPr>
        <w:widowControl w:val="0"/>
        <w:ind w:firstLine="425"/>
        <w:jc w:val="center"/>
        <w:rPr>
          <w:b/>
          <w:bCs/>
          <w:noProof/>
          <w:sz w:val="28"/>
          <w:szCs w:val="28"/>
        </w:rPr>
      </w:pPr>
    </w:p>
    <w:p w14:paraId="26462A4C" w14:textId="18C586B5" w:rsidR="003C18BB" w:rsidRPr="00CE57B8" w:rsidRDefault="003C18BB" w:rsidP="00E550E7">
      <w:pPr>
        <w:widowControl w:val="0"/>
        <w:jc w:val="center"/>
        <w:rPr>
          <w:b/>
          <w:bCs/>
          <w:noProof/>
          <w:sz w:val="28"/>
          <w:szCs w:val="28"/>
        </w:rPr>
      </w:pPr>
      <w:r w:rsidRPr="00CE57B8">
        <w:rPr>
          <w:b/>
          <w:bCs/>
          <w:noProof/>
          <w:sz w:val="28"/>
          <w:szCs w:val="28"/>
        </w:rPr>
        <w:lastRenderedPageBreak/>
        <w:t>РАЗДЕЛ 1. ЭКОНОМИЧЕСКОЕ И ФИНАНСОВОЕ ПОЛОЖЕНИЕ ПРИДНЕСТРОВСКОЙ МОЛДАВСКОЙ РЕСПУБЛИКИ В 20</w:t>
      </w:r>
      <w:r w:rsidR="00551048" w:rsidRPr="00CE57B8">
        <w:rPr>
          <w:b/>
          <w:bCs/>
          <w:noProof/>
          <w:sz w:val="28"/>
          <w:szCs w:val="28"/>
        </w:rPr>
        <w:t>20</w:t>
      </w:r>
      <w:r w:rsidRPr="00CE57B8">
        <w:rPr>
          <w:b/>
          <w:bCs/>
          <w:noProof/>
          <w:sz w:val="28"/>
          <w:szCs w:val="28"/>
        </w:rPr>
        <w:t xml:space="preserve"> ГОДУ </w:t>
      </w:r>
    </w:p>
    <w:p w14:paraId="6CD175C8" w14:textId="77777777" w:rsidR="004D7D79" w:rsidRPr="00CE57B8" w:rsidRDefault="004D7D79" w:rsidP="000D5444">
      <w:pPr>
        <w:widowControl w:val="0"/>
        <w:ind w:firstLine="425"/>
        <w:jc w:val="center"/>
        <w:rPr>
          <w:b/>
          <w:bCs/>
          <w:noProof/>
          <w:sz w:val="24"/>
          <w:szCs w:val="24"/>
        </w:rPr>
      </w:pPr>
    </w:p>
    <w:p w14:paraId="3AA06122" w14:textId="081FC255" w:rsidR="003C18BB" w:rsidRPr="00CE57B8" w:rsidRDefault="003248C9" w:rsidP="00822F2A">
      <w:pPr>
        <w:pStyle w:val="1"/>
        <w:widowControl w:val="0"/>
        <w:numPr>
          <w:ilvl w:val="1"/>
          <w:numId w:val="1"/>
        </w:numPr>
        <w:spacing w:before="0" w:line="240" w:lineRule="auto"/>
        <w:jc w:val="center"/>
        <w:rPr>
          <w:b/>
          <w:bCs/>
          <w:noProof/>
          <w:sz w:val="24"/>
          <w:szCs w:val="24"/>
        </w:rPr>
      </w:pPr>
      <w:r w:rsidRPr="00CE57B8">
        <w:rPr>
          <w:b/>
          <w:bCs/>
          <w:noProof/>
          <w:sz w:val="24"/>
          <w:szCs w:val="24"/>
        </w:rPr>
        <w:t xml:space="preserve">ВНЕШНИЕ УСЛОВИЯ: </w:t>
      </w:r>
      <w:r w:rsidR="003C18BB" w:rsidRPr="00CE57B8">
        <w:rPr>
          <w:b/>
          <w:bCs/>
          <w:noProof/>
          <w:sz w:val="24"/>
          <w:szCs w:val="24"/>
        </w:rPr>
        <w:t xml:space="preserve">МИРОВАЯ ЭКОНОМИКА И </w:t>
      </w:r>
      <w:r w:rsidRPr="00CE57B8">
        <w:rPr>
          <w:b/>
          <w:bCs/>
          <w:noProof/>
          <w:sz w:val="24"/>
          <w:szCs w:val="24"/>
        </w:rPr>
        <w:t xml:space="preserve">МЕЖДУНАРОДНЫЕ </w:t>
      </w:r>
      <w:r w:rsidR="003C18BB" w:rsidRPr="00CE57B8">
        <w:rPr>
          <w:b/>
          <w:bCs/>
          <w:noProof/>
          <w:sz w:val="24"/>
          <w:szCs w:val="24"/>
        </w:rPr>
        <w:t>РЫНКИ</w:t>
      </w:r>
    </w:p>
    <w:p w14:paraId="35BB2959" w14:textId="185137B7" w:rsidR="004D7D79" w:rsidRPr="00CE57B8" w:rsidRDefault="004D7D79" w:rsidP="00D26C44">
      <w:pPr>
        <w:spacing w:before="0" w:after="0" w:line="240" w:lineRule="auto"/>
        <w:ind w:firstLine="425"/>
        <w:jc w:val="both"/>
        <w:rPr>
          <w:rFonts w:ascii="Times New Roman" w:hAnsi="Times New Roman" w:cs="Times New Roman"/>
          <w:sz w:val="12"/>
          <w:szCs w:val="12"/>
        </w:rPr>
      </w:pPr>
    </w:p>
    <w:p w14:paraId="2C812E21" w14:textId="77777777" w:rsidR="001A30F0" w:rsidRPr="00CE57B8" w:rsidRDefault="001A30F0" w:rsidP="001A30F0">
      <w:pPr>
        <w:spacing w:before="0" w:after="0" w:line="240" w:lineRule="auto"/>
        <w:ind w:left="11" w:firstLine="425"/>
        <w:jc w:val="both"/>
        <w:rPr>
          <w:rFonts w:ascii="Times New Roman" w:hAnsi="Times New Roman" w:cs="Times New Roman"/>
          <w:color w:val="FF0000"/>
          <w:sz w:val="24"/>
          <w:szCs w:val="24"/>
        </w:rPr>
      </w:pPr>
      <w:r w:rsidRPr="00CE57B8">
        <w:rPr>
          <w:rFonts w:ascii="Times New Roman" w:hAnsi="Times New Roman" w:cs="Times New Roman"/>
          <w:sz w:val="24"/>
          <w:szCs w:val="24"/>
        </w:rPr>
        <w:t xml:space="preserve">Объявленная 11 марта 2020 года пандемия коронавирусной инфекции нанесла ущерб большей части глобальной экономики, сказавшись в первую очередь на транспортной индустрии, туризме, сфере развлечений, сегменте непродуктового ритейла и услуг и, следовательно, на малом и среднем бизнесе. Впоследствии кризис затронул и добывающие отрасли. Снижение ВВП в странах </w:t>
      </w:r>
      <w:r>
        <w:rPr>
          <w:rFonts w:ascii="Times New Roman" w:hAnsi="Times New Roman" w:cs="Times New Roman"/>
          <w:sz w:val="24"/>
          <w:szCs w:val="24"/>
          <w:lang w:val="en-US"/>
        </w:rPr>
        <w:t>G</w:t>
      </w:r>
      <w:r w:rsidRPr="001C01D7">
        <w:rPr>
          <w:rFonts w:ascii="Times New Roman" w:hAnsi="Times New Roman" w:cs="Times New Roman"/>
          <w:sz w:val="24"/>
          <w:szCs w:val="24"/>
        </w:rPr>
        <w:t>20</w:t>
      </w:r>
      <w:r w:rsidRPr="00CE57B8">
        <w:rPr>
          <w:rFonts w:ascii="Times New Roman" w:hAnsi="Times New Roman" w:cs="Times New Roman"/>
          <w:sz w:val="24"/>
          <w:szCs w:val="24"/>
        </w:rPr>
        <w:t xml:space="preserve"> во II квартале 2020 года – в период усиления карантинных ограничений – составило около -10% г/г. Дополнительное давление оказал срыв сделки ОПЕК+, который привёл к падению нефтяных котировок до минимальных исторических уровней. Центробанки мира отреагировали на кризис беспрецедентными монетарными стимулами, которые были призваны смягчить удар по наиболее пострадавшим секторам, населению и экономике в целом. </w:t>
      </w:r>
      <w:r>
        <w:rPr>
          <w:rFonts w:ascii="Times New Roman" w:hAnsi="Times New Roman" w:cs="Times New Roman"/>
          <w:sz w:val="24"/>
          <w:szCs w:val="24"/>
        </w:rPr>
        <w:t>С другой стороны, это отразилось в существенном росте государственного долга и опасении многих экспертов относительно перспектив его последующего финансирования и усиления инфляционного давления.</w:t>
      </w:r>
    </w:p>
    <w:p w14:paraId="14B33FA2" w14:textId="77777777" w:rsidR="001A30F0" w:rsidRPr="00CE57B8" w:rsidRDefault="001A30F0" w:rsidP="001A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425"/>
        <w:jc w:val="both"/>
        <w:rPr>
          <w:rFonts w:ascii="Sylfaen" w:eastAsia="Times New Roman" w:hAnsi="Sylfaen" w:cs="Times New Roman"/>
          <w:color w:val="000000"/>
          <w:sz w:val="22"/>
          <w:szCs w:val="22"/>
        </w:rPr>
      </w:pPr>
      <w:r w:rsidRPr="00CE57B8">
        <w:rPr>
          <w:rFonts w:ascii="Times New Roman" w:hAnsi="Times New Roman" w:cs="Times New Roman"/>
          <w:sz w:val="24"/>
          <w:szCs w:val="24"/>
        </w:rPr>
        <w:t xml:space="preserve">В то же время у кризиса были и свои бенефициары – например, технологический сектор, сегмент онлайн-торговли, сектор здравоохранения и фармацевтики и некоторые другие. </w:t>
      </w:r>
    </w:p>
    <w:p w14:paraId="68C1EEA8" w14:textId="77777777" w:rsidR="001A30F0" w:rsidRDefault="001A30F0" w:rsidP="001A30F0">
      <w:pPr>
        <w:spacing w:before="0" w:after="0" w:line="240" w:lineRule="auto"/>
        <w:ind w:left="11" w:firstLine="425"/>
        <w:jc w:val="both"/>
        <w:rPr>
          <w:rFonts w:ascii="Times New Roman" w:hAnsi="Times New Roman" w:cs="Times New Roman"/>
          <w:sz w:val="24"/>
          <w:szCs w:val="24"/>
        </w:rPr>
      </w:pPr>
      <w:r w:rsidRPr="00CE57B8">
        <w:rPr>
          <w:rFonts w:ascii="Times New Roman" w:hAnsi="Times New Roman" w:cs="Times New Roman"/>
          <w:sz w:val="24"/>
          <w:szCs w:val="24"/>
        </w:rPr>
        <w:t xml:space="preserve">Динамика глобального индекса PMI, отражающего деловую конъюнктуру в мировой экономике, свидетельствовала о появлении существенных признаков кризиса в феврале </w:t>
      </w:r>
      <w:r>
        <w:rPr>
          <w:rFonts w:ascii="Times New Roman" w:hAnsi="Times New Roman" w:cs="Times New Roman"/>
          <w:sz w:val="24"/>
          <w:szCs w:val="24"/>
        </w:rPr>
        <w:br/>
      </w:r>
      <w:r w:rsidRPr="00CE57B8">
        <w:rPr>
          <w:rFonts w:ascii="Times New Roman" w:hAnsi="Times New Roman" w:cs="Times New Roman"/>
          <w:sz w:val="24"/>
          <w:szCs w:val="24"/>
        </w:rPr>
        <w:t>2020 года, когда показатель опустился ниже нейтральной отметки (50 п.), составив 46,1 п.</w:t>
      </w:r>
      <w:r w:rsidRPr="00CE57B8">
        <w:rPr>
          <w:rFonts w:ascii="Times New Roman" w:hAnsi="Times New Roman" w:cs="Times New Roman"/>
          <w:sz w:val="24"/>
          <w:szCs w:val="24"/>
          <w:vertAlign w:val="superscript"/>
        </w:rPr>
        <w:footnoteReference w:id="1"/>
      </w:r>
      <w:r w:rsidRPr="00CE57B8">
        <w:rPr>
          <w:rFonts w:ascii="Times New Roman" w:hAnsi="Times New Roman" w:cs="Times New Roman"/>
          <w:sz w:val="24"/>
          <w:szCs w:val="24"/>
        </w:rPr>
        <w:t xml:space="preserve"> В последующем</w:t>
      </w:r>
      <w:r>
        <w:rPr>
          <w:rFonts w:ascii="Times New Roman" w:hAnsi="Times New Roman" w:cs="Times New Roman"/>
          <w:sz w:val="24"/>
          <w:szCs w:val="24"/>
        </w:rPr>
        <w:t>,</w:t>
      </w:r>
      <w:r w:rsidRPr="00CE57B8">
        <w:rPr>
          <w:rFonts w:ascii="Times New Roman" w:hAnsi="Times New Roman" w:cs="Times New Roman"/>
          <w:sz w:val="24"/>
          <w:szCs w:val="24"/>
        </w:rPr>
        <w:t xml:space="preserve"> по мере усиления негативных тенденций и ухудшения перспектив</w:t>
      </w:r>
      <w:r>
        <w:rPr>
          <w:rFonts w:ascii="Times New Roman" w:hAnsi="Times New Roman" w:cs="Times New Roman"/>
          <w:sz w:val="24"/>
          <w:szCs w:val="24"/>
        </w:rPr>
        <w:t>,</w:t>
      </w:r>
      <w:r w:rsidRPr="00CE57B8">
        <w:rPr>
          <w:rFonts w:ascii="Times New Roman" w:hAnsi="Times New Roman" w:cs="Times New Roman"/>
          <w:sz w:val="24"/>
          <w:szCs w:val="24"/>
        </w:rPr>
        <w:t xml:space="preserve"> в апреле его значение </w:t>
      </w:r>
      <w:r>
        <w:rPr>
          <w:rFonts w:ascii="Times New Roman" w:hAnsi="Times New Roman" w:cs="Times New Roman"/>
          <w:sz w:val="24"/>
          <w:szCs w:val="24"/>
        </w:rPr>
        <w:t>упало</w:t>
      </w:r>
      <w:r w:rsidRPr="00CE57B8">
        <w:rPr>
          <w:rFonts w:ascii="Times New Roman" w:hAnsi="Times New Roman" w:cs="Times New Roman"/>
          <w:sz w:val="24"/>
          <w:szCs w:val="24"/>
        </w:rPr>
        <w:t xml:space="preserve"> до исторического минимума – 26,5 п. </w:t>
      </w:r>
      <w:r>
        <w:rPr>
          <w:rFonts w:ascii="Times New Roman" w:hAnsi="Times New Roman" w:cs="Times New Roman"/>
          <w:sz w:val="24"/>
          <w:szCs w:val="24"/>
        </w:rPr>
        <w:t>В дальнейшем н</w:t>
      </w:r>
      <w:r w:rsidRPr="00CE57B8">
        <w:rPr>
          <w:rFonts w:ascii="Times New Roman" w:hAnsi="Times New Roman" w:cs="Times New Roman"/>
          <w:sz w:val="24"/>
          <w:szCs w:val="24"/>
        </w:rPr>
        <w:t xml:space="preserve">а фоне улучшения конъюнктуры как в сфере производства, так и в сегменте услуг </w:t>
      </w:r>
      <w:r>
        <w:rPr>
          <w:rFonts w:ascii="Times New Roman" w:hAnsi="Times New Roman" w:cs="Times New Roman"/>
          <w:sz w:val="24"/>
          <w:szCs w:val="24"/>
        </w:rPr>
        <w:t xml:space="preserve">наблюдался </w:t>
      </w:r>
      <w:r w:rsidRPr="00CE57B8">
        <w:rPr>
          <w:rFonts w:ascii="Times New Roman" w:hAnsi="Times New Roman" w:cs="Times New Roman"/>
          <w:sz w:val="24"/>
          <w:szCs w:val="24"/>
        </w:rPr>
        <w:t>рост глобального композитного индекса PMI</w:t>
      </w:r>
      <w:r>
        <w:rPr>
          <w:rFonts w:ascii="Times New Roman" w:hAnsi="Times New Roman" w:cs="Times New Roman"/>
          <w:sz w:val="24"/>
          <w:szCs w:val="24"/>
        </w:rPr>
        <w:t>, к концу года он составил</w:t>
      </w:r>
      <w:r w:rsidRPr="00CE57B8">
        <w:rPr>
          <w:rFonts w:ascii="Times New Roman" w:hAnsi="Times New Roman" w:cs="Times New Roman"/>
          <w:sz w:val="24"/>
          <w:szCs w:val="24"/>
        </w:rPr>
        <w:t xml:space="preserve"> 52,7 п.</w:t>
      </w:r>
      <w:r>
        <w:rPr>
          <w:rFonts w:ascii="Times New Roman" w:hAnsi="Times New Roman" w:cs="Times New Roman"/>
          <w:sz w:val="24"/>
          <w:szCs w:val="24"/>
        </w:rPr>
        <w:t xml:space="preserve"> Подобная динамика свидетельствует о потенциале </w:t>
      </w:r>
      <w:r w:rsidRPr="0097113B">
        <w:rPr>
          <w:rFonts w:ascii="Times New Roman" w:hAnsi="Times New Roman" w:cs="Times New Roman"/>
          <w:sz w:val="24"/>
          <w:szCs w:val="24"/>
        </w:rPr>
        <w:t>быстрого восстановления при снижении эпидемической угрозы.</w:t>
      </w:r>
    </w:p>
    <w:p w14:paraId="5272A259" w14:textId="77777777" w:rsidR="001A30F0" w:rsidRDefault="001A30F0" w:rsidP="001A30F0">
      <w:pPr>
        <w:spacing w:before="0" w:after="0" w:line="240" w:lineRule="auto"/>
        <w:ind w:left="11" w:firstLine="425"/>
        <w:jc w:val="both"/>
        <w:rPr>
          <w:rFonts w:ascii="Times New Roman" w:hAnsi="Times New Roman" w:cs="Times New Roman"/>
          <w:sz w:val="24"/>
          <w:szCs w:val="24"/>
        </w:rPr>
      </w:pPr>
      <w:r w:rsidRPr="00CE57B8">
        <w:rPr>
          <w:rFonts w:ascii="Times New Roman" w:hAnsi="Times New Roman" w:cs="Times New Roman"/>
          <w:sz w:val="24"/>
          <w:szCs w:val="24"/>
        </w:rPr>
        <w:t xml:space="preserve">Согласно докладу МВФ, опубликованному в январе 2021 года, спад глобального ВВП в </w:t>
      </w:r>
      <w:r w:rsidRPr="00CE57B8">
        <w:rPr>
          <w:rFonts w:ascii="Times New Roman" w:hAnsi="Times New Roman" w:cs="Times New Roman"/>
          <w:sz w:val="24"/>
          <w:szCs w:val="24"/>
        </w:rPr>
        <w:br/>
        <w:t xml:space="preserve">2020 году оценивается на уровне -3,5%. Наибольшие потери зафиксированы в развитых экономиках мира – -4,9%. Сокращение ВВП стран с формирующимся рынком </w:t>
      </w:r>
      <w:r>
        <w:rPr>
          <w:rFonts w:ascii="Times New Roman" w:hAnsi="Times New Roman" w:cs="Times New Roman"/>
          <w:sz w:val="24"/>
          <w:szCs w:val="24"/>
        </w:rPr>
        <w:t xml:space="preserve">было в меньших масштабах и </w:t>
      </w:r>
      <w:r w:rsidRPr="00CE57B8">
        <w:rPr>
          <w:rFonts w:ascii="Times New Roman" w:hAnsi="Times New Roman" w:cs="Times New Roman"/>
          <w:sz w:val="24"/>
          <w:szCs w:val="24"/>
        </w:rPr>
        <w:t>сложилось в пределах -2,4%, что является первой всеобъемлющей рецессией в этой группе стран как минимум за 60 лет.</w:t>
      </w:r>
    </w:p>
    <w:p w14:paraId="5C6C0688" w14:textId="77777777" w:rsidR="001A30F0" w:rsidRDefault="001A30F0" w:rsidP="001A30F0">
      <w:pPr>
        <w:spacing w:before="0" w:after="0" w:line="240" w:lineRule="auto"/>
        <w:ind w:left="11" w:firstLine="425"/>
        <w:jc w:val="both"/>
        <w:rPr>
          <w:rFonts w:ascii="Times New Roman" w:hAnsi="Times New Roman" w:cs="Times New Roman"/>
          <w:sz w:val="24"/>
          <w:szCs w:val="24"/>
        </w:rPr>
      </w:pPr>
      <w:r>
        <w:rPr>
          <w:rFonts w:ascii="Times New Roman" w:hAnsi="Times New Roman" w:cs="Times New Roman"/>
          <w:sz w:val="24"/>
          <w:szCs w:val="24"/>
        </w:rPr>
        <w:t>Негативные изменения глобальной экономики, локдауны, нарушение логистических цепочек определяли низкий совокупный спрос на внешнем рынке, что сказывалось на деятельности приднестровских предприятий.</w:t>
      </w:r>
    </w:p>
    <w:p w14:paraId="37436919" w14:textId="77777777" w:rsidR="001A30F0" w:rsidRPr="00CE57B8" w:rsidRDefault="001A30F0" w:rsidP="001A30F0">
      <w:pPr>
        <w:pStyle w:val="af9"/>
        <w:widowControl w:val="0"/>
        <w:spacing w:before="0" w:beforeAutospacing="0" w:after="0" w:afterAutospacing="0" w:line="240" w:lineRule="auto"/>
        <w:ind w:firstLine="425"/>
        <w:jc w:val="both"/>
        <w:rPr>
          <w:rFonts w:ascii="Times New Roman" w:hAnsi="Times New Roman" w:cs="Times New Roman"/>
        </w:rPr>
      </w:pPr>
      <w:r w:rsidRPr="00CE57B8">
        <w:rPr>
          <w:rFonts w:ascii="Times New Roman" w:hAnsi="Times New Roman" w:cs="Times New Roman"/>
        </w:rPr>
        <w:t xml:space="preserve">Изменения основных макроэкономических показателей в ряде государств – основных торговых партнёрах </w:t>
      </w:r>
      <w:r>
        <w:rPr>
          <w:rFonts w:ascii="Times New Roman" w:hAnsi="Times New Roman" w:cs="Times New Roman"/>
        </w:rPr>
        <w:t>Приднестровской Молдавской Республики</w:t>
      </w:r>
      <w:r w:rsidRPr="00CE57B8">
        <w:rPr>
          <w:rFonts w:ascii="Times New Roman" w:hAnsi="Times New Roman" w:cs="Times New Roman"/>
        </w:rPr>
        <w:t xml:space="preserve"> по итогам 2020 года характеризовались следующим образом.</w:t>
      </w:r>
    </w:p>
    <w:p w14:paraId="500A25C4"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 xml:space="preserve">Согласно оценкам экспертов, экономика Российской Федерации быстрее восстанавливается от кризиса, чем многие европейские страны, несмотря на значительное ослабление рубля РФ (-19,3%), рост безработицы (в среднем за год до 5,8%, +1,2 п.п.) и падение цен на один из главных экспортных продуктов – нефть (марка Urals – -32,3%). По оценке Федеральной службы государственной статистики, ВВП России по итогам 2020 года снизился на 3,1%. Объём индустриального выпуска уменьшился на 2,9%. В то же время спад </w:t>
      </w:r>
      <w:r w:rsidRPr="00CE57B8">
        <w:rPr>
          <w:rFonts w:ascii="Times New Roman" w:hAnsi="Times New Roman" w:cs="Times New Roman"/>
          <w:sz w:val="24"/>
          <w:szCs w:val="24"/>
        </w:rPr>
        <w:lastRenderedPageBreak/>
        <w:t xml:space="preserve">ВВП был несколько нивелирован ростом объёма производства </w:t>
      </w:r>
      <w:r>
        <w:rPr>
          <w:rFonts w:ascii="Times New Roman" w:hAnsi="Times New Roman" w:cs="Times New Roman"/>
          <w:sz w:val="24"/>
          <w:szCs w:val="24"/>
        </w:rPr>
        <w:t xml:space="preserve">сельскохозяйственной </w:t>
      </w:r>
      <w:r w:rsidRPr="00CE57B8">
        <w:rPr>
          <w:rFonts w:ascii="Times New Roman" w:hAnsi="Times New Roman" w:cs="Times New Roman"/>
          <w:sz w:val="24"/>
          <w:szCs w:val="24"/>
        </w:rPr>
        <w:t xml:space="preserve">продукции (+1,5%). </w:t>
      </w:r>
    </w:p>
    <w:p w14:paraId="22051356"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По итогам 2020 года и</w:t>
      </w:r>
      <w:r w:rsidRPr="00CE57B8">
        <w:rPr>
          <w:rFonts w:ascii="Times New Roman" w:hAnsi="Times New Roman" w:cs="Times New Roman"/>
          <w:sz w:val="24"/>
          <w:szCs w:val="24"/>
        </w:rPr>
        <w:t>нфляция</w:t>
      </w:r>
      <w:r>
        <w:rPr>
          <w:rFonts w:ascii="Times New Roman" w:hAnsi="Times New Roman" w:cs="Times New Roman"/>
          <w:sz w:val="24"/>
          <w:szCs w:val="24"/>
        </w:rPr>
        <w:t xml:space="preserve"> в России </w:t>
      </w:r>
      <w:r w:rsidRPr="00CE57B8">
        <w:rPr>
          <w:rFonts w:ascii="Times New Roman" w:hAnsi="Times New Roman" w:cs="Times New Roman"/>
          <w:sz w:val="24"/>
          <w:szCs w:val="24"/>
        </w:rPr>
        <w:t>достигла 4,9% – максимальной отметки за последние четыре года и превысила целевой ориентир, установленный Банком России на уровне 4,0%. Основное влияние на её динамику оказывало удорожание продовольственных товаров (</w:t>
      </w:r>
      <w:r>
        <w:rPr>
          <w:rFonts w:ascii="Times New Roman" w:hAnsi="Times New Roman" w:cs="Times New Roman"/>
          <w:sz w:val="24"/>
          <w:szCs w:val="24"/>
        </w:rPr>
        <w:t xml:space="preserve">на </w:t>
      </w:r>
      <w:r w:rsidRPr="00CE57B8">
        <w:rPr>
          <w:rFonts w:ascii="Times New Roman" w:hAnsi="Times New Roman" w:cs="Times New Roman"/>
          <w:sz w:val="24"/>
          <w:szCs w:val="24"/>
        </w:rPr>
        <w:t xml:space="preserve">6,7%) </w:t>
      </w:r>
      <w:r>
        <w:rPr>
          <w:rFonts w:ascii="Times New Roman" w:hAnsi="Times New Roman" w:cs="Times New Roman"/>
          <w:sz w:val="24"/>
          <w:szCs w:val="24"/>
        </w:rPr>
        <w:t>на фоне</w:t>
      </w:r>
      <w:r w:rsidRPr="00CE57B8">
        <w:rPr>
          <w:rFonts w:ascii="Times New Roman" w:hAnsi="Times New Roman" w:cs="Times New Roman"/>
          <w:sz w:val="24"/>
          <w:szCs w:val="24"/>
        </w:rPr>
        <w:t xml:space="preserve"> роста мировых цен, а также плохого урожая отдельных сельскохозяйственных культур. </w:t>
      </w:r>
    </w:p>
    <w:p w14:paraId="4F5AC204"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В условиях слабой деловой активности поддержку экономике оказывала мягкая денежно-кредитная политика. Банк России снижал ключевую ставку в феврале, апреле, июне и июле, в итоге к концу 2020 года она составила 4,25</w:t>
      </w:r>
      <w:r w:rsidRPr="008F2FBE">
        <w:rPr>
          <w:rFonts w:ascii="Times New Roman" w:hAnsi="Times New Roman" w:cs="Times New Roman"/>
          <w:sz w:val="24"/>
          <w:szCs w:val="24"/>
        </w:rPr>
        <w:t>%, а общее снижение составило 2,0 п.п.</w:t>
      </w:r>
    </w:p>
    <w:p w14:paraId="6AB21209"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w:t>
      </w:r>
      <w:r w:rsidRPr="00CE57B8">
        <w:rPr>
          <w:rFonts w:ascii="Times New Roman" w:hAnsi="Times New Roman" w:cs="Times New Roman"/>
          <w:sz w:val="24"/>
          <w:szCs w:val="24"/>
        </w:rPr>
        <w:t xml:space="preserve">осле жёсткой фазы карантина в начале 2020 года, экономика </w:t>
      </w:r>
      <w:r>
        <w:rPr>
          <w:rFonts w:ascii="Times New Roman" w:hAnsi="Times New Roman" w:cs="Times New Roman"/>
          <w:sz w:val="24"/>
          <w:szCs w:val="24"/>
        </w:rPr>
        <w:t>Украины</w:t>
      </w:r>
      <w:r w:rsidRPr="00CE57B8">
        <w:rPr>
          <w:rFonts w:ascii="Times New Roman" w:hAnsi="Times New Roman" w:cs="Times New Roman"/>
          <w:sz w:val="24"/>
          <w:szCs w:val="24"/>
        </w:rPr>
        <w:t xml:space="preserve"> достаточно быстро восстанавливалась во втором полугодии в результате в целом за 2020 год ВВП сократился на 4,</w:t>
      </w:r>
      <w:r>
        <w:rPr>
          <w:rFonts w:ascii="Times New Roman" w:hAnsi="Times New Roman" w:cs="Times New Roman"/>
          <w:sz w:val="24"/>
          <w:szCs w:val="24"/>
        </w:rPr>
        <w:t>0</w:t>
      </w:r>
      <w:r w:rsidRPr="00CE57B8">
        <w:rPr>
          <w:rFonts w:ascii="Times New Roman" w:hAnsi="Times New Roman" w:cs="Times New Roman"/>
          <w:sz w:val="24"/>
          <w:szCs w:val="24"/>
        </w:rPr>
        <w:t xml:space="preserve">%. Ведущими факторами стали спад промышленного производства </w:t>
      </w:r>
      <w:r>
        <w:rPr>
          <w:rFonts w:ascii="Times New Roman" w:hAnsi="Times New Roman" w:cs="Times New Roman"/>
          <w:sz w:val="24"/>
          <w:szCs w:val="24"/>
        </w:rPr>
        <w:t>на 4,5</w:t>
      </w:r>
      <w:r w:rsidRPr="00CE57B8">
        <w:rPr>
          <w:rFonts w:ascii="Times New Roman" w:hAnsi="Times New Roman" w:cs="Times New Roman"/>
          <w:sz w:val="24"/>
          <w:szCs w:val="24"/>
        </w:rPr>
        <w:t>% и объёма сельскохозяйственной продукции</w:t>
      </w:r>
      <w:r>
        <w:rPr>
          <w:rFonts w:ascii="Times New Roman" w:hAnsi="Times New Roman" w:cs="Times New Roman"/>
          <w:sz w:val="24"/>
          <w:szCs w:val="24"/>
        </w:rPr>
        <w:t xml:space="preserve"> </w:t>
      </w:r>
      <w:r w:rsidRPr="00CE57B8">
        <w:rPr>
          <w:rFonts w:ascii="Times New Roman" w:hAnsi="Times New Roman" w:cs="Times New Roman"/>
          <w:sz w:val="24"/>
          <w:szCs w:val="24"/>
        </w:rPr>
        <w:t>на 11,5%, что наблюдается впервые с 1994 года.</w:t>
      </w:r>
    </w:p>
    <w:p w14:paraId="403891E3"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 xml:space="preserve">Среднегодовой рост потребительских цен в Украине в 2020 году составил 5,0%, что, несмотря на превышение уровня 2019 года (4,1%), в целом было более медленным, чем в </w:t>
      </w:r>
      <w:r>
        <w:rPr>
          <w:rFonts w:ascii="Times New Roman" w:hAnsi="Times New Roman" w:cs="Times New Roman"/>
          <w:sz w:val="24"/>
          <w:szCs w:val="24"/>
        </w:rPr>
        <w:br/>
      </w:r>
      <w:r w:rsidRPr="00CE57B8">
        <w:rPr>
          <w:rFonts w:ascii="Times New Roman" w:hAnsi="Times New Roman" w:cs="Times New Roman"/>
          <w:sz w:val="24"/>
          <w:szCs w:val="24"/>
        </w:rPr>
        <w:t>2017-2018 гг. Кроме того, показатель находился в диапазоне таргета НБУ – 5% ± 1,0 п.п. По оценке регулятора, ведущими факторами инфляции выступило ослабление гривны</w:t>
      </w:r>
      <w:r>
        <w:rPr>
          <w:rFonts w:ascii="Times New Roman" w:hAnsi="Times New Roman" w:cs="Times New Roman"/>
          <w:sz w:val="24"/>
          <w:szCs w:val="24"/>
        </w:rPr>
        <w:t xml:space="preserve"> </w:t>
      </w:r>
      <w:r w:rsidRPr="00CE57B8">
        <w:rPr>
          <w:rFonts w:ascii="Times New Roman" w:hAnsi="Times New Roman" w:cs="Times New Roman"/>
          <w:sz w:val="24"/>
          <w:szCs w:val="24"/>
        </w:rPr>
        <w:t>(-19,4%), рост цен на газ (+56,3%) и на продовольственные товары (+5,2%).</w:t>
      </w:r>
      <w:r>
        <w:rPr>
          <w:rFonts w:ascii="Times New Roman" w:hAnsi="Times New Roman" w:cs="Times New Roman"/>
          <w:sz w:val="24"/>
          <w:szCs w:val="24"/>
        </w:rPr>
        <w:t xml:space="preserve"> Стабильный уровень инфляции позволял снижать учётную ставку НБУ в </w:t>
      </w:r>
      <w:r w:rsidRPr="00CE57B8">
        <w:rPr>
          <w:rFonts w:ascii="Times New Roman" w:hAnsi="Times New Roman" w:cs="Times New Roman"/>
          <w:sz w:val="24"/>
          <w:szCs w:val="24"/>
        </w:rPr>
        <w:t>целях поддержки экономической активности</w:t>
      </w:r>
      <w:r>
        <w:rPr>
          <w:rFonts w:ascii="Times New Roman" w:hAnsi="Times New Roman" w:cs="Times New Roman"/>
          <w:sz w:val="24"/>
          <w:szCs w:val="24"/>
        </w:rPr>
        <w:t>:</w:t>
      </w:r>
      <w:r w:rsidRPr="00CE57B8">
        <w:rPr>
          <w:rFonts w:ascii="Times New Roman" w:hAnsi="Times New Roman" w:cs="Times New Roman"/>
          <w:sz w:val="24"/>
          <w:szCs w:val="24"/>
        </w:rPr>
        <w:t xml:space="preserve"> в первой половине 2020 года </w:t>
      </w:r>
      <w:r>
        <w:rPr>
          <w:rFonts w:ascii="Times New Roman" w:hAnsi="Times New Roman" w:cs="Times New Roman"/>
          <w:sz w:val="24"/>
          <w:szCs w:val="24"/>
        </w:rPr>
        <w:t xml:space="preserve">в четыре этапа она была уменьшена </w:t>
      </w:r>
      <w:r w:rsidRPr="00CE57B8">
        <w:rPr>
          <w:rFonts w:ascii="Times New Roman" w:hAnsi="Times New Roman" w:cs="Times New Roman"/>
          <w:sz w:val="24"/>
          <w:szCs w:val="24"/>
        </w:rPr>
        <w:t xml:space="preserve">на 7,5 п.п. </w:t>
      </w:r>
      <w:r>
        <w:rPr>
          <w:rFonts w:ascii="Times New Roman" w:hAnsi="Times New Roman" w:cs="Times New Roman"/>
          <w:sz w:val="24"/>
          <w:szCs w:val="24"/>
        </w:rPr>
        <w:br/>
      </w:r>
      <w:r w:rsidRPr="00CE57B8">
        <w:rPr>
          <w:rFonts w:ascii="Times New Roman" w:hAnsi="Times New Roman" w:cs="Times New Roman"/>
          <w:sz w:val="24"/>
          <w:szCs w:val="24"/>
        </w:rPr>
        <w:t xml:space="preserve">С 12 июня и до конца года её уровень составлял 6%. </w:t>
      </w:r>
    </w:p>
    <w:p w14:paraId="6F73696E"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 xml:space="preserve">Спад экономики Республики Молдова был более масштабным. Влияние глобальных негативных факторов в совокупности с сильнейшей за последние 30 лет засухой сказалось на результатах отраслей, работающих на экспорт, и пищевой промышленности, что определило сокращение </w:t>
      </w:r>
      <w:r>
        <w:rPr>
          <w:rFonts w:ascii="Times New Roman" w:hAnsi="Times New Roman" w:cs="Times New Roman"/>
          <w:sz w:val="24"/>
          <w:szCs w:val="24"/>
        </w:rPr>
        <w:t>совокупного объёма производства</w:t>
      </w:r>
      <w:r w:rsidRPr="00CE57B8">
        <w:rPr>
          <w:rFonts w:ascii="Times New Roman" w:hAnsi="Times New Roman" w:cs="Times New Roman"/>
          <w:sz w:val="24"/>
          <w:szCs w:val="24"/>
        </w:rPr>
        <w:t xml:space="preserve"> на 5,5%, а валовой продукции сельского хозяйства – на 27,1%.</w:t>
      </w:r>
      <w:r w:rsidRPr="00CE57B8">
        <w:rPr>
          <w:rFonts w:ascii="Sylfaen" w:hAnsi="Sylfaen"/>
          <w:color w:val="000000" w:themeColor="text1"/>
          <w:sz w:val="22"/>
          <w:szCs w:val="22"/>
        </w:rPr>
        <w:t xml:space="preserve"> </w:t>
      </w:r>
      <w:r w:rsidRPr="00CE57B8">
        <w:rPr>
          <w:rFonts w:ascii="Times New Roman" w:hAnsi="Times New Roman" w:cs="Times New Roman"/>
          <w:sz w:val="24"/>
          <w:szCs w:val="24"/>
        </w:rPr>
        <w:t>Уровень инфляции составил 0,</w:t>
      </w:r>
      <w:r>
        <w:rPr>
          <w:rFonts w:ascii="Times New Roman" w:hAnsi="Times New Roman" w:cs="Times New Roman"/>
          <w:sz w:val="24"/>
          <w:szCs w:val="24"/>
        </w:rPr>
        <w:t>4</w:t>
      </w:r>
      <w:r w:rsidRPr="00CE57B8">
        <w:rPr>
          <w:rFonts w:ascii="Times New Roman" w:hAnsi="Times New Roman" w:cs="Times New Roman"/>
          <w:sz w:val="24"/>
          <w:szCs w:val="24"/>
        </w:rPr>
        <w:t>% (7,5% в 2019 году), что является наименьшим показателем за 30 лет. Повышение цен отмечалось только в сегменте продовольственных товаров (</w:t>
      </w:r>
      <w:r>
        <w:rPr>
          <w:rFonts w:ascii="Times New Roman" w:hAnsi="Times New Roman" w:cs="Times New Roman"/>
          <w:sz w:val="24"/>
          <w:szCs w:val="24"/>
        </w:rPr>
        <w:t xml:space="preserve">на </w:t>
      </w:r>
      <w:r w:rsidRPr="00CE57B8">
        <w:rPr>
          <w:rFonts w:ascii="Times New Roman" w:hAnsi="Times New Roman" w:cs="Times New Roman"/>
          <w:sz w:val="24"/>
          <w:szCs w:val="24"/>
        </w:rPr>
        <w:t>1,7%).</w:t>
      </w:r>
      <w:r>
        <w:rPr>
          <w:rFonts w:ascii="Times New Roman" w:hAnsi="Times New Roman" w:cs="Times New Roman"/>
          <w:sz w:val="24"/>
          <w:szCs w:val="24"/>
        </w:rPr>
        <w:t xml:space="preserve"> В этих условиях, о</w:t>
      </w:r>
      <w:r w:rsidRPr="00CE57B8">
        <w:rPr>
          <w:rFonts w:ascii="Times New Roman" w:hAnsi="Times New Roman" w:cs="Times New Roman"/>
          <w:sz w:val="24"/>
          <w:szCs w:val="24"/>
        </w:rPr>
        <w:t xml:space="preserve">риентируясь на поддержание внутреннего совокупного спроса и расширение кредитования экономики, </w:t>
      </w:r>
      <w:r>
        <w:rPr>
          <w:rFonts w:ascii="Times New Roman" w:hAnsi="Times New Roman" w:cs="Times New Roman"/>
          <w:sz w:val="24"/>
          <w:szCs w:val="24"/>
        </w:rPr>
        <w:t xml:space="preserve">Национальный банк Молдовы </w:t>
      </w:r>
      <w:r w:rsidRPr="00CE57B8">
        <w:rPr>
          <w:rFonts w:ascii="Times New Roman" w:hAnsi="Times New Roman" w:cs="Times New Roman"/>
          <w:sz w:val="24"/>
          <w:szCs w:val="24"/>
        </w:rPr>
        <w:t xml:space="preserve">в 2020 году </w:t>
      </w:r>
      <w:r>
        <w:rPr>
          <w:rFonts w:ascii="Times New Roman" w:hAnsi="Times New Roman" w:cs="Times New Roman"/>
          <w:sz w:val="24"/>
          <w:szCs w:val="24"/>
        </w:rPr>
        <w:t>пять</w:t>
      </w:r>
      <w:r w:rsidRPr="00CE57B8">
        <w:rPr>
          <w:rFonts w:ascii="Times New Roman" w:hAnsi="Times New Roman" w:cs="Times New Roman"/>
          <w:sz w:val="24"/>
          <w:szCs w:val="24"/>
        </w:rPr>
        <w:t xml:space="preserve"> раз снижал базовую ставку, в результате последнего решения в ноябре она сложилась на уровне 2,65% годовых, сохранявшемся до конца отчётного года. Курс доллара США на валютном рынке страны к концу декабря сложился на уровне, сопоставимом со значением на начало года.</w:t>
      </w:r>
    </w:p>
    <w:p w14:paraId="4E3E3E9A"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По</w:t>
      </w:r>
      <w:r>
        <w:rPr>
          <w:rFonts w:ascii="Times New Roman" w:hAnsi="Times New Roman" w:cs="Times New Roman"/>
          <w:sz w:val="24"/>
          <w:szCs w:val="24"/>
        </w:rPr>
        <w:t xml:space="preserve"> данным</w:t>
      </w:r>
      <w:r w:rsidRPr="00CE57B8">
        <w:rPr>
          <w:rFonts w:ascii="Times New Roman" w:hAnsi="Times New Roman" w:cs="Times New Roman"/>
          <w:sz w:val="24"/>
          <w:szCs w:val="24"/>
        </w:rPr>
        <w:t xml:space="preserve"> Е</w:t>
      </w:r>
      <w:r>
        <w:rPr>
          <w:rFonts w:ascii="Times New Roman" w:hAnsi="Times New Roman" w:cs="Times New Roman"/>
          <w:sz w:val="24"/>
          <w:szCs w:val="24"/>
        </w:rPr>
        <w:t>вропейского центрального банка</w:t>
      </w:r>
      <w:r w:rsidRPr="00CE57B8">
        <w:rPr>
          <w:rFonts w:ascii="Times New Roman" w:hAnsi="Times New Roman" w:cs="Times New Roman"/>
          <w:sz w:val="24"/>
          <w:szCs w:val="24"/>
        </w:rPr>
        <w:t xml:space="preserve">, падение ВВП в странах ЕС </w:t>
      </w:r>
      <w:r>
        <w:rPr>
          <w:rFonts w:ascii="Times New Roman" w:hAnsi="Times New Roman" w:cs="Times New Roman"/>
          <w:sz w:val="24"/>
          <w:szCs w:val="24"/>
        </w:rPr>
        <w:t>составило</w:t>
      </w:r>
      <w:r w:rsidRPr="00CE57B8">
        <w:rPr>
          <w:rFonts w:ascii="Times New Roman" w:hAnsi="Times New Roman" w:cs="Times New Roman"/>
          <w:sz w:val="24"/>
          <w:szCs w:val="24"/>
        </w:rPr>
        <w:t xml:space="preserve"> </w:t>
      </w:r>
      <w:r>
        <w:rPr>
          <w:rFonts w:ascii="Times New Roman" w:hAnsi="Times New Roman" w:cs="Times New Roman"/>
          <w:sz w:val="24"/>
          <w:szCs w:val="24"/>
        </w:rPr>
        <w:br/>
      </w:r>
      <w:r w:rsidRPr="00CE57B8">
        <w:rPr>
          <w:rFonts w:ascii="Times New Roman" w:hAnsi="Times New Roman" w:cs="Times New Roman"/>
          <w:sz w:val="24"/>
          <w:szCs w:val="24"/>
        </w:rPr>
        <w:t>-6,</w:t>
      </w:r>
      <w:r>
        <w:rPr>
          <w:rFonts w:ascii="Times New Roman" w:hAnsi="Times New Roman" w:cs="Times New Roman"/>
          <w:sz w:val="24"/>
          <w:szCs w:val="24"/>
        </w:rPr>
        <w:t>2</w:t>
      </w:r>
      <w:r w:rsidRPr="00CE57B8">
        <w:rPr>
          <w:rFonts w:ascii="Times New Roman" w:hAnsi="Times New Roman" w:cs="Times New Roman"/>
          <w:sz w:val="24"/>
          <w:szCs w:val="24"/>
        </w:rPr>
        <w:t>%, еврозоны – -6,</w:t>
      </w:r>
      <w:r>
        <w:rPr>
          <w:rFonts w:ascii="Times New Roman" w:hAnsi="Times New Roman" w:cs="Times New Roman"/>
          <w:sz w:val="24"/>
          <w:szCs w:val="24"/>
        </w:rPr>
        <w:t>6</w:t>
      </w:r>
      <w:r w:rsidRPr="00CE57B8">
        <w:rPr>
          <w:rFonts w:ascii="Times New Roman" w:hAnsi="Times New Roman" w:cs="Times New Roman"/>
          <w:sz w:val="24"/>
          <w:szCs w:val="24"/>
        </w:rPr>
        <w:t xml:space="preserve">%. Одним из основных факторов отрицательной динамики стало уменьшение промышленного производства на 8,0% (в еврозоне – </w:t>
      </w:r>
      <w:r>
        <w:rPr>
          <w:rFonts w:ascii="Times New Roman" w:hAnsi="Times New Roman" w:cs="Times New Roman"/>
          <w:sz w:val="24"/>
          <w:szCs w:val="24"/>
        </w:rPr>
        <w:t xml:space="preserve">на </w:t>
      </w:r>
      <w:r w:rsidRPr="00CE57B8">
        <w:rPr>
          <w:rFonts w:ascii="Times New Roman" w:hAnsi="Times New Roman" w:cs="Times New Roman"/>
          <w:sz w:val="24"/>
          <w:szCs w:val="24"/>
        </w:rPr>
        <w:t>8,7%). Инфляционное давление в странах ЕС к концу 2020 года снизилось до 0,3%, тогда как в</w:t>
      </w:r>
      <w:r>
        <w:rPr>
          <w:rFonts w:ascii="Times New Roman" w:hAnsi="Times New Roman" w:cs="Times New Roman"/>
          <w:sz w:val="24"/>
          <w:szCs w:val="24"/>
        </w:rPr>
        <w:t xml:space="preserve"> </w:t>
      </w:r>
      <w:r w:rsidRPr="00CE57B8">
        <w:rPr>
          <w:rFonts w:ascii="Times New Roman" w:hAnsi="Times New Roman" w:cs="Times New Roman"/>
          <w:sz w:val="24"/>
          <w:szCs w:val="24"/>
        </w:rPr>
        <w:t>2019 году инфляция составляла 1,6%. Дефляция была зарегистрирована в Греции (-2,4%), Словении (-1,2%) и Ирландии (-1,0%). В то же время значительно повысились цены в Польше (+3,4%), Венгрии (+2,8%) и Чехии (+2,4%).</w:t>
      </w:r>
    </w:p>
    <w:p w14:paraId="283E1808"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Одним из факторов, сдерживавшим рост цен в 2020 году, стало активное укрепление курса евро (+9,2%). Драйверами его роста стали расширение программы экстренной п</w:t>
      </w:r>
      <w:r>
        <w:rPr>
          <w:rFonts w:ascii="Times New Roman" w:hAnsi="Times New Roman" w:cs="Times New Roman"/>
          <w:sz w:val="24"/>
          <w:szCs w:val="24"/>
        </w:rPr>
        <w:t>окупки активов и её пролонгация</w:t>
      </w:r>
      <w:r w:rsidRPr="00CE57B8">
        <w:rPr>
          <w:rFonts w:ascii="Times New Roman" w:hAnsi="Times New Roman" w:cs="Times New Roman"/>
          <w:sz w:val="24"/>
          <w:szCs w:val="24"/>
        </w:rPr>
        <w:t>.</w:t>
      </w:r>
      <w:r>
        <w:rPr>
          <w:rFonts w:ascii="Times New Roman" w:hAnsi="Times New Roman" w:cs="Times New Roman"/>
          <w:sz w:val="24"/>
          <w:szCs w:val="24"/>
        </w:rPr>
        <w:t xml:space="preserve"> </w:t>
      </w:r>
      <w:r w:rsidRPr="00CE57B8">
        <w:rPr>
          <w:rFonts w:ascii="Times New Roman" w:hAnsi="Times New Roman" w:cs="Times New Roman"/>
          <w:sz w:val="24"/>
          <w:szCs w:val="24"/>
        </w:rPr>
        <w:t xml:space="preserve">В течение 2020 года </w:t>
      </w:r>
      <w:r>
        <w:rPr>
          <w:rFonts w:ascii="Times New Roman" w:hAnsi="Times New Roman" w:cs="Times New Roman"/>
          <w:sz w:val="24"/>
          <w:szCs w:val="24"/>
        </w:rPr>
        <w:t>ЕЦБ</w:t>
      </w:r>
      <w:r w:rsidRPr="00CE57B8">
        <w:rPr>
          <w:rFonts w:ascii="Times New Roman" w:hAnsi="Times New Roman" w:cs="Times New Roman"/>
          <w:sz w:val="24"/>
          <w:szCs w:val="24"/>
        </w:rPr>
        <w:t xml:space="preserve"> сохранял без изменений базовую процентную ставку на уровне 0,0%, ставку по краткосрочным кредитам ЕЦБ – 0,25%, ставку по депозитам – -0,5%. </w:t>
      </w:r>
    </w:p>
    <w:p w14:paraId="0452CFD5" w14:textId="77777777" w:rsidR="001A30F0" w:rsidRPr="00CE57B8" w:rsidRDefault="001A30F0" w:rsidP="001A30F0">
      <w:pPr>
        <w:widowControl w:val="0"/>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Последствия изменений подходов к ведению хозяйственной деятельности в глобальном масштабе в течение 2020 года отражались на состоянии мировых товарно-сырьевых рынков.</w:t>
      </w:r>
    </w:p>
    <w:p w14:paraId="77FBDA2B" w14:textId="77777777" w:rsidR="001A30F0" w:rsidRPr="00CE57B8" w:rsidRDefault="001A30F0" w:rsidP="001A30F0">
      <w:pPr>
        <w:spacing w:before="0" w:after="0" w:line="240" w:lineRule="auto"/>
        <w:ind w:firstLine="425"/>
        <w:jc w:val="both"/>
      </w:pPr>
      <w:r w:rsidRPr="00CE57B8">
        <w:rPr>
          <w:rFonts w:ascii="Times New Roman" w:hAnsi="Times New Roman" w:cs="Times New Roman"/>
          <w:sz w:val="24"/>
          <w:szCs w:val="24"/>
        </w:rPr>
        <w:lastRenderedPageBreak/>
        <w:t xml:space="preserve">Кризисные явления на </w:t>
      </w:r>
      <w:r>
        <w:rPr>
          <w:rFonts w:ascii="Times New Roman" w:hAnsi="Times New Roman" w:cs="Times New Roman"/>
          <w:sz w:val="24"/>
          <w:szCs w:val="24"/>
        </w:rPr>
        <w:t>мировом</w:t>
      </w:r>
      <w:r w:rsidRPr="00CE57B8">
        <w:rPr>
          <w:rFonts w:ascii="Times New Roman" w:hAnsi="Times New Roman" w:cs="Times New Roman"/>
          <w:sz w:val="24"/>
          <w:szCs w:val="24"/>
        </w:rPr>
        <w:t xml:space="preserve"> металлургическом рынке в 2020 году преодолевались постепенно и неравномерно. </w:t>
      </w:r>
      <w:r>
        <w:rPr>
          <w:rFonts w:ascii="Times New Roman" w:hAnsi="Times New Roman" w:cs="Times New Roman"/>
          <w:sz w:val="24"/>
          <w:szCs w:val="24"/>
        </w:rPr>
        <w:t xml:space="preserve">Своё влияние на перестройку рынка оказало и изменение системы квотирования поставок металлов в ЕС. </w:t>
      </w:r>
      <w:r w:rsidRPr="00CE57B8">
        <w:rPr>
          <w:rFonts w:ascii="Times New Roman" w:hAnsi="Times New Roman" w:cs="Times New Roman"/>
          <w:sz w:val="24"/>
          <w:szCs w:val="24"/>
        </w:rPr>
        <w:t>Умеренное снижение ценовых показателей, наблюдавшееся в начале года, к апрелю ускорилось до более чем 20%-</w:t>
      </w:r>
      <w:r>
        <w:rPr>
          <w:rFonts w:ascii="Times New Roman" w:hAnsi="Times New Roman" w:cs="Times New Roman"/>
          <w:sz w:val="24"/>
          <w:szCs w:val="24"/>
        </w:rPr>
        <w:t>но</w:t>
      </w:r>
      <w:r w:rsidRPr="00CE57B8">
        <w:rPr>
          <w:rFonts w:ascii="Times New Roman" w:hAnsi="Times New Roman" w:cs="Times New Roman"/>
          <w:sz w:val="24"/>
          <w:szCs w:val="24"/>
        </w:rPr>
        <w:t xml:space="preserve">го отставания от уровня 2019 года. Переломным в динамике развития рынка стал август 2020 года – в начале месяца спад замедлился до мартовских показателей, а к концу года </w:t>
      </w:r>
      <w:r>
        <w:rPr>
          <w:rFonts w:ascii="Times New Roman" w:hAnsi="Times New Roman" w:cs="Times New Roman"/>
          <w:sz w:val="24"/>
          <w:szCs w:val="24"/>
        </w:rPr>
        <w:t>котировки</w:t>
      </w:r>
      <w:r w:rsidRPr="00CE57B8">
        <w:rPr>
          <w:rFonts w:ascii="Times New Roman" w:hAnsi="Times New Roman" w:cs="Times New Roman"/>
          <w:sz w:val="24"/>
          <w:szCs w:val="24"/>
        </w:rPr>
        <w:t xml:space="preserve"> превысил</w:t>
      </w:r>
      <w:r>
        <w:rPr>
          <w:rFonts w:ascii="Times New Roman" w:hAnsi="Times New Roman" w:cs="Times New Roman"/>
          <w:sz w:val="24"/>
          <w:szCs w:val="24"/>
        </w:rPr>
        <w:t>и</w:t>
      </w:r>
      <w:r w:rsidRPr="00CE57B8">
        <w:rPr>
          <w:rFonts w:ascii="Times New Roman" w:hAnsi="Times New Roman" w:cs="Times New Roman"/>
          <w:sz w:val="24"/>
          <w:szCs w:val="24"/>
        </w:rPr>
        <w:t xml:space="preserve"> значения 2019 года.</w:t>
      </w:r>
      <w:r w:rsidRPr="00CE57B8">
        <w:t xml:space="preserve"> </w:t>
      </w:r>
    </w:p>
    <w:p w14:paraId="1A11E2BE" w14:textId="77777777" w:rsidR="0080504A" w:rsidRPr="009023FA" w:rsidRDefault="0080504A" w:rsidP="0080504A">
      <w:pPr>
        <w:spacing w:before="0" w:after="0" w:line="240" w:lineRule="auto"/>
        <w:ind w:firstLine="425"/>
        <w:jc w:val="both"/>
        <w:rPr>
          <w:rFonts w:ascii="Times New Roman" w:hAnsi="Times New Roman" w:cs="Times New Roman"/>
          <w:sz w:val="24"/>
          <w:szCs w:val="24"/>
        </w:rPr>
      </w:pPr>
      <w:r w:rsidRPr="009023FA">
        <w:rPr>
          <w:rFonts w:ascii="Times New Roman" w:hAnsi="Times New Roman" w:cs="Times New Roman"/>
          <w:sz w:val="24"/>
          <w:szCs w:val="24"/>
        </w:rPr>
        <w:t>Причиной такого роста стало увеличение спроса на прокат в Китае</w:t>
      </w:r>
      <w:r>
        <w:rPr>
          <w:rFonts w:ascii="Times New Roman" w:hAnsi="Times New Roman" w:cs="Times New Roman"/>
          <w:sz w:val="24"/>
          <w:szCs w:val="24"/>
        </w:rPr>
        <w:t xml:space="preserve"> и действие </w:t>
      </w:r>
      <w:r w:rsidRPr="009023FA">
        <w:rPr>
          <w:rFonts w:ascii="Times New Roman" w:hAnsi="Times New Roman" w:cs="Times New Roman"/>
          <w:sz w:val="24"/>
          <w:szCs w:val="24"/>
        </w:rPr>
        <w:t>эффект</w:t>
      </w:r>
      <w:r>
        <w:rPr>
          <w:rFonts w:ascii="Times New Roman" w:hAnsi="Times New Roman" w:cs="Times New Roman"/>
          <w:sz w:val="24"/>
          <w:szCs w:val="24"/>
        </w:rPr>
        <w:t>а</w:t>
      </w:r>
      <w:r w:rsidRPr="009023FA">
        <w:rPr>
          <w:rFonts w:ascii="Times New Roman" w:hAnsi="Times New Roman" w:cs="Times New Roman"/>
          <w:sz w:val="24"/>
          <w:szCs w:val="24"/>
        </w:rPr>
        <w:t xml:space="preserve"> отложенного спроса на глобальном рынке. На фоне рекордно низких складских запасов у потребителей и металлоторговых компаний, стоимость арматуры уже к концу ноября превысила 600 долл. за тонну – максимального уровня с начала 2018 года.</w:t>
      </w:r>
      <w:r>
        <w:rPr>
          <w:rFonts w:ascii="Times New Roman" w:hAnsi="Times New Roman" w:cs="Times New Roman"/>
          <w:sz w:val="24"/>
          <w:szCs w:val="24"/>
        </w:rPr>
        <w:t xml:space="preserve"> Одновременно наблюдался рост стоимости металлолома.</w:t>
      </w:r>
    </w:p>
    <w:p w14:paraId="3B34533D" w14:textId="77777777" w:rsidR="0080504A" w:rsidRPr="00CE57B8" w:rsidRDefault="0080504A" w:rsidP="0080504A">
      <w:pPr>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Общемировые тенденции влияли на динамику экспорта металл</w:t>
      </w:r>
      <w:r>
        <w:rPr>
          <w:rFonts w:ascii="Times New Roman" w:hAnsi="Times New Roman" w:cs="Times New Roman"/>
          <w:sz w:val="24"/>
          <w:szCs w:val="24"/>
        </w:rPr>
        <w:t>опродукции</w:t>
      </w:r>
      <w:r w:rsidRPr="00CE57B8">
        <w:rPr>
          <w:rFonts w:ascii="Times New Roman" w:hAnsi="Times New Roman" w:cs="Times New Roman"/>
          <w:sz w:val="24"/>
          <w:szCs w:val="24"/>
        </w:rPr>
        <w:t xml:space="preserve"> из </w:t>
      </w:r>
      <w:r w:rsidRPr="00433BAA">
        <w:rPr>
          <w:rFonts w:ascii="Times New Roman" w:hAnsi="Times New Roman" w:cs="Times New Roman"/>
          <w:sz w:val="24"/>
          <w:szCs w:val="24"/>
        </w:rPr>
        <w:t>Приднестровья. По итогам года объём экспорта чёрных металлов удалось нарастить на 5,6%,</w:t>
      </w:r>
      <w:r>
        <w:rPr>
          <w:rFonts w:ascii="Times New Roman" w:hAnsi="Times New Roman" w:cs="Times New Roman"/>
          <w:sz w:val="24"/>
          <w:szCs w:val="24"/>
        </w:rPr>
        <w:t xml:space="preserve"> при этом импорт металлов и сырья возрос на 7,9%</w:t>
      </w:r>
      <w:r w:rsidRPr="00CE57B8">
        <w:rPr>
          <w:rFonts w:ascii="Times New Roman" w:hAnsi="Times New Roman" w:cs="Times New Roman"/>
          <w:sz w:val="24"/>
          <w:szCs w:val="24"/>
        </w:rPr>
        <w:t xml:space="preserve">. </w:t>
      </w:r>
      <w:r>
        <w:rPr>
          <w:rFonts w:ascii="Times New Roman" w:hAnsi="Times New Roman" w:cs="Times New Roman"/>
          <w:sz w:val="24"/>
          <w:szCs w:val="24"/>
        </w:rPr>
        <w:t xml:space="preserve">В результате чёрная металлургия стала главным локомотивом приднестровской экономики по итогам 2020 года, нивелировавшим отрицательные результаты других отраслей. </w:t>
      </w:r>
    </w:p>
    <w:p w14:paraId="20A34F8E" w14:textId="77777777" w:rsidR="0080504A" w:rsidRPr="00CE57B8" w:rsidRDefault="0080504A" w:rsidP="0080504A">
      <w:pPr>
        <w:spacing w:before="0" w:after="0" w:line="240" w:lineRule="auto"/>
        <w:ind w:firstLine="425"/>
        <w:jc w:val="both"/>
        <w:rPr>
          <w:rFonts w:ascii="Times New Roman" w:eastAsia="Times New Roman" w:hAnsi="Times New Roman" w:cs="Times New Roman"/>
          <w:sz w:val="24"/>
          <w:szCs w:val="24"/>
        </w:rPr>
      </w:pPr>
      <w:r w:rsidRPr="00CE57B8">
        <w:rPr>
          <w:rFonts w:ascii="Times New Roman" w:hAnsi="Times New Roman" w:cs="Times New Roman"/>
          <w:sz w:val="24"/>
          <w:szCs w:val="24"/>
        </w:rPr>
        <w:t>Существенн</w:t>
      </w:r>
      <w:r>
        <w:rPr>
          <w:rFonts w:ascii="Times New Roman" w:hAnsi="Times New Roman" w:cs="Times New Roman"/>
          <w:sz w:val="24"/>
          <w:szCs w:val="24"/>
        </w:rPr>
        <w:t>ы</w:t>
      </w:r>
      <w:r w:rsidRPr="00CE57B8">
        <w:rPr>
          <w:rFonts w:ascii="Times New Roman" w:hAnsi="Times New Roman" w:cs="Times New Roman"/>
          <w:sz w:val="24"/>
          <w:szCs w:val="24"/>
        </w:rPr>
        <w:t xml:space="preserve">е </w:t>
      </w:r>
      <w:r>
        <w:rPr>
          <w:rFonts w:ascii="Times New Roman" w:hAnsi="Times New Roman" w:cs="Times New Roman"/>
          <w:sz w:val="24"/>
          <w:szCs w:val="24"/>
        </w:rPr>
        <w:t xml:space="preserve">изменения коснулись мирового </w:t>
      </w:r>
      <w:r w:rsidRPr="00CE57B8">
        <w:rPr>
          <w:rFonts w:ascii="Times New Roman" w:hAnsi="Times New Roman" w:cs="Times New Roman"/>
          <w:sz w:val="24"/>
          <w:szCs w:val="24"/>
        </w:rPr>
        <w:t>энергетическо</w:t>
      </w:r>
      <w:r>
        <w:rPr>
          <w:rFonts w:ascii="Times New Roman" w:hAnsi="Times New Roman" w:cs="Times New Roman"/>
          <w:sz w:val="24"/>
          <w:szCs w:val="24"/>
        </w:rPr>
        <w:t>го</w:t>
      </w:r>
      <w:r w:rsidRPr="00CE57B8">
        <w:rPr>
          <w:rFonts w:ascii="Times New Roman" w:hAnsi="Times New Roman" w:cs="Times New Roman"/>
          <w:sz w:val="24"/>
          <w:szCs w:val="24"/>
        </w:rPr>
        <w:t xml:space="preserve"> сектор</w:t>
      </w:r>
      <w:r>
        <w:rPr>
          <w:rFonts w:ascii="Times New Roman" w:hAnsi="Times New Roman" w:cs="Times New Roman"/>
          <w:sz w:val="24"/>
          <w:szCs w:val="24"/>
        </w:rPr>
        <w:t>а.</w:t>
      </w:r>
      <w:r w:rsidRPr="00CE57B8">
        <w:rPr>
          <w:rFonts w:ascii="Times New Roman" w:hAnsi="Times New Roman" w:cs="Times New Roman"/>
          <w:sz w:val="24"/>
          <w:szCs w:val="24"/>
        </w:rPr>
        <w:t xml:space="preserve"> За 2020 год нефть марки Brent подешевела на 21,5%, что стало самым резким падением </w:t>
      </w:r>
      <w:r w:rsidRPr="00CE57B8">
        <w:rPr>
          <w:rFonts w:ascii="Times New Roman" w:eastAsia="Times New Roman" w:hAnsi="Times New Roman" w:cs="Times New Roman"/>
          <w:sz w:val="24"/>
          <w:szCs w:val="24"/>
        </w:rPr>
        <w:t xml:space="preserve">с 2015 года. </w:t>
      </w:r>
      <w:r w:rsidRPr="00CE57B8">
        <w:rPr>
          <w:rFonts w:ascii="Times New Roman" w:hAnsi="Times New Roman" w:cs="Times New Roman"/>
          <w:sz w:val="24"/>
          <w:szCs w:val="24"/>
        </w:rPr>
        <w:t xml:space="preserve">Итоги </w:t>
      </w:r>
      <w:r>
        <w:rPr>
          <w:rFonts w:ascii="Times New Roman" w:hAnsi="Times New Roman" w:cs="Times New Roman"/>
          <w:sz w:val="24"/>
          <w:szCs w:val="24"/>
        </w:rPr>
        <w:t>года</w:t>
      </w:r>
      <w:r w:rsidRPr="00CE57B8">
        <w:rPr>
          <w:rFonts w:ascii="Times New Roman" w:hAnsi="Times New Roman" w:cs="Times New Roman"/>
          <w:sz w:val="24"/>
          <w:szCs w:val="24"/>
        </w:rPr>
        <w:t xml:space="preserve"> главным образом определили </w:t>
      </w:r>
      <w:r>
        <w:rPr>
          <w:rFonts w:ascii="Times New Roman" w:hAnsi="Times New Roman" w:cs="Times New Roman"/>
          <w:sz w:val="24"/>
          <w:szCs w:val="24"/>
        </w:rPr>
        <w:t>прекращение действия с</w:t>
      </w:r>
      <w:r w:rsidRPr="00CE57B8">
        <w:rPr>
          <w:rFonts w:ascii="Times New Roman" w:hAnsi="Times New Roman" w:cs="Times New Roman"/>
          <w:sz w:val="24"/>
          <w:szCs w:val="24"/>
        </w:rPr>
        <w:t xml:space="preserve">делки ОПЕК+ с 1 апреля 2020 года, решение ближневосточных производителей (прежде всего Саудовской Аравии) о расширении добычи и рекордный рост запасов нефти и нефтепродуктов. </w:t>
      </w:r>
      <w:r>
        <w:rPr>
          <w:rFonts w:ascii="Times New Roman" w:hAnsi="Times New Roman" w:cs="Times New Roman"/>
          <w:sz w:val="24"/>
          <w:szCs w:val="24"/>
        </w:rPr>
        <w:t>С одной стороны, это обусловило снижение стоимости импортируемых Приднестровьем топливно-энергетических товаров на 33,8%, а с другой, – падение цен на один из главных экспортных товаров республики – электроэнергию.</w:t>
      </w:r>
    </w:p>
    <w:p w14:paraId="1A5FA049" w14:textId="3CD992F7" w:rsidR="0080504A" w:rsidRPr="00CE57B8" w:rsidRDefault="0080504A" w:rsidP="0080504A">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Д</w:t>
      </w:r>
      <w:r w:rsidRPr="00CE57B8">
        <w:rPr>
          <w:rFonts w:ascii="Times New Roman" w:hAnsi="Times New Roman" w:cs="Times New Roman"/>
          <w:sz w:val="24"/>
          <w:szCs w:val="24"/>
        </w:rPr>
        <w:t>инамика спроса и предложени</w:t>
      </w:r>
      <w:r>
        <w:rPr>
          <w:rFonts w:ascii="Times New Roman" w:hAnsi="Times New Roman" w:cs="Times New Roman"/>
          <w:sz w:val="24"/>
          <w:szCs w:val="24"/>
        </w:rPr>
        <w:t>я</w:t>
      </w:r>
      <w:r w:rsidRPr="00CE57B8">
        <w:rPr>
          <w:rFonts w:ascii="Times New Roman" w:hAnsi="Times New Roman" w:cs="Times New Roman"/>
          <w:sz w:val="24"/>
          <w:szCs w:val="24"/>
        </w:rPr>
        <w:t xml:space="preserve"> на глобальном рынке зерновых и масличных культур </w:t>
      </w:r>
      <w:r w:rsidR="000229BE">
        <w:rPr>
          <w:rFonts w:ascii="Times New Roman" w:hAnsi="Times New Roman" w:cs="Times New Roman"/>
          <w:sz w:val="24"/>
          <w:szCs w:val="24"/>
        </w:rPr>
        <w:t>отражалась</w:t>
      </w:r>
      <w:r w:rsidR="0097195C">
        <w:rPr>
          <w:rFonts w:ascii="Times New Roman" w:hAnsi="Times New Roman" w:cs="Times New Roman"/>
          <w:sz w:val="24"/>
          <w:szCs w:val="24"/>
        </w:rPr>
        <w:t xml:space="preserve"> на</w:t>
      </w:r>
      <w:r w:rsidRPr="00CE57B8">
        <w:rPr>
          <w:rFonts w:ascii="Times New Roman" w:hAnsi="Times New Roman" w:cs="Times New Roman"/>
          <w:sz w:val="24"/>
          <w:szCs w:val="24"/>
        </w:rPr>
        <w:t xml:space="preserve"> волатильност</w:t>
      </w:r>
      <w:r w:rsidR="0097195C">
        <w:rPr>
          <w:rFonts w:ascii="Times New Roman" w:hAnsi="Times New Roman" w:cs="Times New Roman"/>
          <w:sz w:val="24"/>
          <w:szCs w:val="24"/>
        </w:rPr>
        <w:t>и</w:t>
      </w:r>
      <w:r w:rsidRPr="00CE57B8">
        <w:rPr>
          <w:rFonts w:ascii="Times New Roman" w:hAnsi="Times New Roman" w:cs="Times New Roman"/>
          <w:sz w:val="24"/>
          <w:szCs w:val="24"/>
        </w:rPr>
        <w:t xml:space="preserve"> их котировок. Резкое </w:t>
      </w:r>
      <w:r>
        <w:rPr>
          <w:rFonts w:ascii="Times New Roman" w:hAnsi="Times New Roman" w:cs="Times New Roman"/>
          <w:sz w:val="24"/>
          <w:szCs w:val="24"/>
        </w:rPr>
        <w:t>снижение</w:t>
      </w:r>
      <w:r w:rsidRPr="00CE57B8">
        <w:rPr>
          <w:rFonts w:ascii="Times New Roman" w:hAnsi="Times New Roman" w:cs="Times New Roman"/>
          <w:sz w:val="24"/>
          <w:szCs w:val="24"/>
        </w:rPr>
        <w:t xml:space="preserve"> мировых цен на зерно (гл</w:t>
      </w:r>
      <w:r>
        <w:rPr>
          <w:rFonts w:ascii="Times New Roman" w:hAnsi="Times New Roman" w:cs="Times New Roman"/>
          <w:sz w:val="24"/>
          <w:szCs w:val="24"/>
        </w:rPr>
        <w:t>авным образом на пшеницу) в начале</w:t>
      </w:r>
      <w:r w:rsidRPr="00CE57B8">
        <w:rPr>
          <w:rFonts w:ascii="Times New Roman" w:hAnsi="Times New Roman" w:cs="Times New Roman"/>
          <w:sz w:val="24"/>
          <w:szCs w:val="24"/>
        </w:rPr>
        <w:t xml:space="preserve"> весн</w:t>
      </w:r>
      <w:r>
        <w:rPr>
          <w:rFonts w:ascii="Times New Roman" w:hAnsi="Times New Roman" w:cs="Times New Roman"/>
          <w:sz w:val="24"/>
          <w:szCs w:val="24"/>
        </w:rPr>
        <w:t>ы</w:t>
      </w:r>
      <w:r w:rsidRPr="00CE57B8">
        <w:rPr>
          <w:rFonts w:ascii="Times New Roman" w:hAnsi="Times New Roman" w:cs="Times New Roman"/>
          <w:sz w:val="24"/>
          <w:szCs w:val="24"/>
        </w:rPr>
        <w:t xml:space="preserve"> </w:t>
      </w:r>
      <w:r>
        <w:rPr>
          <w:rFonts w:ascii="Times New Roman" w:hAnsi="Times New Roman" w:cs="Times New Roman"/>
          <w:sz w:val="24"/>
          <w:szCs w:val="24"/>
        </w:rPr>
        <w:t xml:space="preserve">2020 года </w:t>
      </w:r>
      <w:r w:rsidRPr="00CE57B8">
        <w:rPr>
          <w:rFonts w:ascii="Times New Roman" w:hAnsi="Times New Roman" w:cs="Times New Roman"/>
          <w:sz w:val="24"/>
          <w:szCs w:val="24"/>
        </w:rPr>
        <w:t xml:space="preserve">было преимущественно </w:t>
      </w:r>
      <w:r>
        <w:rPr>
          <w:rFonts w:ascii="Times New Roman" w:hAnsi="Times New Roman" w:cs="Times New Roman"/>
          <w:sz w:val="24"/>
          <w:szCs w:val="24"/>
        </w:rPr>
        <w:t>обусловлено</w:t>
      </w:r>
      <w:r w:rsidRPr="00CE57B8">
        <w:rPr>
          <w:rFonts w:ascii="Times New Roman" w:hAnsi="Times New Roman" w:cs="Times New Roman"/>
          <w:sz w:val="24"/>
          <w:szCs w:val="24"/>
        </w:rPr>
        <w:t xml:space="preserve"> ожиданиями существенного сокращения его потребления и </w:t>
      </w:r>
      <w:r>
        <w:rPr>
          <w:rFonts w:ascii="Times New Roman" w:hAnsi="Times New Roman" w:cs="Times New Roman"/>
          <w:sz w:val="24"/>
          <w:szCs w:val="24"/>
        </w:rPr>
        <w:t>падени</w:t>
      </w:r>
      <w:r w:rsidRPr="00CE57B8">
        <w:rPr>
          <w:rFonts w:ascii="Times New Roman" w:hAnsi="Times New Roman" w:cs="Times New Roman"/>
          <w:sz w:val="24"/>
          <w:szCs w:val="24"/>
        </w:rPr>
        <w:t>ем мирового спроса на фоне разрастающегося кризиса. Однако вскоре рынок развернулся в диаметрально противоположном направлении – мировой спрос, вопреки ожиданиям, увеличивался</w:t>
      </w:r>
      <w:r>
        <w:rPr>
          <w:rFonts w:ascii="Times New Roman" w:hAnsi="Times New Roman" w:cs="Times New Roman"/>
          <w:sz w:val="24"/>
          <w:szCs w:val="24"/>
        </w:rPr>
        <w:t>. М</w:t>
      </w:r>
      <w:r w:rsidRPr="00CE57B8">
        <w:rPr>
          <w:rFonts w:ascii="Times New Roman" w:hAnsi="Times New Roman" w:cs="Times New Roman"/>
          <w:sz w:val="24"/>
          <w:szCs w:val="24"/>
        </w:rPr>
        <w:t xml:space="preserve">ногие страны решили сформировать стратегические запасы зерна, что привело к бурному росту импорта и, как следствие, повышению цен. </w:t>
      </w:r>
      <w:r>
        <w:rPr>
          <w:rFonts w:ascii="Times New Roman" w:hAnsi="Times New Roman" w:cs="Times New Roman"/>
          <w:sz w:val="24"/>
          <w:szCs w:val="24"/>
        </w:rPr>
        <w:t xml:space="preserve">К тому же Черноморский регион, включая Приднестровье, в 2020 году столкнулся с небывалой засухой, в результате неблагоприятные погодные условия в значительной степени повлияли на совокупное предложение зерновых культур и подсолнечника, подталкивая цены вверх. </w:t>
      </w:r>
    </w:p>
    <w:p w14:paraId="561B5996" w14:textId="5A4C2161" w:rsidR="00076D9F" w:rsidRDefault="0080504A" w:rsidP="00076D9F">
      <w:pPr>
        <w:widowControl w:val="0"/>
        <w:spacing w:before="0" w:after="0" w:line="240" w:lineRule="auto"/>
        <w:ind w:firstLine="425"/>
        <w:jc w:val="both"/>
        <w:rPr>
          <w:rFonts w:ascii="Times New Roman" w:hAnsi="Times New Roman" w:cs="Times New Roman"/>
          <w:sz w:val="24"/>
          <w:szCs w:val="24"/>
        </w:rPr>
      </w:pPr>
      <w:r w:rsidRPr="00CE57B8">
        <w:rPr>
          <w:rFonts w:ascii="Times New Roman" w:hAnsi="Times New Roman" w:cs="Times New Roman"/>
          <w:sz w:val="24"/>
          <w:szCs w:val="24"/>
        </w:rPr>
        <w:t xml:space="preserve">К концу 2020 года достаточно сильный поддерживающий </w:t>
      </w:r>
      <w:r>
        <w:rPr>
          <w:rFonts w:ascii="Times New Roman" w:hAnsi="Times New Roman" w:cs="Times New Roman"/>
          <w:sz w:val="24"/>
          <w:szCs w:val="24"/>
        </w:rPr>
        <w:t xml:space="preserve">ценовой </w:t>
      </w:r>
      <w:r w:rsidRPr="00CE57B8">
        <w:rPr>
          <w:rFonts w:ascii="Times New Roman" w:hAnsi="Times New Roman" w:cs="Times New Roman"/>
          <w:sz w:val="24"/>
          <w:szCs w:val="24"/>
        </w:rPr>
        <w:t xml:space="preserve">эффект на рынке зерна оказали введённые в России ограничения на экспорт зерновых в виде пошлины на пшеницу в </w:t>
      </w:r>
      <w:r w:rsidRPr="00F74FC2">
        <w:rPr>
          <w:rFonts w:ascii="Times New Roman" w:hAnsi="Times New Roman" w:cs="Times New Roman"/>
          <w:sz w:val="24"/>
          <w:szCs w:val="24"/>
        </w:rPr>
        <w:t xml:space="preserve">размере 25 евро/тонна </w:t>
      </w:r>
      <w:r w:rsidR="00FE7893" w:rsidRPr="00775765">
        <w:rPr>
          <w:rFonts w:ascii="Times New Roman" w:hAnsi="Times New Roman" w:cs="Times New Roman"/>
          <w:sz w:val="24"/>
          <w:szCs w:val="24"/>
        </w:rPr>
        <w:t xml:space="preserve">25 евро/тонна </w:t>
      </w:r>
      <w:r w:rsidR="00D844F0" w:rsidRPr="00775765">
        <w:rPr>
          <w:rFonts w:ascii="Times New Roman" w:hAnsi="Times New Roman" w:cs="Times New Roman"/>
          <w:sz w:val="24"/>
          <w:szCs w:val="24"/>
        </w:rPr>
        <w:t>(с 1 марта по 30 июня – 50 евро</w:t>
      </w:r>
      <w:r w:rsidR="00F92AAF" w:rsidRPr="00775765">
        <w:rPr>
          <w:rFonts w:ascii="Times New Roman" w:hAnsi="Times New Roman" w:cs="Times New Roman"/>
          <w:sz w:val="24"/>
          <w:szCs w:val="24"/>
        </w:rPr>
        <w:t>/тонна</w:t>
      </w:r>
      <w:r w:rsidR="00D844F0" w:rsidRPr="00775765">
        <w:rPr>
          <w:rFonts w:ascii="Times New Roman" w:hAnsi="Times New Roman" w:cs="Times New Roman"/>
          <w:sz w:val="24"/>
          <w:szCs w:val="24"/>
        </w:rPr>
        <w:t xml:space="preserve">) </w:t>
      </w:r>
      <w:r w:rsidRPr="00F74FC2">
        <w:rPr>
          <w:rFonts w:ascii="Times New Roman" w:hAnsi="Times New Roman" w:cs="Times New Roman"/>
          <w:sz w:val="24"/>
          <w:szCs w:val="24"/>
        </w:rPr>
        <w:t>и экспортной квоты на пшеницу, кукурузу, ячмень и рожь совокупным</w:t>
      </w:r>
      <w:r w:rsidRPr="00CE57B8">
        <w:rPr>
          <w:rFonts w:ascii="Times New Roman" w:hAnsi="Times New Roman" w:cs="Times New Roman"/>
          <w:sz w:val="24"/>
          <w:szCs w:val="24"/>
        </w:rPr>
        <w:t xml:space="preserve"> объёмом 17,5 млн тонн.</w:t>
      </w:r>
    </w:p>
    <w:p w14:paraId="074B4D4A" w14:textId="7B013EA7" w:rsidR="00600C9A" w:rsidRDefault="000229BE" w:rsidP="000229BE">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В итоге к</w:t>
      </w:r>
      <w:r w:rsidRPr="00CE57B8">
        <w:rPr>
          <w:rFonts w:ascii="Times New Roman" w:hAnsi="Times New Roman" w:cs="Times New Roman"/>
          <w:sz w:val="24"/>
          <w:szCs w:val="24"/>
        </w:rPr>
        <w:t xml:space="preserve"> концу отчётного года </w:t>
      </w:r>
      <w:r>
        <w:rPr>
          <w:rFonts w:ascii="Times New Roman" w:hAnsi="Times New Roman" w:cs="Times New Roman"/>
          <w:sz w:val="24"/>
          <w:szCs w:val="24"/>
        </w:rPr>
        <w:t xml:space="preserve">мировые </w:t>
      </w:r>
      <w:r w:rsidRPr="00CE57B8">
        <w:rPr>
          <w:rFonts w:ascii="Times New Roman" w:hAnsi="Times New Roman" w:cs="Times New Roman"/>
          <w:sz w:val="24"/>
          <w:szCs w:val="24"/>
        </w:rPr>
        <w:t>цены на зерно достигли максимальных значений с 2014 года.</w:t>
      </w:r>
      <w:r>
        <w:rPr>
          <w:rFonts w:ascii="Times New Roman" w:hAnsi="Times New Roman" w:cs="Times New Roman"/>
          <w:sz w:val="24"/>
          <w:szCs w:val="24"/>
        </w:rPr>
        <w:t xml:space="preserve"> Наряду с динамикой цен на сахар это стало ведущим фактором повышения </w:t>
      </w:r>
      <w:r w:rsidRPr="00CE57B8">
        <w:rPr>
          <w:rFonts w:ascii="Times New Roman" w:hAnsi="Times New Roman" w:cs="Times New Roman"/>
          <w:sz w:val="24"/>
          <w:szCs w:val="24"/>
        </w:rPr>
        <w:t>среднегодово</w:t>
      </w:r>
      <w:r>
        <w:rPr>
          <w:rFonts w:ascii="Times New Roman" w:hAnsi="Times New Roman" w:cs="Times New Roman"/>
          <w:sz w:val="24"/>
          <w:szCs w:val="24"/>
        </w:rPr>
        <w:t>го</w:t>
      </w:r>
      <w:r w:rsidRPr="00CE57B8">
        <w:rPr>
          <w:rFonts w:ascii="Times New Roman" w:hAnsi="Times New Roman" w:cs="Times New Roman"/>
          <w:sz w:val="24"/>
          <w:szCs w:val="24"/>
        </w:rPr>
        <w:t xml:space="preserve"> значени</w:t>
      </w:r>
      <w:r>
        <w:rPr>
          <w:rFonts w:ascii="Times New Roman" w:hAnsi="Times New Roman" w:cs="Times New Roman"/>
          <w:sz w:val="24"/>
          <w:szCs w:val="24"/>
        </w:rPr>
        <w:t>я</w:t>
      </w:r>
      <w:r w:rsidRPr="00CE57B8">
        <w:rPr>
          <w:rFonts w:ascii="Times New Roman" w:hAnsi="Times New Roman" w:cs="Times New Roman"/>
          <w:sz w:val="24"/>
          <w:szCs w:val="24"/>
        </w:rPr>
        <w:t xml:space="preserve"> индекса продовольственных цен ФАО</w:t>
      </w:r>
      <w:r w:rsidRPr="00CE57B8">
        <w:rPr>
          <w:rStyle w:val="ae"/>
          <w:rFonts w:ascii="Times New Roman" w:hAnsi="Times New Roman"/>
          <w:sz w:val="24"/>
          <w:szCs w:val="24"/>
        </w:rPr>
        <w:footnoteReference w:id="2"/>
      </w:r>
      <w:r w:rsidRPr="00CE57B8">
        <w:rPr>
          <w:rFonts w:ascii="Times New Roman" w:hAnsi="Times New Roman" w:cs="Times New Roman"/>
          <w:sz w:val="24"/>
          <w:szCs w:val="24"/>
        </w:rPr>
        <w:t xml:space="preserve"> </w:t>
      </w:r>
      <w:r>
        <w:rPr>
          <w:rFonts w:ascii="Times New Roman" w:hAnsi="Times New Roman" w:cs="Times New Roman"/>
          <w:sz w:val="24"/>
          <w:szCs w:val="24"/>
        </w:rPr>
        <w:t xml:space="preserve">на 3,1% </w:t>
      </w:r>
      <w:r w:rsidRPr="00CE57B8">
        <w:rPr>
          <w:rFonts w:ascii="Times New Roman" w:hAnsi="Times New Roman" w:cs="Times New Roman"/>
          <w:sz w:val="24"/>
          <w:szCs w:val="24"/>
        </w:rPr>
        <w:t>к уровню 2019 года</w:t>
      </w:r>
      <w:r>
        <w:rPr>
          <w:rFonts w:ascii="Times New Roman" w:hAnsi="Times New Roman" w:cs="Times New Roman"/>
          <w:sz w:val="24"/>
          <w:szCs w:val="24"/>
        </w:rPr>
        <w:t>, до</w:t>
      </w:r>
      <w:r w:rsidRPr="00CE57B8">
        <w:rPr>
          <w:rFonts w:ascii="Times New Roman" w:hAnsi="Times New Roman" w:cs="Times New Roman"/>
          <w:sz w:val="24"/>
          <w:szCs w:val="24"/>
        </w:rPr>
        <w:t xml:space="preserve"> </w:t>
      </w:r>
      <w:r>
        <w:rPr>
          <w:rFonts w:ascii="Times New Roman" w:hAnsi="Times New Roman" w:cs="Times New Roman"/>
          <w:sz w:val="24"/>
          <w:szCs w:val="24"/>
        </w:rPr>
        <w:t>98,0</w:t>
      </w:r>
      <w:r w:rsidRPr="00CE57B8">
        <w:rPr>
          <w:rFonts w:ascii="Times New Roman" w:hAnsi="Times New Roman" w:cs="Times New Roman"/>
          <w:sz w:val="24"/>
          <w:szCs w:val="24"/>
        </w:rPr>
        <w:t xml:space="preserve"> п., что стало </w:t>
      </w:r>
      <w:r>
        <w:rPr>
          <w:rFonts w:ascii="Times New Roman" w:hAnsi="Times New Roman" w:cs="Times New Roman"/>
          <w:sz w:val="24"/>
          <w:szCs w:val="24"/>
        </w:rPr>
        <w:t>максимумом</w:t>
      </w:r>
      <w:r w:rsidRPr="00CE57B8">
        <w:rPr>
          <w:rFonts w:ascii="Times New Roman" w:hAnsi="Times New Roman" w:cs="Times New Roman"/>
          <w:sz w:val="24"/>
          <w:szCs w:val="24"/>
        </w:rPr>
        <w:t xml:space="preserve"> с 2017 года. </w:t>
      </w:r>
    </w:p>
    <w:p w14:paraId="79D4C259" w14:textId="66BB27AF" w:rsidR="00470220" w:rsidRDefault="00470220" w:rsidP="00637746">
      <w:pPr>
        <w:widowControl w:val="0"/>
        <w:spacing w:before="0" w:after="0" w:line="240" w:lineRule="auto"/>
        <w:ind w:firstLine="425"/>
        <w:jc w:val="both"/>
        <w:rPr>
          <w:rFonts w:ascii="Times New Roman" w:hAnsi="Times New Roman" w:cs="Times New Roman"/>
          <w:sz w:val="24"/>
          <w:szCs w:val="24"/>
        </w:rPr>
      </w:pPr>
    </w:p>
    <w:p w14:paraId="06B41312" w14:textId="5B30C2C5" w:rsidR="00BE7BE0" w:rsidRPr="004D7D79" w:rsidRDefault="00BE7BE0" w:rsidP="00822F2A">
      <w:pPr>
        <w:pStyle w:val="1"/>
        <w:widowControl w:val="0"/>
        <w:numPr>
          <w:ilvl w:val="1"/>
          <w:numId w:val="1"/>
        </w:numPr>
        <w:jc w:val="center"/>
        <w:rPr>
          <w:b/>
          <w:bCs/>
          <w:noProof/>
          <w:sz w:val="24"/>
          <w:szCs w:val="24"/>
        </w:rPr>
      </w:pPr>
      <w:r w:rsidRPr="004D7D79">
        <w:rPr>
          <w:b/>
          <w:bCs/>
          <w:noProof/>
          <w:sz w:val="24"/>
          <w:szCs w:val="24"/>
        </w:rPr>
        <w:t>ЭКОНОМИЧЕСКОЕ ПОЛОЖЕНИЕ ПРИДНЕСТРОВЬЯ</w:t>
      </w:r>
    </w:p>
    <w:p w14:paraId="454C5495" w14:textId="77777777" w:rsidR="008A651D" w:rsidRPr="00A344C8" w:rsidRDefault="008A651D" w:rsidP="008A651D">
      <w:pPr>
        <w:widowControl w:val="0"/>
        <w:spacing w:before="0" w:after="0" w:line="240" w:lineRule="auto"/>
        <w:ind w:left="425"/>
        <w:jc w:val="both"/>
        <w:rPr>
          <w:rFonts w:ascii="Times New Roman" w:hAnsi="Times New Roman" w:cs="Times New Roman"/>
          <w:iCs/>
          <w:noProof/>
          <w:sz w:val="24"/>
          <w:szCs w:val="24"/>
        </w:rPr>
      </w:pPr>
    </w:p>
    <w:p w14:paraId="1C55B711" w14:textId="77777777" w:rsidR="00BE7BE0" w:rsidRPr="00071AA5" w:rsidRDefault="00BF66C3" w:rsidP="00822F2A">
      <w:pPr>
        <w:pStyle w:val="2"/>
        <w:spacing w:before="0"/>
        <w:jc w:val="center"/>
        <w:rPr>
          <w:rFonts w:ascii="Times New Roman" w:hAnsi="Times New Roman" w:cs="Times New Roman"/>
          <w:b/>
          <w:noProof/>
          <w:sz w:val="24"/>
          <w:szCs w:val="24"/>
        </w:rPr>
      </w:pPr>
      <w:r w:rsidRPr="004D7D79">
        <w:rPr>
          <w:b/>
          <w:noProof/>
        </w:rPr>
        <w:t>Экономическая активность</w:t>
      </w:r>
    </w:p>
    <w:p w14:paraId="1F5CBFF9" w14:textId="77777777" w:rsidR="008A651D" w:rsidRDefault="008A651D" w:rsidP="008A651D">
      <w:pPr>
        <w:widowControl w:val="0"/>
        <w:spacing w:before="0" w:after="0" w:line="240" w:lineRule="auto"/>
        <w:ind w:firstLine="425"/>
        <w:jc w:val="both"/>
        <w:rPr>
          <w:rFonts w:ascii="Times New Roman" w:hAnsi="Times New Roman" w:cs="Times New Roman"/>
          <w:sz w:val="24"/>
          <w:szCs w:val="24"/>
        </w:rPr>
      </w:pPr>
    </w:p>
    <w:p w14:paraId="7C2A1DB4" w14:textId="5755E4CC" w:rsidR="00796794" w:rsidRPr="00A61FE6" w:rsidRDefault="00796794" w:rsidP="00796794">
      <w:pPr>
        <w:widowControl w:val="0"/>
        <w:spacing w:before="0" w:after="0" w:line="240" w:lineRule="auto"/>
        <w:ind w:firstLine="425"/>
        <w:jc w:val="both"/>
        <w:rPr>
          <w:rFonts w:ascii="Times New Roman" w:hAnsi="Times New Roman" w:cs="Times New Roman"/>
          <w:sz w:val="24"/>
          <w:szCs w:val="24"/>
        </w:rPr>
      </w:pPr>
      <w:r w:rsidRPr="00A61FE6">
        <w:rPr>
          <w:rFonts w:ascii="Times New Roman" w:hAnsi="Times New Roman" w:cs="Times New Roman"/>
          <w:sz w:val="24"/>
          <w:szCs w:val="24"/>
        </w:rPr>
        <w:t xml:space="preserve">По данным Государственной службы статистики </w:t>
      </w:r>
      <w:r w:rsidR="00D72474">
        <w:rPr>
          <w:rFonts w:ascii="Times New Roman" w:hAnsi="Times New Roman" w:cs="Times New Roman"/>
          <w:sz w:val="24"/>
          <w:szCs w:val="24"/>
        </w:rPr>
        <w:t>ПМР</w:t>
      </w:r>
      <w:r w:rsidRPr="00A61FE6">
        <w:rPr>
          <w:rFonts w:ascii="Times New Roman" w:hAnsi="Times New Roman" w:cs="Times New Roman"/>
          <w:sz w:val="24"/>
          <w:szCs w:val="24"/>
        </w:rPr>
        <w:t xml:space="preserve">, номинальный объём созданного в республике валового внутреннего продукта по итогам 9 месяцев 2020 года составил </w:t>
      </w:r>
      <w:r w:rsidR="009B3C38">
        <w:rPr>
          <w:rFonts w:ascii="Times New Roman" w:hAnsi="Times New Roman" w:cs="Times New Roman"/>
          <w:sz w:val="24"/>
          <w:szCs w:val="24"/>
        </w:rPr>
        <w:br/>
      </w:r>
      <w:r w:rsidRPr="00A61FE6">
        <w:rPr>
          <w:rFonts w:ascii="Times New Roman" w:hAnsi="Times New Roman" w:cs="Times New Roman"/>
          <w:sz w:val="24"/>
          <w:szCs w:val="24"/>
        </w:rPr>
        <w:t>9 030,6 млн руб. (табл. 1.1), что</w:t>
      </w:r>
      <w:r w:rsidR="009B3C38">
        <w:rPr>
          <w:rFonts w:ascii="Times New Roman" w:hAnsi="Times New Roman" w:cs="Times New Roman"/>
          <w:sz w:val="24"/>
          <w:szCs w:val="24"/>
        </w:rPr>
        <w:t xml:space="preserve"> в сопоставимых ценах </w:t>
      </w:r>
      <w:r w:rsidRPr="00A61FE6">
        <w:rPr>
          <w:rFonts w:ascii="Times New Roman" w:hAnsi="Times New Roman" w:cs="Times New Roman"/>
          <w:sz w:val="24"/>
          <w:szCs w:val="24"/>
        </w:rPr>
        <w:t>на 12,9% ниже значения января-сентября 2019 года. Дефлятор ВВП, отражающий темпы изменения средних цен в различных отраслях, сложился на уровне 1,0071 (в январе-сентябре 2019 года – 1,047).</w:t>
      </w:r>
    </w:p>
    <w:p w14:paraId="1A51F345" w14:textId="77777777" w:rsidR="00796794" w:rsidRPr="00A61FE6" w:rsidRDefault="00796794" w:rsidP="00796794">
      <w:pPr>
        <w:widowControl w:val="0"/>
        <w:spacing w:before="120" w:after="120" w:line="240" w:lineRule="auto"/>
        <w:jc w:val="right"/>
        <w:rPr>
          <w:rFonts w:ascii="Times New Roman" w:hAnsi="Times New Roman" w:cs="Times New Roman"/>
          <w:b/>
          <w:i/>
          <w:sz w:val="24"/>
          <w:szCs w:val="24"/>
        </w:rPr>
      </w:pPr>
      <w:r w:rsidRPr="00A61FE6">
        <w:rPr>
          <w:rFonts w:ascii="Times New Roman" w:hAnsi="Times New Roman" w:cs="Times New Roman"/>
          <w:b/>
          <w:i/>
          <w:sz w:val="24"/>
          <w:szCs w:val="24"/>
        </w:rPr>
        <w:t>Таблица 1.1</w:t>
      </w:r>
    </w:p>
    <w:p w14:paraId="54EE6DA4" w14:textId="6F3817A5" w:rsidR="00796794" w:rsidRPr="00A61FE6" w:rsidRDefault="00796794" w:rsidP="00796794">
      <w:pPr>
        <w:widowControl w:val="0"/>
        <w:spacing w:before="0" w:after="120" w:line="240" w:lineRule="auto"/>
        <w:jc w:val="center"/>
        <w:rPr>
          <w:rFonts w:ascii="Times New Roman" w:hAnsi="Times New Roman" w:cs="Times New Roman"/>
          <w:b/>
          <w:i/>
          <w:sz w:val="24"/>
          <w:szCs w:val="24"/>
        </w:rPr>
      </w:pPr>
      <w:r w:rsidRPr="00045DAB">
        <w:rPr>
          <w:rFonts w:ascii="Times New Roman" w:hAnsi="Times New Roman" w:cs="Times New Roman"/>
          <w:b/>
          <w:i/>
          <w:sz w:val="24"/>
          <w:szCs w:val="24"/>
        </w:rPr>
        <w:t xml:space="preserve">Структура и динамика валового внутреннего продукта </w:t>
      </w:r>
      <w:r w:rsidR="009B3C38">
        <w:rPr>
          <w:rFonts w:ascii="Times New Roman" w:hAnsi="Times New Roman" w:cs="Times New Roman"/>
          <w:b/>
          <w:i/>
          <w:sz w:val="24"/>
          <w:szCs w:val="24"/>
        </w:rPr>
        <w:br/>
      </w:r>
      <w:r w:rsidRPr="00045DAB">
        <w:rPr>
          <w:rFonts w:ascii="Times New Roman" w:hAnsi="Times New Roman" w:cs="Times New Roman"/>
          <w:b/>
          <w:i/>
          <w:sz w:val="24"/>
          <w:szCs w:val="24"/>
        </w:rPr>
        <w:t>в январе-сентябре 2019-2020 гг.</w:t>
      </w:r>
      <w:r w:rsidRPr="00A61FE6">
        <w:rPr>
          <w:rFonts w:ascii="Times New Roman" w:hAnsi="Times New Roman" w:cs="Times New Roman"/>
          <w:b/>
          <w:i/>
          <w:sz w:val="24"/>
          <w:szCs w:val="24"/>
        </w:rPr>
        <w:t xml:space="preserve">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1195"/>
        <w:gridCol w:w="1003"/>
        <w:gridCol w:w="1208"/>
        <w:gridCol w:w="1078"/>
        <w:gridCol w:w="923"/>
      </w:tblGrid>
      <w:tr w:rsidR="00796794" w:rsidRPr="00A61FE6" w14:paraId="05F668BF" w14:textId="77777777" w:rsidTr="00781F02">
        <w:trPr>
          <w:cantSplit/>
          <w:trHeight w:val="51"/>
        </w:trPr>
        <w:tc>
          <w:tcPr>
            <w:tcW w:w="4224" w:type="dxa"/>
            <w:vMerge w:val="restart"/>
            <w:tcBorders>
              <w:bottom w:val="nil"/>
            </w:tcBorders>
            <w:shd w:val="clear" w:color="auto" w:fill="C0C0C0"/>
            <w:vAlign w:val="center"/>
          </w:tcPr>
          <w:p w14:paraId="59F102AB" w14:textId="77777777" w:rsidR="00796794" w:rsidRPr="00A61FE6" w:rsidRDefault="00796794" w:rsidP="00781F02">
            <w:pPr>
              <w:widowControl w:val="0"/>
              <w:spacing w:before="0" w:after="0" w:line="240" w:lineRule="auto"/>
              <w:rPr>
                <w:rFonts w:ascii="Times New Roman" w:hAnsi="Times New Roman" w:cs="Times New Roman"/>
                <w:snapToGrid w:val="0"/>
                <w:sz w:val="22"/>
                <w:szCs w:val="22"/>
              </w:rPr>
            </w:pPr>
          </w:p>
        </w:tc>
        <w:tc>
          <w:tcPr>
            <w:tcW w:w="2198" w:type="dxa"/>
            <w:gridSpan w:val="2"/>
            <w:tcBorders>
              <w:bottom w:val="single" w:sz="4" w:space="0" w:color="auto"/>
            </w:tcBorders>
            <w:shd w:val="clear" w:color="auto" w:fill="C0C0C0"/>
            <w:vAlign w:val="center"/>
          </w:tcPr>
          <w:p w14:paraId="0E004F03" w14:textId="77777777" w:rsidR="00796794" w:rsidRPr="00A61FE6" w:rsidRDefault="00796794" w:rsidP="00781F02">
            <w:pPr>
              <w:widowControl w:val="0"/>
              <w:spacing w:before="0" w:after="0" w:line="240" w:lineRule="auto"/>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2019 год</w:t>
            </w:r>
          </w:p>
        </w:tc>
        <w:tc>
          <w:tcPr>
            <w:tcW w:w="2286" w:type="dxa"/>
            <w:gridSpan w:val="2"/>
            <w:tcBorders>
              <w:bottom w:val="single" w:sz="4" w:space="0" w:color="auto"/>
            </w:tcBorders>
            <w:shd w:val="clear" w:color="auto" w:fill="C0C0C0"/>
            <w:vAlign w:val="center"/>
          </w:tcPr>
          <w:p w14:paraId="3CE3E75A" w14:textId="77777777" w:rsidR="00796794" w:rsidRPr="00A61FE6" w:rsidRDefault="00796794" w:rsidP="00781F02">
            <w:pPr>
              <w:widowControl w:val="0"/>
              <w:spacing w:before="0" w:after="0" w:line="240" w:lineRule="auto"/>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2020 год</w:t>
            </w:r>
          </w:p>
        </w:tc>
        <w:tc>
          <w:tcPr>
            <w:tcW w:w="923" w:type="dxa"/>
            <w:vMerge w:val="restart"/>
            <w:tcBorders>
              <w:bottom w:val="nil"/>
            </w:tcBorders>
            <w:shd w:val="clear" w:color="auto" w:fill="C0C0C0"/>
            <w:vAlign w:val="center"/>
          </w:tcPr>
          <w:p w14:paraId="0E2F498E" w14:textId="77777777" w:rsidR="00796794" w:rsidRPr="00A61FE6" w:rsidRDefault="00796794" w:rsidP="00781F02">
            <w:pPr>
              <w:widowControl w:val="0"/>
              <w:spacing w:before="0" w:after="0" w:line="240" w:lineRule="auto"/>
              <w:ind w:left="-104"/>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темп</w:t>
            </w:r>
          </w:p>
          <w:p w14:paraId="4725889A" w14:textId="0D335FDC" w:rsidR="00796794" w:rsidRPr="00A61FE6" w:rsidRDefault="00796794" w:rsidP="00781F02">
            <w:pPr>
              <w:widowControl w:val="0"/>
              <w:spacing w:before="0" w:after="0" w:line="240" w:lineRule="auto"/>
              <w:ind w:left="-104" w:right="-108"/>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роста, %</w:t>
            </w:r>
            <w:r w:rsidR="007152E7" w:rsidRPr="00A61FE6">
              <w:rPr>
                <w:rStyle w:val="ae"/>
                <w:rFonts w:ascii="Times New Roman" w:hAnsi="Times New Roman"/>
                <w:sz w:val="24"/>
                <w:szCs w:val="24"/>
              </w:rPr>
              <w:footnoteReference w:id="3"/>
            </w:r>
          </w:p>
        </w:tc>
      </w:tr>
      <w:tr w:rsidR="00796794" w:rsidRPr="00A61FE6" w14:paraId="1F9C2371" w14:textId="77777777" w:rsidTr="00781F02">
        <w:trPr>
          <w:cantSplit/>
          <w:trHeight w:val="176"/>
        </w:trPr>
        <w:tc>
          <w:tcPr>
            <w:tcW w:w="4224" w:type="dxa"/>
            <w:vMerge/>
            <w:tcBorders>
              <w:bottom w:val="double" w:sz="4" w:space="0" w:color="auto"/>
            </w:tcBorders>
            <w:vAlign w:val="center"/>
          </w:tcPr>
          <w:p w14:paraId="591D10F9" w14:textId="77777777" w:rsidR="00796794" w:rsidRPr="00A61FE6" w:rsidRDefault="00796794" w:rsidP="00781F02">
            <w:pPr>
              <w:widowControl w:val="0"/>
              <w:spacing w:before="0" w:after="0" w:line="240" w:lineRule="auto"/>
              <w:rPr>
                <w:rFonts w:ascii="Times New Roman" w:hAnsi="Times New Roman" w:cs="Times New Roman"/>
                <w:snapToGrid w:val="0"/>
                <w:sz w:val="22"/>
                <w:szCs w:val="22"/>
              </w:rPr>
            </w:pPr>
          </w:p>
        </w:tc>
        <w:tc>
          <w:tcPr>
            <w:tcW w:w="1195" w:type="dxa"/>
            <w:tcBorders>
              <w:bottom w:val="double" w:sz="4" w:space="0" w:color="auto"/>
            </w:tcBorders>
            <w:shd w:val="clear" w:color="auto" w:fill="C0C0C0"/>
            <w:vAlign w:val="center"/>
          </w:tcPr>
          <w:p w14:paraId="4B20F307" w14:textId="77777777" w:rsidR="00796794" w:rsidRPr="00A61FE6" w:rsidRDefault="00796794" w:rsidP="00781F02">
            <w:pPr>
              <w:widowControl w:val="0"/>
              <w:spacing w:before="0" w:after="0" w:line="240" w:lineRule="auto"/>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млн руб.</w:t>
            </w:r>
          </w:p>
        </w:tc>
        <w:tc>
          <w:tcPr>
            <w:tcW w:w="1003" w:type="dxa"/>
            <w:tcBorders>
              <w:bottom w:val="double" w:sz="4" w:space="0" w:color="auto"/>
            </w:tcBorders>
            <w:shd w:val="clear" w:color="auto" w:fill="C0C0C0"/>
            <w:vAlign w:val="center"/>
          </w:tcPr>
          <w:p w14:paraId="4A1833D3" w14:textId="77777777" w:rsidR="00796794" w:rsidRPr="00A61FE6" w:rsidRDefault="00796794" w:rsidP="00781F02">
            <w:pPr>
              <w:widowControl w:val="0"/>
              <w:spacing w:before="0" w:after="0" w:line="240" w:lineRule="auto"/>
              <w:ind w:left="-105" w:right="-113"/>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уд. вес, %</w:t>
            </w:r>
          </w:p>
        </w:tc>
        <w:tc>
          <w:tcPr>
            <w:tcW w:w="1208" w:type="dxa"/>
            <w:tcBorders>
              <w:bottom w:val="double" w:sz="4" w:space="0" w:color="auto"/>
            </w:tcBorders>
            <w:shd w:val="clear" w:color="auto" w:fill="C0C0C0"/>
            <w:vAlign w:val="center"/>
          </w:tcPr>
          <w:p w14:paraId="1D890F27" w14:textId="77777777" w:rsidR="00796794" w:rsidRPr="00A61FE6" w:rsidRDefault="00796794" w:rsidP="00781F02">
            <w:pPr>
              <w:widowControl w:val="0"/>
              <w:spacing w:before="0" w:after="0" w:line="240" w:lineRule="auto"/>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млн руб.</w:t>
            </w:r>
          </w:p>
        </w:tc>
        <w:tc>
          <w:tcPr>
            <w:tcW w:w="1078" w:type="dxa"/>
            <w:tcBorders>
              <w:bottom w:val="double" w:sz="4" w:space="0" w:color="auto"/>
            </w:tcBorders>
            <w:shd w:val="clear" w:color="auto" w:fill="C0C0C0"/>
            <w:vAlign w:val="center"/>
          </w:tcPr>
          <w:p w14:paraId="2E171B6B" w14:textId="77777777" w:rsidR="00796794" w:rsidRPr="00A61FE6" w:rsidRDefault="00796794" w:rsidP="00781F02">
            <w:pPr>
              <w:widowControl w:val="0"/>
              <w:spacing w:before="0" w:after="0" w:line="240" w:lineRule="auto"/>
              <w:ind w:left="-105" w:right="-113"/>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уд. вес, %</w:t>
            </w:r>
          </w:p>
        </w:tc>
        <w:tc>
          <w:tcPr>
            <w:tcW w:w="923" w:type="dxa"/>
            <w:vMerge/>
            <w:tcBorders>
              <w:bottom w:val="double" w:sz="4" w:space="0" w:color="auto"/>
            </w:tcBorders>
          </w:tcPr>
          <w:p w14:paraId="47839FF4" w14:textId="77777777" w:rsidR="00796794" w:rsidRPr="00A61FE6" w:rsidRDefault="00796794" w:rsidP="00781F02">
            <w:pPr>
              <w:widowControl w:val="0"/>
              <w:spacing w:before="0" w:after="0" w:line="240" w:lineRule="auto"/>
              <w:jc w:val="center"/>
              <w:rPr>
                <w:rFonts w:ascii="Times New Roman" w:hAnsi="Times New Roman" w:cs="Times New Roman"/>
                <w:snapToGrid w:val="0"/>
                <w:sz w:val="22"/>
                <w:szCs w:val="22"/>
              </w:rPr>
            </w:pPr>
          </w:p>
        </w:tc>
      </w:tr>
      <w:tr w:rsidR="00796794" w:rsidRPr="00A61FE6" w14:paraId="385AC3B1" w14:textId="77777777" w:rsidTr="00781F02">
        <w:trPr>
          <w:trHeight w:val="131"/>
        </w:trPr>
        <w:tc>
          <w:tcPr>
            <w:tcW w:w="4224" w:type="dxa"/>
            <w:tcBorders>
              <w:top w:val="double" w:sz="4" w:space="0" w:color="auto"/>
              <w:bottom w:val="single" w:sz="4" w:space="0" w:color="auto"/>
            </w:tcBorders>
            <w:shd w:val="clear" w:color="auto" w:fill="E0E0E0"/>
            <w:vAlign w:val="bottom"/>
          </w:tcPr>
          <w:p w14:paraId="44086AAF" w14:textId="77777777" w:rsidR="00796794" w:rsidRPr="00A61FE6" w:rsidRDefault="00796794" w:rsidP="00781F02">
            <w:pPr>
              <w:widowControl w:val="0"/>
              <w:spacing w:before="0" w:after="0" w:line="240" w:lineRule="auto"/>
              <w:rPr>
                <w:rFonts w:ascii="Times New Roman" w:hAnsi="Times New Roman" w:cs="Times New Roman"/>
                <w:sz w:val="22"/>
                <w:szCs w:val="22"/>
              </w:rPr>
            </w:pPr>
            <w:r w:rsidRPr="00A61FE6">
              <w:rPr>
                <w:rFonts w:ascii="Times New Roman" w:hAnsi="Times New Roman" w:cs="Times New Roman"/>
                <w:sz w:val="22"/>
                <w:szCs w:val="22"/>
              </w:rPr>
              <w:t xml:space="preserve">ВВП </w:t>
            </w:r>
          </w:p>
        </w:tc>
        <w:tc>
          <w:tcPr>
            <w:tcW w:w="1195" w:type="dxa"/>
            <w:tcBorders>
              <w:top w:val="double" w:sz="4" w:space="0" w:color="auto"/>
              <w:bottom w:val="single" w:sz="4" w:space="0" w:color="auto"/>
            </w:tcBorders>
            <w:shd w:val="clear" w:color="auto" w:fill="E0E0E0"/>
          </w:tcPr>
          <w:p w14:paraId="11F1A41A"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z w:val="22"/>
                <w:szCs w:val="22"/>
              </w:rPr>
              <w:t>10 298,6</w:t>
            </w:r>
          </w:p>
        </w:tc>
        <w:tc>
          <w:tcPr>
            <w:tcW w:w="1003" w:type="dxa"/>
            <w:tcBorders>
              <w:top w:val="double" w:sz="4" w:space="0" w:color="auto"/>
              <w:bottom w:val="single" w:sz="4" w:space="0" w:color="auto"/>
            </w:tcBorders>
            <w:shd w:val="clear" w:color="auto" w:fill="E0E0E0"/>
          </w:tcPr>
          <w:p w14:paraId="7E313BD4"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z w:val="22"/>
                <w:szCs w:val="22"/>
              </w:rPr>
              <w:t>100,0</w:t>
            </w:r>
          </w:p>
        </w:tc>
        <w:tc>
          <w:tcPr>
            <w:tcW w:w="1208" w:type="dxa"/>
            <w:tcBorders>
              <w:top w:val="double" w:sz="4" w:space="0" w:color="auto"/>
              <w:bottom w:val="single" w:sz="4" w:space="0" w:color="auto"/>
            </w:tcBorders>
            <w:shd w:val="clear" w:color="auto" w:fill="E0E0E0"/>
          </w:tcPr>
          <w:p w14:paraId="41D131AC"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z w:val="22"/>
                <w:szCs w:val="22"/>
              </w:rPr>
              <w:t>9 030,6</w:t>
            </w:r>
          </w:p>
        </w:tc>
        <w:tc>
          <w:tcPr>
            <w:tcW w:w="1078" w:type="dxa"/>
            <w:tcBorders>
              <w:top w:val="double" w:sz="4" w:space="0" w:color="auto"/>
              <w:bottom w:val="single" w:sz="4" w:space="0" w:color="auto"/>
            </w:tcBorders>
            <w:shd w:val="clear" w:color="auto" w:fill="E0E0E0"/>
          </w:tcPr>
          <w:p w14:paraId="116B5E7E"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z w:val="22"/>
                <w:szCs w:val="22"/>
              </w:rPr>
              <w:t>100,0</w:t>
            </w:r>
          </w:p>
        </w:tc>
        <w:tc>
          <w:tcPr>
            <w:tcW w:w="923" w:type="dxa"/>
            <w:tcBorders>
              <w:top w:val="double" w:sz="4" w:space="0" w:color="auto"/>
              <w:bottom w:val="single" w:sz="4" w:space="0" w:color="auto"/>
            </w:tcBorders>
            <w:shd w:val="clear" w:color="auto" w:fill="E0E0E0"/>
          </w:tcPr>
          <w:p w14:paraId="5F14B46E"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z w:val="22"/>
                <w:szCs w:val="22"/>
              </w:rPr>
              <w:t>87,1</w:t>
            </w:r>
          </w:p>
        </w:tc>
      </w:tr>
      <w:tr w:rsidR="00796794" w:rsidRPr="00A61FE6" w14:paraId="684CD812" w14:textId="77777777" w:rsidTr="00781F02">
        <w:tc>
          <w:tcPr>
            <w:tcW w:w="4224" w:type="dxa"/>
            <w:tcBorders>
              <w:top w:val="single" w:sz="4" w:space="0" w:color="auto"/>
              <w:bottom w:val="single" w:sz="4" w:space="0" w:color="auto"/>
            </w:tcBorders>
            <w:vAlign w:val="bottom"/>
          </w:tcPr>
          <w:p w14:paraId="0D122E14" w14:textId="77777777" w:rsidR="00796794" w:rsidRPr="00A61FE6" w:rsidRDefault="00796794" w:rsidP="00781F02">
            <w:pPr>
              <w:widowControl w:val="0"/>
              <w:spacing w:before="0" w:after="0" w:line="240" w:lineRule="auto"/>
              <w:ind w:left="176"/>
              <w:rPr>
                <w:rFonts w:ascii="Times New Roman" w:hAnsi="Times New Roman" w:cs="Times New Roman"/>
                <w:snapToGrid w:val="0"/>
                <w:sz w:val="22"/>
                <w:szCs w:val="22"/>
              </w:rPr>
            </w:pPr>
            <w:r w:rsidRPr="00A61FE6">
              <w:rPr>
                <w:rFonts w:ascii="Times New Roman" w:hAnsi="Times New Roman" w:cs="Times New Roman"/>
                <w:snapToGrid w:val="0"/>
                <w:sz w:val="22"/>
                <w:szCs w:val="22"/>
              </w:rPr>
              <w:t>в том числе:</w:t>
            </w:r>
          </w:p>
        </w:tc>
        <w:tc>
          <w:tcPr>
            <w:tcW w:w="1195" w:type="dxa"/>
            <w:tcBorders>
              <w:top w:val="single" w:sz="4" w:space="0" w:color="auto"/>
              <w:bottom w:val="single" w:sz="4" w:space="0" w:color="auto"/>
            </w:tcBorders>
            <w:vAlign w:val="bottom"/>
          </w:tcPr>
          <w:p w14:paraId="0D7E6167"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p>
        </w:tc>
        <w:tc>
          <w:tcPr>
            <w:tcW w:w="1003" w:type="dxa"/>
            <w:tcBorders>
              <w:top w:val="single" w:sz="4" w:space="0" w:color="auto"/>
              <w:bottom w:val="single" w:sz="4" w:space="0" w:color="auto"/>
            </w:tcBorders>
            <w:vAlign w:val="bottom"/>
          </w:tcPr>
          <w:p w14:paraId="446B5F5F"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p>
        </w:tc>
        <w:tc>
          <w:tcPr>
            <w:tcW w:w="1208" w:type="dxa"/>
            <w:tcBorders>
              <w:top w:val="single" w:sz="4" w:space="0" w:color="auto"/>
              <w:bottom w:val="single" w:sz="4" w:space="0" w:color="auto"/>
            </w:tcBorders>
            <w:vAlign w:val="bottom"/>
          </w:tcPr>
          <w:p w14:paraId="663686C4"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p>
        </w:tc>
        <w:tc>
          <w:tcPr>
            <w:tcW w:w="1078" w:type="dxa"/>
            <w:tcBorders>
              <w:top w:val="single" w:sz="4" w:space="0" w:color="auto"/>
              <w:bottom w:val="single" w:sz="4" w:space="0" w:color="auto"/>
            </w:tcBorders>
            <w:vAlign w:val="bottom"/>
          </w:tcPr>
          <w:p w14:paraId="54DD0370"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p>
        </w:tc>
        <w:tc>
          <w:tcPr>
            <w:tcW w:w="923" w:type="dxa"/>
            <w:tcBorders>
              <w:top w:val="single" w:sz="4" w:space="0" w:color="auto"/>
              <w:bottom w:val="single" w:sz="4" w:space="0" w:color="auto"/>
            </w:tcBorders>
            <w:vAlign w:val="bottom"/>
          </w:tcPr>
          <w:p w14:paraId="3DD9D1A7" w14:textId="77777777" w:rsidR="00796794" w:rsidRPr="00A61FE6" w:rsidRDefault="00796794" w:rsidP="00781F02">
            <w:pPr>
              <w:widowControl w:val="0"/>
              <w:spacing w:before="0" w:after="0" w:line="240" w:lineRule="auto"/>
              <w:ind w:right="170"/>
              <w:jc w:val="right"/>
              <w:rPr>
                <w:rFonts w:ascii="Times New Roman" w:hAnsi="Times New Roman" w:cs="Times New Roman"/>
                <w:snapToGrid w:val="0"/>
                <w:sz w:val="22"/>
                <w:szCs w:val="22"/>
              </w:rPr>
            </w:pPr>
          </w:p>
        </w:tc>
      </w:tr>
      <w:tr w:rsidR="00A73CEE" w:rsidRPr="00A61FE6" w14:paraId="064D451A" w14:textId="77777777" w:rsidTr="009D6235">
        <w:tc>
          <w:tcPr>
            <w:tcW w:w="4224" w:type="dxa"/>
            <w:tcBorders>
              <w:top w:val="single" w:sz="4" w:space="0" w:color="auto"/>
              <w:bottom w:val="single" w:sz="4" w:space="0" w:color="auto"/>
            </w:tcBorders>
            <w:vAlign w:val="bottom"/>
          </w:tcPr>
          <w:p w14:paraId="670A13A9" w14:textId="77777777" w:rsidR="00A73CEE" w:rsidRPr="00A61FE6" w:rsidRDefault="00A73CEE" w:rsidP="00A73CEE">
            <w:pPr>
              <w:widowControl w:val="0"/>
              <w:spacing w:before="0" w:after="0" w:line="240" w:lineRule="auto"/>
              <w:ind w:left="176"/>
              <w:rPr>
                <w:rFonts w:ascii="Times New Roman" w:hAnsi="Times New Roman" w:cs="Times New Roman"/>
                <w:snapToGrid w:val="0"/>
                <w:sz w:val="22"/>
                <w:szCs w:val="22"/>
              </w:rPr>
            </w:pPr>
            <w:r w:rsidRPr="00A61FE6">
              <w:rPr>
                <w:rFonts w:ascii="Times New Roman" w:hAnsi="Times New Roman" w:cs="Times New Roman"/>
                <w:snapToGrid w:val="0"/>
                <w:sz w:val="22"/>
                <w:szCs w:val="22"/>
              </w:rPr>
              <w:t>- производство товаров</w:t>
            </w:r>
          </w:p>
        </w:tc>
        <w:tc>
          <w:tcPr>
            <w:tcW w:w="1195" w:type="dxa"/>
            <w:tcBorders>
              <w:top w:val="single" w:sz="4" w:space="0" w:color="auto"/>
              <w:bottom w:val="single" w:sz="4" w:space="0" w:color="auto"/>
            </w:tcBorders>
            <w:vAlign w:val="bottom"/>
          </w:tcPr>
          <w:p w14:paraId="08A13488" w14:textId="77777777" w:rsidR="00A73CEE" w:rsidRPr="00A61FE6"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napToGrid w:val="0"/>
                <w:sz w:val="22"/>
                <w:szCs w:val="22"/>
              </w:rPr>
              <w:t>4 067,6</w:t>
            </w:r>
          </w:p>
        </w:tc>
        <w:tc>
          <w:tcPr>
            <w:tcW w:w="1003" w:type="dxa"/>
            <w:tcBorders>
              <w:top w:val="single" w:sz="4" w:space="0" w:color="auto"/>
              <w:bottom w:val="single" w:sz="4" w:space="0" w:color="auto"/>
            </w:tcBorders>
            <w:vAlign w:val="center"/>
          </w:tcPr>
          <w:p w14:paraId="2B68FBBB" w14:textId="0F5141FC" w:rsidR="00A73CEE" w:rsidRPr="00A73CEE"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73CEE">
              <w:rPr>
                <w:rFonts w:ascii="Times New Roman" w:hAnsi="Times New Roman" w:cs="Times New Roman"/>
                <w:snapToGrid w:val="0"/>
                <w:sz w:val="22"/>
                <w:szCs w:val="22"/>
              </w:rPr>
              <w:t>39,5</w:t>
            </w:r>
          </w:p>
        </w:tc>
        <w:tc>
          <w:tcPr>
            <w:tcW w:w="1208" w:type="dxa"/>
            <w:tcBorders>
              <w:top w:val="single" w:sz="4" w:space="0" w:color="auto"/>
              <w:bottom w:val="single" w:sz="4" w:space="0" w:color="auto"/>
            </w:tcBorders>
            <w:vAlign w:val="bottom"/>
          </w:tcPr>
          <w:p w14:paraId="758E02DB" w14:textId="77777777" w:rsidR="00A73CEE" w:rsidRPr="00A61FE6"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napToGrid w:val="0"/>
                <w:sz w:val="22"/>
                <w:szCs w:val="22"/>
              </w:rPr>
              <w:t>2 858,3</w:t>
            </w:r>
          </w:p>
        </w:tc>
        <w:tc>
          <w:tcPr>
            <w:tcW w:w="1078" w:type="dxa"/>
            <w:tcBorders>
              <w:top w:val="single" w:sz="4" w:space="0" w:color="auto"/>
              <w:bottom w:val="single" w:sz="4" w:space="0" w:color="auto"/>
            </w:tcBorders>
            <w:vAlign w:val="center"/>
          </w:tcPr>
          <w:p w14:paraId="6410882A" w14:textId="08BD3BD1" w:rsidR="00A73CEE" w:rsidRPr="00A73CEE"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73CEE">
              <w:rPr>
                <w:rFonts w:ascii="Times New Roman" w:hAnsi="Times New Roman" w:cs="Times New Roman"/>
                <w:snapToGrid w:val="0"/>
                <w:sz w:val="22"/>
                <w:szCs w:val="22"/>
              </w:rPr>
              <w:t>31,</w:t>
            </w:r>
            <w:r>
              <w:rPr>
                <w:rFonts w:ascii="Times New Roman" w:hAnsi="Times New Roman" w:cs="Times New Roman"/>
                <w:snapToGrid w:val="0"/>
                <w:sz w:val="22"/>
                <w:szCs w:val="22"/>
              </w:rPr>
              <w:t>6</w:t>
            </w:r>
          </w:p>
        </w:tc>
        <w:tc>
          <w:tcPr>
            <w:tcW w:w="923" w:type="dxa"/>
            <w:tcBorders>
              <w:top w:val="single" w:sz="4" w:space="0" w:color="auto"/>
              <w:bottom w:val="single" w:sz="4" w:space="0" w:color="auto"/>
            </w:tcBorders>
            <w:vAlign w:val="bottom"/>
          </w:tcPr>
          <w:p w14:paraId="69448FCB" w14:textId="77777777" w:rsidR="00A73CEE" w:rsidRPr="00A61FE6"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napToGrid w:val="0"/>
                <w:sz w:val="22"/>
                <w:szCs w:val="22"/>
              </w:rPr>
              <w:t>73,7</w:t>
            </w:r>
          </w:p>
        </w:tc>
      </w:tr>
      <w:tr w:rsidR="00A73CEE" w:rsidRPr="00A61FE6" w14:paraId="7AF5E9DE" w14:textId="77777777" w:rsidTr="009D6235">
        <w:tc>
          <w:tcPr>
            <w:tcW w:w="4224" w:type="dxa"/>
            <w:tcBorders>
              <w:top w:val="single" w:sz="4" w:space="0" w:color="auto"/>
              <w:bottom w:val="single" w:sz="4" w:space="0" w:color="auto"/>
            </w:tcBorders>
            <w:vAlign w:val="bottom"/>
          </w:tcPr>
          <w:p w14:paraId="5D60AE91" w14:textId="77777777" w:rsidR="00A73CEE" w:rsidRPr="00A61FE6" w:rsidRDefault="00A73CEE" w:rsidP="00A73CEE">
            <w:pPr>
              <w:widowControl w:val="0"/>
              <w:spacing w:before="0" w:after="0" w:line="240" w:lineRule="auto"/>
              <w:ind w:left="176"/>
              <w:rPr>
                <w:rFonts w:ascii="Times New Roman" w:hAnsi="Times New Roman" w:cs="Times New Roman"/>
                <w:snapToGrid w:val="0"/>
                <w:sz w:val="22"/>
                <w:szCs w:val="22"/>
              </w:rPr>
            </w:pPr>
            <w:r w:rsidRPr="00A61FE6">
              <w:rPr>
                <w:rFonts w:ascii="Times New Roman" w:hAnsi="Times New Roman" w:cs="Times New Roman"/>
                <w:snapToGrid w:val="0"/>
                <w:sz w:val="22"/>
                <w:szCs w:val="22"/>
              </w:rPr>
              <w:t>- производство рыночных услуг</w:t>
            </w:r>
          </w:p>
        </w:tc>
        <w:tc>
          <w:tcPr>
            <w:tcW w:w="1195" w:type="dxa"/>
            <w:tcBorders>
              <w:top w:val="single" w:sz="4" w:space="0" w:color="auto"/>
              <w:bottom w:val="single" w:sz="4" w:space="0" w:color="auto"/>
            </w:tcBorders>
            <w:vAlign w:val="bottom"/>
          </w:tcPr>
          <w:p w14:paraId="6115CC63" w14:textId="77777777" w:rsidR="00A73CEE" w:rsidRPr="00A61FE6" w:rsidRDefault="00A73CEE" w:rsidP="00A73CEE">
            <w:pPr>
              <w:widowControl w:val="0"/>
              <w:tabs>
                <w:tab w:val="left" w:pos="774"/>
              </w:tabs>
              <w:spacing w:before="0" w:after="0" w:line="240" w:lineRule="auto"/>
              <w:ind w:right="170"/>
              <w:jc w:val="right"/>
              <w:rPr>
                <w:rFonts w:ascii="Times New Roman" w:hAnsi="Times New Roman" w:cs="Times New Roman"/>
                <w:sz w:val="22"/>
                <w:szCs w:val="22"/>
              </w:rPr>
            </w:pPr>
            <w:r w:rsidRPr="00A61FE6">
              <w:rPr>
                <w:rFonts w:ascii="Times New Roman" w:hAnsi="Times New Roman" w:cs="Times New Roman"/>
                <w:sz w:val="22"/>
                <w:szCs w:val="22"/>
              </w:rPr>
              <w:t>3 290,0</w:t>
            </w:r>
          </w:p>
        </w:tc>
        <w:tc>
          <w:tcPr>
            <w:tcW w:w="1003" w:type="dxa"/>
            <w:tcBorders>
              <w:top w:val="single" w:sz="4" w:space="0" w:color="auto"/>
              <w:bottom w:val="single" w:sz="4" w:space="0" w:color="auto"/>
            </w:tcBorders>
            <w:vAlign w:val="center"/>
          </w:tcPr>
          <w:p w14:paraId="1C4ED865" w14:textId="7C68C0C3" w:rsidR="00A73CEE" w:rsidRPr="00A73CEE"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73CEE">
              <w:rPr>
                <w:rFonts w:ascii="Times New Roman" w:hAnsi="Times New Roman" w:cs="Times New Roman"/>
                <w:snapToGrid w:val="0"/>
                <w:sz w:val="22"/>
                <w:szCs w:val="22"/>
              </w:rPr>
              <w:t>31,9</w:t>
            </w:r>
          </w:p>
        </w:tc>
        <w:tc>
          <w:tcPr>
            <w:tcW w:w="1208" w:type="dxa"/>
            <w:tcBorders>
              <w:top w:val="single" w:sz="4" w:space="0" w:color="auto"/>
              <w:bottom w:val="single" w:sz="4" w:space="0" w:color="auto"/>
            </w:tcBorders>
            <w:vAlign w:val="bottom"/>
          </w:tcPr>
          <w:p w14:paraId="17D059C9" w14:textId="77777777" w:rsidR="00A73CEE" w:rsidRPr="00A61FE6" w:rsidRDefault="00A73CEE" w:rsidP="00A73CEE">
            <w:pPr>
              <w:widowControl w:val="0"/>
              <w:tabs>
                <w:tab w:val="left" w:pos="774"/>
              </w:tabs>
              <w:spacing w:before="0" w:after="0" w:line="240" w:lineRule="auto"/>
              <w:ind w:right="170"/>
              <w:jc w:val="right"/>
              <w:rPr>
                <w:rFonts w:ascii="Times New Roman" w:hAnsi="Times New Roman" w:cs="Times New Roman"/>
                <w:sz w:val="22"/>
                <w:szCs w:val="22"/>
              </w:rPr>
            </w:pPr>
            <w:r w:rsidRPr="00A61FE6">
              <w:rPr>
                <w:rFonts w:ascii="Times New Roman" w:hAnsi="Times New Roman" w:cs="Times New Roman"/>
                <w:sz w:val="22"/>
                <w:szCs w:val="22"/>
              </w:rPr>
              <w:t>3 209,4</w:t>
            </w:r>
          </w:p>
        </w:tc>
        <w:tc>
          <w:tcPr>
            <w:tcW w:w="1078" w:type="dxa"/>
            <w:tcBorders>
              <w:top w:val="single" w:sz="4" w:space="0" w:color="auto"/>
              <w:bottom w:val="single" w:sz="4" w:space="0" w:color="auto"/>
            </w:tcBorders>
            <w:vAlign w:val="center"/>
          </w:tcPr>
          <w:p w14:paraId="2F112540" w14:textId="0FF77D4A" w:rsidR="00A73CEE" w:rsidRPr="00A73CEE"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73CEE">
              <w:rPr>
                <w:rFonts w:ascii="Times New Roman" w:hAnsi="Times New Roman" w:cs="Times New Roman"/>
                <w:snapToGrid w:val="0"/>
                <w:sz w:val="22"/>
                <w:szCs w:val="22"/>
              </w:rPr>
              <w:t>35,5</w:t>
            </w:r>
          </w:p>
        </w:tc>
        <w:tc>
          <w:tcPr>
            <w:tcW w:w="923" w:type="dxa"/>
            <w:tcBorders>
              <w:top w:val="single" w:sz="4" w:space="0" w:color="auto"/>
              <w:bottom w:val="single" w:sz="4" w:space="0" w:color="auto"/>
            </w:tcBorders>
            <w:vAlign w:val="bottom"/>
          </w:tcPr>
          <w:p w14:paraId="3FCEC8B0" w14:textId="77777777" w:rsidR="00A73CEE" w:rsidRPr="00A61FE6" w:rsidRDefault="00A73CEE" w:rsidP="00A73CEE">
            <w:pPr>
              <w:widowControl w:val="0"/>
              <w:spacing w:before="0" w:after="0" w:line="240" w:lineRule="auto"/>
              <w:ind w:right="170"/>
              <w:jc w:val="right"/>
              <w:rPr>
                <w:rFonts w:ascii="Times New Roman" w:hAnsi="Times New Roman" w:cs="Times New Roman"/>
                <w:sz w:val="22"/>
                <w:szCs w:val="22"/>
              </w:rPr>
            </w:pPr>
            <w:r w:rsidRPr="00A61FE6">
              <w:rPr>
                <w:rFonts w:ascii="Times New Roman" w:hAnsi="Times New Roman" w:cs="Times New Roman"/>
                <w:sz w:val="22"/>
                <w:szCs w:val="22"/>
              </w:rPr>
              <w:t>94,6</w:t>
            </w:r>
          </w:p>
        </w:tc>
      </w:tr>
      <w:tr w:rsidR="00A73CEE" w:rsidRPr="00A61FE6" w14:paraId="4EB1953D" w14:textId="77777777" w:rsidTr="009D6235">
        <w:tc>
          <w:tcPr>
            <w:tcW w:w="4224" w:type="dxa"/>
            <w:tcBorders>
              <w:top w:val="single" w:sz="4" w:space="0" w:color="auto"/>
              <w:bottom w:val="single" w:sz="4" w:space="0" w:color="auto"/>
            </w:tcBorders>
            <w:vAlign w:val="bottom"/>
          </w:tcPr>
          <w:p w14:paraId="4719D2FF" w14:textId="77777777" w:rsidR="00A73CEE" w:rsidRPr="00A61FE6" w:rsidRDefault="00A73CEE" w:rsidP="00A73CEE">
            <w:pPr>
              <w:widowControl w:val="0"/>
              <w:spacing w:before="0" w:after="0" w:line="240" w:lineRule="auto"/>
              <w:ind w:left="176"/>
              <w:rPr>
                <w:rFonts w:ascii="Times New Roman" w:hAnsi="Times New Roman" w:cs="Times New Roman"/>
                <w:snapToGrid w:val="0"/>
                <w:sz w:val="22"/>
                <w:szCs w:val="22"/>
              </w:rPr>
            </w:pPr>
            <w:r w:rsidRPr="00A61FE6">
              <w:rPr>
                <w:rFonts w:ascii="Times New Roman" w:hAnsi="Times New Roman" w:cs="Times New Roman"/>
                <w:snapToGrid w:val="0"/>
                <w:sz w:val="22"/>
                <w:szCs w:val="22"/>
              </w:rPr>
              <w:t>- производство нерыночных услуг</w:t>
            </w:r>
          </w:p>
        </w:tc>
        <w:tc>
          <w:tcPr>
            <w:tcW w:w="1195" w:type="dxa"/>
            <w:tcBorders>
              <w:top w:val="single" w:sz="4" w:space="0" w:color="auto"/>
              <w:bottom w:val="single" w:sz="4" w:space="0" w:color="auto"/>
            </w:tcBorders>
            <w:vAlign w:val="bottom"/>
          </w:tcPr>
          <w:p w14:paraId="44C06976" w14:textId="77777777" w:rsidR="00A73CEE" w:rsidRPr="00A61FE6" w:rsidRDefault="00A73CEE" w:rsidP="00A73CEE">
            <w:pPr>
              <w:widowControl w:val="0"/>
              <w:tabs>
                <w:tab w:val="left" w:pos="774"/>
              </w:tabs>
              <w:spacing w:before="0" w:after="0" w:line="240" w:lineRule="auto"/>
              <w:ind w:right="170"/>
              <w:jc w:val="right"/>
              <w:rPr>
                <w:rFonts w:ascii="Times New Roman" w:hAnsi="Times New Roman" w:cs="Times New Roman"/>
                <w:sz w:val="22"/>
                <w:szCs w:val="22"/>
              </w:rPr>
            </w:pPr>
            <w:r w:rsidRPr="00A61FE6">
              <w:rPr>
                <w:rFonts w:ascii="Times New Roman" w:hAnsi="Times New Roman" w:cs="Times New Roman"/>
                <w:sz w:val="22"/>
                <w:szCs w:val="22"/>
              </w:rPr>
              <w:t>2 735,4</w:t>
            </w:r>
          </w:p>
        </w:tc>
        <w:tc>
          <w:tcPr>
            <w:tcW w:w="1003" w:type="dxa"/>
            <w:tcBorders>
              <w:top w:val="single" w:sz="4" w:space="0" w:color="auto"/>
              <w:bottom w:val="single" w:sz="4" w:space="0" w:color="auto"/>
            </w:tcBorders>
            <w:vAlign w:val="center"/>
          </w:tcPr>
          <w:p w14:paraId="249AB221" w14:textId="02416817" w:rsidR="00A73CEE" w:rsidRPr="00A73CEE"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73CEE">
              <w:rPr>
                <w:rFonts w:ascii="Times New Roman" w:hAnsi="Times New Roman" w:cs="Times New Roman"/>
                <w:snapToGrid w:val="0"/>
                <w:sz w:val="22"/>
                <w:szCs w:val="22"/>
              </w:rPr>
              <w:t>26,6</w:t>
            </w:r>
          </w:p>
        </w:tc>
        <w:tc>
          <w:tcPr>
            <w:tcW w:w="1208" w:type="dxa"/>
            <w:tcBorders>
              <w:top w:val="single" w:sz="4" w:space="0" w:color="auto"/>
              <w:bottom w:val="single" w:sz="4" w:space="0" w:color="auto"/>
            </w:tcBorders>
            <w:vAlign w:val="bottom"/>
          </w:tcPr>
          <w:p w14:paraId="5DB062CB" w14:textId="77777777" w:rsidR="00A73CEE" w:rsidRPr="00A61FE6" w:rsidRDefault="00A73CEE" w:rsidP="00A73CEE">
            <w:pPr>
              <w:widowControl w:val="0"/>
              <w:tabs>
                <w:tab w:val="left" w:pos="774"/>
              </w:tabs>
              <w:spacing w:before="0" w:after="0" w:line="240" w:lineRule="auto"/>
              <w:ind w:right="170"/>
              <w:jc w:val="right"/>
              <w:rPr>
                <w:rFonts w:ascii="Times New Roman" w:hAnsi="Times New Roman" w:cs="Times New Roman"/>
                <w:sz w:val="22"/>
                <w:szCs w:val="22"/>
              </w:rPr>
            </w:pPr>
            <w:r w:rsidRPr="00A61FE6">
              <w:rPr>
                <w:rFonts w:ascii="Times New Roman" w:hAnsi="Times New Roman" w:cs="Times New Roman"/>
                <w:sz w:val="22"/>
                <w:szCs w:val="22"/>
              </w:rPr>
              <w:t>2 786,1</w:t>
            </w:r>
          </w:p>
        </w:tc>
        <w:tc>
          <w:tcPr>
            <w:tcW w:w="1078" w:type="dxa"/>
            <w:tcBorders>
              <w:top w:val="single" w:sz="4" w:space="0" w:color="auto"/>
              <w:bottom w:val="single" w:sz="4" w:space="0" w:color="auto"/>
            </w:tcBorders>
            <w:vAlign w:val="center"/>
          </w:tcPr>
          <w:p w14:paraId="52CAF889" w14:textId="7E666150" w:rsidR="00A73CEE" w:rsidRPr="00A73CEE"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73CEE">
              <w:rPr>
                <w:rFonts w:ascii="Times New Roman" w:hAnsi="Times New Roman" w:cs="Times New Roman"/>
                <w:snapToGrid w:val="0"/>
                <w:sz w:val="22"/>
                <w:szCs w:val="22"/>
              </w:rPr>
              <w:t>30,9</w:t>
            </w:r>
          </w:p>
        </w:tc>
        <w:tc>
          <w:tcPr>
            <w:tcW w:w="923" w:type="dxa"/>
            <w:tcBorders>
              <w:top w:val="single" w:sz="4" w:space="0" w:color="auto"/>
              <w:bottom w:val="single" w:sz="4" w:space="0" w:color="auto"/>
            </w:tcBorders>
            <w:vAlign w:val="bottom"/>
          </w:tcPr>
          <w:p w14:paraId="4FAD8419" w14:textId="77777777" w:rsidR="00A73CEE" w:rsidRPr="00A61FE6" w:rsidRDefault="00A73CEE" w:rsidP="00A73CEE">
            <w:pPr>
              <w:widowControl w:val="0"/>
              <w:spacing w:before="0" w:after="0" w:line="240" w:lineRule="auto"/>
              <w:ind w:right="170"/>
              <w:jc w:val="right"/>
              <w:rPr>
                <w:rFonts w:ascii="Times New Roman" w:hAnsi="Times New Roman" w:cs="Times New Roman"/>
                <w:sz w:val="22"/>
                <w:szCs w:val="22"/>
              </w:rPr>
            </w:pPr>
            <w:r w:rsidRPr="00A61FE6">
              <w:rPr>
                <w:rFonts w:ascii="Times New Roman" w:hAnsi="Times New Roman" w:cs="Times New Roman"/>
                <w:sz w:val="22"/>
                <w:szCs w:val="22"/>
              </w:rPr>
              <w:t>98,3</w:t>
            </w:r>
          </w:p>
        </w:tc>
      </w:tr>
      <w:tr w:rsidR="00A73CEE" w:rsidRPr="00A61FE6" w14:paraId="66C98B3A" w14:textId="77777777" w:rsidTr="009D6235">
        <w:trPr>
          <w:trHeight w:val="71"/>
        </w:trPr>
        <w:tc>
          <w:tcPr>
            <w:tcW w:w="4224" w:type="dxa"/>
            <w:tcBorders>
              <w:top w:val="single" w:sz="4" w:space="0" w:color="auto"/>
            </w:tcBorders>
            <w:vAlign w:val="bottom"/>
          </w:tcPr>
          <w:p w14:paraId="0DB71D0E" w14:textId="77777777" w:rsidR="00A73CEE" w:rsidRPr="00A61FE6" w:rsidRDefault="00A73CEE" w:rsidP="00A73CEE">
            <w:pPr>
              <w:widowControl w:val="0"/>
              <w:spacing w:before="0" w:after="0" w:line="240" w:lineRule="auto"/>
              <w:ind w:left="176" w:right="-156"/>
              <w:rPr>
                <w:rFonts w:ascii="Times New Roman" w:hAnsi="Times New Roman" w:cs="Times New Roman"/>
                <w:snapToGrid w:val="0"/>
                <w:sz w:val="22"/>
                <w:szCs w:val="22"/>
              </w:rPr>
            </w:pPr>
            <w:r w:rsidRPr="00A61FE6">
              <w:rPr>
                <w:rFonts w:ascii="Times New Roman" w:hAnsi="Times New Roman" w:cs="Times New Roman"/>
                <w:snapToGrid w:val="0"/>
                <w:sz w:val="22"/>
                <w:szCs w:val="22"/>
              </w:rPr>
              <w:t>- чистые налоги на продукты и импорт</w:t>
            </w:r>
          </w:p>
        </w:tc>
        <w:tc>
          <w:tcPr>
            <w:tcW w:w="1195" w:type="dxa"/>
            <w:tcBorders>
              <w:top w:val="single" w:sz="4" w:space="0" w:color="auto"/>
            </w:tcBorders>
            <w:vAlign w:val="bottom"/>
          </w:tcPr>
          <w:p w14:paraId="44E25809" w14:textId="77777777" w:rsidR="00A73CEE" w:rsidRPr="00A61FE6"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napToGrid w:val="0"/>
                <w:sz w:val="22"/>
                <w:szCs w:val="22"/>
              </w:rPr>
              <w:t>205,6</w:t>
            </w:r>
          </w:p>
        </w:tc>
        <w:tc>
          <w:tcPr>
            <w:tcW w:w="1003" w:type="dxa"/>
            <w:tcBorders>
              <w:top w:val="single" w:sz="4" w:space="0" w:color="auto"/>
            </w:tcBorders>
            <w:vAlign w:val="center"/>
          </w:tcPr>
          <w:p w14:paraId="3A5822B8" w14:textId="7E686201" w:rsidR="00A73CEE" w:rsidRPr="00A73CEE"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73CEE">
              <w:rPr>
                <w:rFonts w:ascii="Times New Roman" w:hAnsi="Times New Roman" w:cs="Times New Roman"/>
                <w:snapToGrid w:val="0"/>
                <w:sz w:val="22"/>
                <w:szCs w:val="22"/>
              </w:rPr>
              <w:t>2,0</w:t>
            </w:r>
          </w:p>
        </w:tc>
        <w:tc>
          <w:tcPr>
            <w:tcW w:w="1208" w:type="dxa"/>
            <w:tcBorders>
              <w:top w:val="single" w:sz="4" w:space="0" w:color="auto"/>
            </w:tcBorders>
            <w:vAlign w:val="bottom"/>
          </w:tcPr>
          <w:p w14:paraId="6238B154" w14:textId="5881B4A5" w:rsidR="00A73CEE" w:rsidRPr="00A61FE6"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napToGrid w:val="0"/>
                <w:sz w:val="22"/>
                <w:szCs w:val="22"/>
              </w:rPr>
              <w:t>176,</w:t>
            </w:r>
            <w:r>
              <w:rPr>
                <w:rFonts w:ascii="Times New Roman" w:hAnsi="Times New Roman" w:cs="Times New Roman"/>
                <w:snapToGrid w:val="0"/>
                <w:sz w:val="22"/>
                <w:szCs w:val="22"/>
              </w:rPr>
              <w:t>8</w:t>
            </w:r>
          </w:p>
        </w:tc>
        <w:tc>
          <w:tcPr>
            <w:tcW w:w="1078" w:type="dxa"/>
            <w:tcBorders>
              <w:top w:val="single" w:sz="4" w:space="0" w:color="auto"/>
            </w:tcBorders>
            <w:vAlign w:val="center"/>
          </w:tcPr>
          <w:p w14:paraId="33F7BE1B" w14:textId="5DB1FDB0" w:rsidR="00A73CEE" w:rsidRPr="00A73CEE"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73CEE">
              <w:rPr>
                <w:rFonts w:ascii="Times New Roman" w:hAnsi="Times New Roman" w:cs="Times New Roman"/>
                <w:snapToGrid w:val="0"/>
                <w:sz w:val="22"/>
                <w:szCs w:val="22"/>
              </w:rPr>
              <w:t>2,0</w:t>
            </w:r>
          </w:p>
        </w:tc>
        <w:tc>
          <w:tcPr>
            <w:tcW w:w="923" w:type="dxa"/>
            <w:tcBorders>
              <w:top w:val="single" w:sz="4" w:space="0" w:color="auto"/>
            </w:tcBorders>
            <w:vAlign w:val="bottom"/>
          </w:tcPr>
          <w:p w14:paraId="4244DC70" w14:textId="77777777" w:rsidR="00A73CEE" w:rsidRPr="00A61FE6" w:rsidRDefault="00A73CEE" w:rsidP="00A73CEE">
            <w:pPr>
              <w:widowControl w:val="0"/>
              <w:spacing w:before="0" w:after="0" w:line="240" w:lineRule="auto"/>
              <w:ind w:right="170"/>
              <w:jc w:val="right"/>
              <w:rPr>
                <w:rFonts w:ascii="Times New Roman" w:hAnsi="Times New Roman" w:cs="Times New Roman"/>
                <w:snapToGrid w:val="0"/>
                <w:sz w:val="22"/>
                <w:szCs w:val="22"/>
              </w:rPr>
            </w:pPr>
            <w:r w:rsidRPr="00A61FE6">
              <w:rPr>
                <w:rFonts w:ascii="Times New Roman" w:hAnsi="Times New Roman" w:cs="Times New Roman"/>
                <w:snapToGrid w:val="0"/>
                <w:sz w:val="22"/>
                <w:szCs w:val="22"/>
              </w:rPr>
              <w:t>83,0</w:t>
            </w:r>
          </w:p>
        </w:tc>
      </w:tr>
    </w:tbl>
    <w:p w14:paraId="4145F70F" w14:textId="673C8546" w:rsidR="00A61FE6" w:rsidRPr="00A61FE6" w:rsidRDefault="00A61FE6" w:rsidP="00A61FE6">
      <w:pPr>
        <w:widowControl w:val="0"/>
        <w:spacing w:before="120" w:after="0" w:line="240" w:lineRule="auto"/>
        <w:ind w:firstLine="425"/>
        <w:jc w:val="both"/>
        <w:rPr>
          <w:rFonts w:ascii="Times New Roman" w:hAnsi="Times New Roman" w:cs="Times New Roman"/>
          <w:sz w:val="24"/>
          <w:szCs w:val="24"/>
        </w:rPr>
      </w:pPr>
      <w:r w:rsidRPr="00A61FE6">
        <w:rPr>
          <w:rFonts w:ascii="Times New Roman" w:hAnsi="Times New Roman" w:cs="Times New Roman"/>
          <w:sz w:val="24"/>
          <w:szCs w:val="24"/>
        </w:rPr>
        <w:t xml:space="preserve">Наложение двух негативных факторов – экономического кризиса, вызванного пандемией, и неурожайности – отразилось на основных составляющих валового внутреннего продукта. Так, объём валового выпуска в сегменте материального производства сократился на 7,2%, тогда как промежуточное потребление возросло на 1,8%. Таким образом, в отраслях, связанных с производством товаров, произошло падение добавленной стоимости (ДС) в сопоставимой оценке на 26,3%, до 2 858,3 млн руб. На </w:t>
      </w:r>
      <w:r w:rsidRPr="008D513F">
        <w:rPr>
          <w:rFonts w:ascii="Times New Roman" w:hAnsi="Times New Roman" w:cs="Times New Roman"/>
          <w:sz w:val="24"/>
          <w:szCs w:val="24"/>
        </w:rPr>
        <w:t>этом фоне в структуре валового внутреннего продукта отмечалось снижение их удельного веса на 7,</w:t>
      </w:r>
      <w:r w:rsidR="00601872" w:rsidRPr="008D513F">
        <w:rPr>
          <w:rFonts w:ascii="Times New Roman" w:hAnsi="Times New Roman" w:cs="Times New Roman"/>
          <w:sz w:val="24"/>
          <w:szCs w:val="24"/>
        </w:rPr>
        <w:t>9</w:t>
      </w:r>
      <w:r w:rsidRPr="008D513F">
        <w:rPr>
          <w:rFonts w:ascii="Times New Roman" w:hAnsi="Times New Roman" w:cs="Times New Roman"/>
          <w:sz w:val="24"/>
          <w:szCs w:val="24"/>
        </w:rPr>
        <w:t xml:space="preserve"> п.п., до 31,</w:t>
      </w:r>
      <w:r w:rsidR="00601872" w:rsidRPr="008D513F">
        <w:rPr>
          <w:rFonts w:ascii="Times New Roman" w:hAnsi="Times New Roman" w:cs="Times New Roman"/>
          <w:sz w:val="24"/>
          <w:szCs w:val="24"/>
        </w:rPr>
        <w:t>6</w:t>
      </w:r>
      <w:r w:rsidRPr="008D513F">
        <w:rPr>
          <w:rFonts w:ascii="Times New Roman" w:hAnsi="Times New Roman" w:cs="Times New Roman"/>
          <w:sz w:val="24"/>
          <w:szCs w:val="24"/>
        </w:rPr>
        <w:t>%.</w:t>
      </w:r>
      <w:r w:rsidRPr="00A61FE6">
        <w:rPr>
          <w:rFonts w:ascii="Times New Roman" w:hAnsi="Times New Roman" w:cs="Times New Roman"/>
          <w:sz w:val="24"/>
          <w:szCs w:val="24"/>
        </w:rPr>
        <w:t xml:space="preserve"> </w:t>
      </w:r>
    </w:p>
    <w:p w14:paraId="3423BEEF" w14:textId="4A12B348" w:rsidR="00A61FE6" w:rsidRPr="00A61FE6" w:rsidRDefault="00A61FE6" w:rsidP="00A61FE6">
      <w:pPr>
        <w:widowControl w:val="0"/>
        <w:spacing w:before="0" w:after="0" w:line="240" w:lineRule="auto"/>
        <w:ind w:firstLine="425"/>
        <w:jc w:val="both"/>
        <w:rPr>
          <w:rFonts w:ascii="Times New Roman" w:hAnsi="Times New Roman" w:cs="Times New Roman"/>
          <w:sz w:val="24"/>
          <w:szCs w:val="24"/>
        </w:rPr>
      </w:pPr>
      <w:r w:rsidRPr="00A61FE6">
        <w:rPr>
          <w:rFonts w:ascii="Times New Roman" w:hAnsi="Times New Roman" w:cs="Times New Roman"/>
          <w:sz w:val="24"/>
          <w:szCs w:val="24"/>
        </w:rPr>
        <w:t xml:space="preserve">Основу понижательной динамики сформировал показатель ДС в сельском хозяйстве, который на фоне неблагоприятных погодных условий сохранил отрицательный знак и по итогам 9 месяцев текущего года (в предыдущие периоды отрицательные полугодовые результаты по завершении уборочной кампании традиционно нивелировались, даже в неблагоприятные с точки зрения погодных условий 2012 и 2015 годы). Согласно оценке Государственной службы статистики </w:t>
      </w:r>
      <w:r w:rsidR="009B3C38">
        <w:rPr>
          <w:rFonts w:ascii="Times New Roman" w:hAnsi="Times New Roman" w:cs="Times New Roman"/>
          <w:sz w:val="24"/>
          <w:szCs w:val="24"/>
        </w:rPr>
        <w:t>ПМР</w:t>
      </w:r>
      <w:r w:rsidRPr="00A61FE6">
        <w:rPr>
          <w:rFonts w:ascii="Times New Roman" w:hAnsi="Times New Roman" w:cs="Times New Roman"/>
          <w:sz w:val="24"/>
          <w:szCs w:val="24"/>
        </w:rPr>
        <w:t>, добавленная стоимость в сельскохозяйственном секторе сложилась в зоне отрицательных величин, со</w:t>
      </w:r>
      <w:r w:rsidR="00826C7A">
        <w:rPr>
          <w:rFonts w:ascii="Times New Roman" w:hAnsi="Times New Roman" w:cs="Times New Roman"/>
          <w:sz w:val="24"/>
          <w:szCs w:val="24"/>
        </w:rPr>
        <w:t xml:space="preserve">ставив -725,0 млн руб. (против </w:t>
      </w:r>
      <w:r w:rsidR="00DC16EC">
        <w:rPr>
          <w:rFonts w:ascii="Times New Roman" w:hAnsi="Times New Roman" w:cs="Times New Roman"/>
          <w:sz w:val="24"/>
          <w:szCs w:val="24"/>
        </w:rPr>
        <w:br/>
      </w:r>
      <w:r w:rsidRPr="00A61FE6">
        <w:rPr>
          <w:rFonts w:ascii="Times New Roman" w:hAnsi="Times New Roman" w:cs="Times New Roman"/>
          <w:sz w:val="24"/>
          <w:szCs w:val="24"/>
        </w:rPr>
        <w:t xml:space="preserve">552,7 млн руб. в январе-сентябре 2019 года). </w:t>
      </w:r>
    </w:p>
    <w:p w14:paraId="5CEF2867" w14:textId="7CE1C83F" w:rsidR="00796794" w:rsidRPr="00A61FE6" w:rsidRDefault="00796794" w:rsidP="00A61FE6">
      <w:pPr>
        <w:widowControl w:val="0"/>
        <w:spacing w:before="0" w:after="0" w:line="240" w:lineRule="auto"/>
        <w:ind w:firstLine="425"/>
        <w:jc w:val="both"/>
        <w:rPr>
          <w:rFonts w:ascii="Times New Roman" w:hAnsi="Times New Roman" w:cs="Times New Roman"/>
          <w:sz w:val="24"/>
          <w:szCs w:val="24"/>
        </w:rPr>
      </w:pPr>
      <w:r w:rsidRPr="00A61FE6">
        <w:rPr>
          <w:rFonts w:ascii="Times New Roman" w:hAnsi="Times New Roman" w:cs="Times New Roman"/>
          <w:sz w:val="24"/>
          <w:szCs w:val="24"/>
        </w:rPr>
        <w:t xml:space="preserve">Индустриальный сектор, на фоне </w:t>
      </w:r>
      <w:r w:rsidR="008F6BFA">
        <w:rPr>
          <w:rFonts w:ascii="Times New Roman" w:hAnsi="Times New Roman" w:cs="Times New Roman"/>
          <w:sz w:val="24"/>
          <w:szCs w:val="24"/>
        </w:rPr>
        <w:t>достаточно позитивной</w:t>
      </w:r>
      <w:r w:rsidRPr="00A61FE6">
        <w:rPr>
          <w:rFonts w:ascii="Times New Roman" w:hAnsi="Times New Roman" w:cs="Times New Roman"/>
          <w:sz w:val="24"/>
          <w:szCs w:val="24"/>
        </w:rPr>
        <w:t xml:space="preserve"> динамики</w:t>
      </w:r>
      <w:r w:rsidR="008F6BFA">
        <w:rPr>
          <w:rFonts w:ascii="Times New Roman" w:hAnsi="Times New Roman" w:cs="Times New Roman"/>
          <w:sz w:val="24"/>
          <w:szCs w:val="24"/>
        </w:rPr>
        <w:t xml:space="preserve"> цен и</w:t>
      </w:r>
      <w:r w:rsidRPr="00A61FE6">
        <w:rPr>
          <w:rFonts w:ascii="Times New Roman" w:hAnsi="Times New Roman" w:cs="Times New Roman"/>
          <w:sz w:val="24"/>
          <w:szCs w:val="24"/>
        </w:rPr>
        <w:t xml:space="preserve"> спроса в двух структурообразующих отраслях (энергетике и чёрной металлургии), демонстрировал приращение добавленной стоимости к базисным величинам на 3,0%, до 3 356,4 млн руб. </w:t>
      </w:r>
    </w:p>
    <w:p w14:paraId="0B9DB352" w14:textId="1BBEE522" w:rsidR="00796794" w:rsidRPr="00A61FE6" w:rsidRDefault="008F6BFA" w:rsidP="00796794">
      <w:pPr>
        <w:widowControl w:val="0"/>
        <w:spacing w:before="0" w:after="0" w:line="240" w:lineRule="auto"/>
        <w:ind w:firstLine="425"/>
        <w:jc w:val="both"/>
        <w:rPr>
          <w:rFonts w:ascii="Times New Roman" w:hAnsi="Times New Roman" w:cs="Times New Roman"/>
          <w:sz w:val="24"/>
          <w:szCs w:val="24"/>
        </w:rPr>
      </w:pPr>
      <w:r w:rsidRPr="00A61FE6">
        <w:rPr>
          <w:rFonts w:ascii="Times New Roman" w:hAnsi="Times New Roman" w:cs="Times New Roman"/>
          <w:sz w:val="24"/>
          <w:szCs w:val="24"/>
        </w:rPr>
        <w:t>Сфер</w:t>
      </w:r>
      <w:r>
        <w:rPr>
          <w:rFonts w:ascii="Times New Roman" w:hAnsi="Times New Roman" w:cs="Times New Roman"/>
          <w:sz w:val="24"/>
          <w:szCs w:val="24"/>
        </w:rPr>
        <w:t>а</w:t>
      </w:r>
      <w:r w:rsidRPr="00A61FE6">
        <w:rPr>
          <w:rFonts w:ascii="Times New Roman" w:hAnsi="Times New Roman" w:cs="Times New Roman"/>
          <w:sz w:val="24"/>
          <w:szCs w:val="24"/>
        </w:rPr>
        <w:t xml:space="preserve"> </w:t>
      </w:r>
      <w:r w:rsidR="00796794" w:rsidRPr="00A61FE6">
        <w:rPr>
          <w:rFonts w:ascii="Times New Roman" w:hAnsi="Times New Roman" w:cs="Times New Roman"/>
          <w:sz w:val="24"/>
          <w:szCs w:val="24"/>
        </w:rPr>
        <w:t>услуг</w:t>
      </w:r>
      <w:r>
        <w:rPr>
          <w:rFonts w:ascii="Times New Roman" w:hAnsi="Times New Roman" w:cs="Times New Roman"/>
          <w:sz w:val="24"/>
          <w:szCs w:val="24"/>
        </w:rPr>
        <w:t>, находящаяся под давлением карантинных ограничений, показала нисходящий тренд (-3,7%)</w:t>
      </w:r>
      <w:r w:rsidR="00796794" w:rsidRPr="00A61FE6">
        <w:rPr>
          <w:rFonts w:ascii="Times New Roman" w:hAnsi="Times New Roman" w:cs="Times New Roman"/>
          <w:sz w:val="24"/>
          <w:szCs w:val="24"/>
        </w:rPr>
        <w:t xml:space="preserve">, объём ДС в </w:t>
      </w:r>
      <w:r>
        <w:rPr>
          <w:rFonts w:ascii="Times New Roman" w:hAnsi="Times New Roman" w:cs="Times New Roman"/>
          <w:sz w:val="24"/>
          <w:szCs w:val="24"/>
        </w:rPr>
        <w:t>отрасли составил 5 995,5 млн руб</w:t>
      </w:r>
      <w:r w:rsidR="00796794" w:rsidRPr="00A61FE6">
        <w:rPr>
          <w:rFonts w:ascii="Times New Roman" w:hAnsi="Times New Roman" w:cs="Times New Roman"/>
          <w:sz w:val="24"/>
          <w:szCs w:val="24"/>
        </w:rPr>
        <w:t xml:space="preserve">. </w:t>
      </w:r>
      <w:r>
        <w:rPr>
          <w:rFonts w:ascii="Times New Roman" w:hAnsi="Times New Roman" w:cs="Times New Roman"/>
          <w:sz w:val="24"/>
          <w:szCs w:val="24"/>
        </w:rPr>
        <w:t>Однако на фоне более существенного сокращения в сфере материального производства с</w:t>
      </w:r>
      <w:r w:rsidR="00796794" w:rsidRPr="00A61FE6">
        <w:rPr>
          <w:rFonts w:ascii="Times New Roman" w:hAnsi="Times New Roman" w:cs="Times New Roman"/>
          <w:sz w:val="24"/>
          <w:szCs w:val="24"/>
        </w:rPr>
        <w:t>труктурное представление сегмента увеличилось на 7,9 п.п., до 66,4% ВВП.</w:t>
      </w:r>
    </w:p>
    <w:p w14:paraId="3FCE8C1A" w14:textId="7DA16C48" w:rsidR="00796794" w:rsidRPr="00A61FE6" w:rsidRDefault="00796794" w:rsidP="00796794">
      <w:pPr>
        <w:widowControl w:val="0"/>
        <w:spacing w:before="0" w:after="0" w:line="240" w:lineRule="auto"/>
        <w:ind w:firstLine="425"/>
        <w:jc w:val="both"/>
        <w:rPr>
          <w:rFonts w:ascii="Times New Roman" w:hAnsi="Times New Roman" w:cs="Times New Roman"/>
          <w:sz w:val="24"/>
          <w:szCs w:val="24"/>
        </w:rPr>
      </w:pPr>
      <w:r w:rsidRPr="00A61FE6">
        <w:rPr>
          <w:rFonts w:ascii="Times New Roman" w:hAnsi="Times New Roman" w:cs="Times New Roman"/>
          <w:sz w:val="24"/>
          <w:szCs w:val="24"/>
        </w:rPr>
        <w:t xml:space="preserve">Локдаун в апреле-мае текущего года </w:t>
      </w:r>
      <w:r w:rsidR="008F6BFA">
        <w:rPr>
          <w:rFonts w:ascii="Times New Roman" w:hAnsi="Times New Roman" w:cs="Times New Roman"/>
          <w:sz w:val="24"/>
          <w:szCs w:val="24"/>
        </w:rPr>
        <w:t xml:space="preserve">прежде всего </w:t>
      </w:r>
      <w:r w:rsidRPr="00A61FE6">
        <w:rPr>
          <w:rFonts w:ascii="Times New Roman" w:hAnsi="Times New Roman" w:cs="Times New Roman"/>
          <w:sz w:val="24"/>
          <w:szCs w:val="24"/>
        </w:rPr>
        <w:t xml:space="preserve">сказался на результатах деятельности рыночного сектора услуг. Совокупный объём ДС рыночных услуг снизился на 5,4%, сложившись на отметке 3 209,4 млн руб. В сегменте нерыночных услуг на фоне увеличения государственных расходов </w:t>
      </w:r>
      <w:r w:rsidR="00A61FE6" w:rsidRPr="00A61FE6">
        <w:rPr>
          <w:rFonts w:ascii="Times New Roman" w:hAnsi="Times New Roman" w:cs="Times New Roman"/>
          <w:sz w:val="24"/>
          <w:szCs w:val="24"/>
        </w:rPr>
        <w:t xml:space="preserve">в целях своевременного финансирования комплекса мероприятий, </w:t>
      </w:r>
      <w:r w:rsidR="00A61FE6" w:rsidRPr="00A61FE6">
        <w:rPr>
          <w:rFonts w:ascii="Times New Roman" w:hAnsi="Times New Roman" w:cs="Times New Roman"/>
          <w:sz w:val="24"/>
          <w:szCs w:val="24"/>
        </w:rPr>
        <w:lastRenderedPageBreak/>
        <w:t xml:space="preserve">связанных с введением на территории республики чрезвычайного положения и предотвращением угрозы распространения коронавирусной инфекции, </w:t>
      </w:r>
      <w:r w:rsidRPr="00A61FE6">
        <w:rPr>
          <w:rFonts w:ascii="Times New Roman" w:hAnsi="Times New Roman" w:cs="Times New Roman"/>
          <w:sz w:val="24"/>
          <w:szCs w:val="24"/>
        </w:rPr>
        <w:t>ДС возросла на 1,9% в текущих ценах, до</w:t>
      </w:r>
      <w:r w:rsidR="0013752B">
        <w:rPr>
          <w:rFonts w:ascii="Times New Roman" w:hAnsi="Times New Roman" w:cs="Times New Roman"/>
          <w:sz w:val="24"/>
          <w:szCs w:val="24"/>
        </w:rPr>
        <w:t xml:space="preserve"> </w:t>
      </w:r>
      <w:r w:rsidRPr="00A61FE6">
        <w:rPr>
          <w:rFonts w:ascii="Times New Roman" w:hAnsi="Times New Roman" w:cs="Times New Roman"/>
          <w:sz w:val="24"/>
          <w:szCs w:val="24"/>
        </w:rPr>
        <w:t xml:space="preserve">2 786,1 млн руб., однако в сопоставимой оценке – сократилась на 1,7%. </w:t>
      </w:r>
    </w:p>
    <w:p w14:paraId="064F3C48" w14:textId="41B9F4E9" w:rsidR="00AD0F31" w:rsidRPr="00A61FE6" w:rsidRDefault="008F6BFA" w:rsidP="00796794">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Вклад</w:t>
      </w:r>
      <w:r w:rsidR="00796794" w:rsidRPr="00A61FE6">
        <w:rPr>
          <w:rFonts w:ascii="Times New Roman" w:hAnsi="Times New Roman" w:cs="Times New Roman"/>
          <w:sz w:val="24"/>
          <w:szCs w:val="24"/>
        </w:rPr>
        <w:t xml:space="preserve"> статьи «чистые налоги на продукты и импорт» </w:t>
      </w:r>
      <w:r>
        <w:rPr>
          <w:rFonts w:ascii="Times New Roman" w:hAnsi="Times New Roman" w:cs="Times New Roman"/>
          <w:sz w:val="24"/>
          <w:szCs w:val="24"/>
        </w:rPr>
        <w:t xml:space="preserve">в </w:t>
      </w:r>
      <w:r w:rsidR="00796794" w:rsidRPr="00A61FE6">
        <w:rPr>
          <w:rFonts w:ascii="Times New Roman" w:hAnsi="Times New Roman" w:cs="Times New Roman"/>
          <w:sz w:val="24"/>
          <w:szCs w:val="24"/>
        </w:rPr>
        <w:t xml:space="preserve">ВВП </w:t>
      </w:r>
      <w:r>
        <w:rPr>
          <w:rFonts w:ascii="Times New Roman" w:hAnsi="Times New Roman" w:cs="Times New Roman"/>
          <w:sz w:val="24"/>
          <w:szCs w:val="24"/>
        </w:rPr>
        <w:t>составил</w:t>
      </w:r>
      <w:r w:rsidR="00796794" w:rsidRPr="00A61FE6">
        <w:rPr>
          <w:rFonts w:ascii="Times New Roman" w:hAnsi="Times New Roman" w:cs="Times New Roman"/>
          <w:sz w:val="24"/>
          <w:szCs w:val="24"/>
        </w:rPr>
        <w:t xml:space="preserve"> 176,</w:t>
      </w:r>
      <w:r w:rsidR="00A73CEE">
        <w:rPr>
          <w:rFonts w:ascii="Times New Roman" w:hAnsi="Times New Roman" w:cs="Times New Roman"/>
          <w:sz w:val="24"/>
          <w:szCs w:val="24"/>
        </w:rPr>
        <w:t>8</w:t>
      </w:r>
      <w:r w:rsidR="00796794" w:rsidRPr="00A61FE6">
        <w:rPr>
          <w:rFonts w:ascii="Times New Roman" w:hAnsi="Times New Roman" w:cs="Times New Roman"/>
          <w:sz w:val="24"/>
          <w:szCs w:val="24"/>
        </w:rPr>
        <w:t xml:space="preserve"> млн руб., что на </w:t>
      </w:r>
      <w:r>
        <w:rPr>
          <w:rFonts w:ascii="Times New Roman" w:hAnsi="Times New Roman" w:cs="Times New Roman"/>
          <w:sz w:val="24"/>
          <w:szCs w:val="24"/>
        </w:rPr>
        <w:t>17,0% ниже базисного значения</w:t>
      </w:r>
      <w:r w:rsidR="00796794" w:rsidRPr="00A61FE6">
        <w:rPr>
          <w:rFonts w:ascii="Times New Roman" w:hAnsi="Times New Roman" w:cs="Times New Roman"/>
          <w:sz w:val="24"/>
          <w:szCs w:val="24"/>
        </w:rPr>
        <w:t>. Понижательная динамика обусловлена снижением поступлений косвенных налогов и сборов (-13,8%), зависящих от объёма рознично</w:t>
      </w:r>
      <w:r>
        <w:rPr>
          <w:rFonts w:ascii="Times New Roman" w:hAnsi="Times New Roman" w:cs="Times New Roman"/>
          <w:sz w:val="24"/>
          <w:szCs w:val="24"/>
        </w:rPr>
        <w:t>й</w:t>
      </w:r>
      <w:r w:rsidR="00796794" w:rsidRPr="00A61FE6">
        <w:rPr>
          <w:rFonts w:ascii="Times New Roman" w:hAnsi="Times New Roman" w:cs="Times New Roman"/>
          <w:sz w:val="24"/>
          <w:szCs w:val="24"/>
        </w:rPr>
        <w:t xml:space="preserve"> </w:t>
      </w:r>
      <w:r>
        <w:rPr>
          <w:rFonts w:ascii="Times New Roman" w:hAnsi="Times New Roman" w:cs="Times New Roman"/>
          <w:sz w:val="24"/>
          <w:szCs w:val="24"/>
        </w:rPr>
        <w:t>торговли</w:t>
      </w:r>
      <w:r w:rsidR="00796794" w:rsidRPr="00A61FE6">
        <w:rPr>
          <w:rFonts w:ascii="Times New Roman" w:hAnsi="Times New Roman" w:cs="Times New Roman"/>
          <w:sz w:val="24"/>
          <w:szCs w:val="24"/>
        </w:rPr>
        <w:t xml:space="preserve"> и импорта, которые испытывали давление со стороны падающего спроса. </w:t>
      </w:r>
    </w:p>
    <w:p w14:paraId="0775231E" w14:textId="299013FF" w:rsidR="00E03DFE" w:rsidRDefault="00072AFF" w:rsidP="00E03DFE">
      <w:pPr>
        <w:spacing w:before="0" w:after="0" w:line="240" w:lineRule="auto"/>
        <w:ind w:firstLine="425"/>
        <w:jc w:val="both"/>
        <w:rPr>
          <w:rFonts w:ascii="Times New Roman" w:hAnsi="Times New Roman" w:cs="Times New Roman"/>
          <w:sz w:val="24"/>
          <w:szCs w:val="24"/>
        </w:rPr>
      </w:pPr>
      <w:r w:rsidRPr="00072AFF">
        <w:rPr>
          <w:rFonts w:ascii="Times New Roman" w:hAnsi="Times New Roman" w:cs="Times New Roman"/>
          <w:sz w:val="24"/>
          <w:szCs w:val="24"/>
        </w:rPr>
        <w:t>Высокую степень зависимости от внутренней и общемировой эпидемиологической ситуации отражают и результаты анкетирования, проводимого Приднестровским республиканским банком на ежемесячной основе. На фоне введения всеобщего локдауна в весенние месяцы индексы экономической конъюнктуры находились на минимальном уровне. Так, индекс промышленного оптимизма</w:t>
      </w:r>
      <w:r w:rsidR="008F6BFA" w:rsidRPr="00A61FE6">
        <w:rPr>
          <w:rFonts w:ascii="Times New Roman" w:hAnsi="Times New Roman"/>
          <w:sz w:val="24"/>
          <w:szCs w:val="24"/>
          <w:vertAlign w:val="superscript"/>
        </w:rPr>
        <w:footnoteReference w:id="4"/>
      </w:r>
      <w:r w:rsidR="008F6BFA" w:rsidRPr="00A61FE6">
        <w:rPr>
          <w:rFonts w:ascii="Times New Roman" w:hAnsi="Times New Roman" w:cs="Times New Roman"/>
          <w:sz w:val="24"/>
          <w:szCs w:val="24"/>
        </w:rPr>
        <w:t xml:space="preserve"> </w:t>
      </w:r>
      <w:r w:rsidRPr="00072AFF">
        <w:rPr>
          <w:rFonts w:ascii="Times New Roman" w:hAnsi="Times New Roman" w:cs="Times New Roman"/>
          <w:sz w:val="24"/>
          <w:szCs w:val="24"/>
        </w:rPr>
        <w:t>в апреле 2020 года сложился отрицательным, составив -26,8%, став одним из худших за годы исследований. Индекс деловой активности</w:t>
      </w:r>
      <w:r w:rsidR="004079AC" w:rsidRPr="00A61FE6">
        <w:rPr>
          <w:rFonts w:ascii="Times New Roman" w:hAnsi="Times New Roman"/>
          <w:sz w:val="24"/>
          <w:szCs w:val="24"/>
          <w:vertAlign w:val="superscript"/>
        </w:rPr>
        <w:footnoteReference w:id="5"/>
      </w:r>
      <w:r w:rsidRPr="00072AFF">
        <w:rPr>
          <w:rFonts w:ascii="Times New Roman" w:hAnsi="Times New Roman" w:cs="Times New Roman"/>
          <w:sz w:val="24"/>
          <w:szCs w:val="24"/>
        </w:rPr>
        <w:t xml:space="preserve"> </w:t>
      </w:r>
      <w:r w:rsidR="008F6BFA">
        <w:rPr>
          <w:rFonts w:ascii="Times New Roman" w:hAnsi="Times New Roman" w:cs="Times New Roman"/>
          <w:sz w:val="24"/>
          <w:szCs w:val="24"/>
        </w:rPr>
        <w:t xml:space="preserve">(аналог международного </w:t>
      </w:r>
      <w:r w:rsidR="008F6BFA">
        <w:rPr>
          <w:rFonts w:ascii="Times New Roman" w:hAnsi="Times New Roman" w:cs="Times New Roman"/>
          <w:sz w:val="24"/>
          <w:szCs w:val="24"/>
          <w:lang w:val="en-US"/>
        </w:rPr>
        <w:t>PMI</w:t>
      </w:r>
      <w:r w:rsidR="008F6BFA" w:rsidRPr="008F6BFA">
        <w:rPr>
          <w:rFonts w:ascii="Times New Roman" w:hAnsi="Times New Roman" w:cs="Times New Roman"/>
          <w:sz w:val="24"/>
          <w:szCs w:val="24"/>
        </w:rPr>
        <w:t xml:space="preserve">) </w:t>
      </w:r>
      <w:r w:rsidRPr="00072AFF">
        <w:rPr>
          <w:rFonts w:ascii="Times New Roman" w:hAnsi="Times New Roman" w:cs="Times New Roman"/>
          <w:sz w:val="24"/>
          <w:szCs w:val="24"/>
        </w:rPr>
        <w:t>упал до 41,2%, что значительно ниже стабилизационной отметки (50,0%).</w:t>
      </w:r>
      <w:r w:rsidR="008F3B0F">
        <w:rPr>
          <w:rFonts w:ascii="Times New Roman" w:hAnsi="Times New Roman" w:cs="Times New Roman"/>
          <w:sz w:val="24"/>
          <w:szCs w:val="24"/>
        </w:rPr>
        <w:t xml:space="preserve"> </w:t>
      </w:r>
      <w:r w:rsidR="001B435E" w:rsidRPr="00A61FE6">
        <w:rPr>
          <w:rFonts w:ascii="Times New Roman" w:hAnsi="Times New Roman" w:cs="Times New Roman"/>
          <w:sz w:val="24"/>
          <w:szCs w:val="24"/>
        </w:rPr>
        <w:t xml:space="preserve">По мере снятия ограничений ситуация в индустриальном секторе стабилизировалась </w:t>
      </w:r>
      <w:r w:rsidR="0009325E">
        <w:rPr>
          <w:rFonts w:ascii="Times New Roman" w:hAnsi="Times New Roman" w:cs="Times New Roman"/>
          <w:sz w:val="24"/>
          <w:szCs w:val="24"/>
        </w:rPr>
        <w:t>и</w:t>
      </w:r>
      <w:r w:rsidR="00E03DFE" w:rsidRPr="00A61FE6">
        <w:rPr>
          <w:rFonts w:ascii="Times New Roman" w:hAnsi="Times New Roman" w:cs="Times New Roman"/>
          <w:sz w:val="24"/>
          <w:szCs w:val="24"/>
        </w:rPr>
        <w:t xml:space="preserve"> </w:t>
      </w:r>
      <w:r w:rsidR="0009325E">
        <w:rPr>
          <w:rFonts w:ascii="Times New Roman" w:hAnsi="Times New Roman" w:cs="Times New Roman"/>
          <w:sz w:val="24"/>
          <w:szCs w:val="24"/>
        </w:rPr>
        <w:t>у</w:t>
      </w:r>
      <w:r w:rsidR="00E03DFE" w:rsidRPr="00A61FE6">
        <w:rPr>
          <w:rFonts w:ascii="Times New Roman" w:hAnsi="Times New Roman" w:cs="Times New Roman"/>
          <w:sz w:val="24"/>
          <w:szCs w:val="24"/>
        </w:rPr>
        <w:t>ровень индикаторов экономической конъюнктуры в конце года несколько возрос, однако по-прежнему характеризовался отставанием от нормативных значений</w:t>
      </w:r>
      <w:r w:rsidR="008F6BFA">
        <w:rPr>
          <w:rFonts w:ascii="Times New Roman" w:hAnsi="Times New Roman" w:cs="Times New Roman"/>
          <w:sz w:val="24"/>
          <w:szCs w:val="24"/>
        </w:rPr>
        <w:t xml:space="preserve">: </w:t>
      </w:r>
      <w:r w:rsidR="00E03DFE" w:rsidRPr="00A61FE6">
        <w:rPr>
          <w:rFonts w:ascii="Times New Roman" w:hAnsi="Times New Roman" w:cs="Times New Roman"/>
          <w:sz w:val="24"/>
          <w:szCs w:val="24"/>
        </w:rPr>
        <w:t>индекс промышленного оптимизма</w:t>
      </w:r>
      <w:r w:rsidR="004079AC">
        <w:rPr>
          <w:rFonts w:ascii="Times New Roman" w:hAnsi="Times New Roman" w:cs="Times New Roman"/>
          <w:sz w:val="24"/>
          <w:szCs w:val="24"/>
        </w:rPr>
        <w:t xml:space="preserve"> </w:t>
      </w:r>
      <w:r w:rsidR="00E03DFE" w:rsidRPr="00A61FE6">
        <w:rPr>
          <w:rFonts w:ascii="Times New Roman" w:hAnsi="Times New Roman" w:cs="Times New Roman"/>
          <w:sz w:val="24"/>
          <w:szCs w:val="24"/>
        </w:rPr>
        <w:t>в декабре составил -14,0%</w:t>
      </w:r>
      <w:r w:rsidR="00903A26">
        <w:rPr>
          <w:rFonts w:ascii="Times New Roman" w:hAnsi="Times New Roman" w:cs="Times New Roman"/>
          <w:sz w:val="24"/>
          <w:szCs w:val="24"/>
        </w:rPr>
        <w:t>,</w:t>
      </w:r>
      <w:r w:rsidR="00E03DFE" w:rsidRPr="00A61FE6">
        <w:rPr>
          <w:rFonts w:ascii="Times New Roman" w:hAnsi="Times New Roman" w:cs="Times New Roman"/>
          <w:sz w:val="24"/>
          <w:szCs w:val="24"/>
        </w:rPr>
        <w:t xml:space="preserve"> </w:t>
      </w:r>
      <w:r w:rsidR="004079AC">
        <w:rPr>
          <w:rFonts w:ascii="Times New Roman" w:hAnsi="Times New Roman" w:cs="Times New Roman"/>
          <w:sz w:val="24"/>
          <w:szCs w:val="24"/>
        </w:rPr>
        <w:t>и</w:t>
      </w:r>
      <w:r w:rsidR="00E03DFE" w:rsidRPr="00A61FE6">
        <w:rPr>
          <w:rFonts w:ascii="Times New Roman" w:hAnsi="Times New Roman" w:cs="Times New Roman"/>
          <w:sz w:val="24"/>
          <w:szCs w:val="24"/>
        </w:rPr>
        <w:t xml:space="preserve">ндекс деловой активности в производственном секторе </w:t>
      </w:r>
      <w:r w:rsidR="004079AC">
        <w:rPr>
          <w:rFonts w:ascii="Times New Roman" w:hAnsi="Times New Roman" w:cs="Times New Roman"/>
          <w:sz w:val="24"/>
          <w:szCs w:val="24"/>
        </w:rPr>
        <w:t>– 44,7%</w:t>
      </w:r>
      <w:r w:rsidR="00E03DFE" w:rsidRPr="00A61FE6">
        <w:rPr>
          <w:rFonts w:ascii="Times New Roman" w:hAnsi="Times New Roman" w:cs="Times New Roman"/>
          <w:sz w:val="24"/>
          <w:szCs w:val="24"/>
        </w:rPr>
        <w:t xml:space="preserve">. </w:t>
      </w:r>
    </w:p>
    <w:p w14:paraId="281BBBC0" w14:textId="50F80B26" w:rsidR="008F3B0F" w:rsidRDefault="008F3B0F" w:rsidP="008F3B0F">
      <w:pPr>
        <w:spacing w:before="0" w:after="0" w:line="240" w:lineRule="auto"/>
        <w:ind w:firstLine="425"/>
        <w:jc w:val="both"/>
        <w:rPr>
          <w:rFonts w:ascii="Times New Roman" w:hAnsi="Times New Roman" w:cs="Times New Roman"/>
          <w:sz w:val="24"/>
          <w:szCs w:val="24"/>
        </w:rPr>
      </w:pPr>
      <w:r w:rsidRPr="00072AFF">
        <w:rPr>
          <w:rFonts w:ascii="Times New Roman" w:hAnsi="Times New Roman" w:cs="Times New Roman"/>
          <w:sz w:val="24"/>
          <w:szCs w:val="24"/>
        </w:rPr>
        <w:t>Стоимостной объём промышленного производства</w:t>
      </w:r>
      <w:r>
        <w:rPr>
          <w:rFonts w:ascii="Times New Roman" w:hAnsi="Times New Roman" w:cs="Times New Roman"/>
          <w:sz w:val="24"/>
          <w:szCs w:val="24"/>
        </w:rPr>
        <w:t xml:space="preserve"> по итогам года </w:t>
      </w:r>
      <w:r w:rsidR="009B3C38">
        <w:rPr>
          <w:rFonts w:ascii="Times New Roman" w:hAnsi="Times New Roman" w:cs="Times New Roman"/>
          <w:sz w:val="24"/>
          <w:szCs w:val="24"/>
        </w:rPr>
        <w:t>увеличился</w:t>
      </w:r>
      <w:r w:rsidRPr="00072AFF">
        <w:rPr>
          <w:rFonts w:ascii="Times New Roman" w:hAnsi="Times New Roman" w:cs="Times New Roman"/>
          <w:sz w:val="24"/>
          <w:szCs w:val="24"/>
        </w:rPr>
        <w:t xml:space="preserve"> на 1,</w:t>
      </w:r>
      <w:r>
        <w:rPr>
          <w:rFonts w:ascii="Times New Roman" w:hAnsi="Times New Roman" w:cs="Times New Roman"/>
          <w:sz w:val="24"/>
          <w:szCs w:val="24"/>
        </w:rPr>
        <w:t>5%, составив 12 153,9</w:t>
      </w:r>
      <w:r w:rsidRPr="00072AFF">
        <w:rPr>
          <w:rFonts w:ascii="Times New Roman" w:hAnsi="Times New Roman" w:cs="Times New Roman"/>
          <w:sz w:val="24"/>
          <w:szCs w:val="24"/>
        </w:rPr>
        <w:t xml:space="preserve"> млн руб. (табл. 1</w:t>
      </w:r>
      <w:r>
        <w:rPr>
          <w:rFonts w:ascii="Times New Roman" w:hAnsi="Times New Roman" w:cs="Times New Roman"/>
          <w:sz w:val="24"/>
          <w:szCs w:val="24"/>
        </w:rPr>
        <w:t>.2</w:t>
      </w:r>
      <w:r w:rsidRPr="00072AFF">
        <w:rPr>
          <w:rFonts w:ascii="Times New Roman" w:hAnsi="Times New Roman" w:cs="Times New Roman"/>
          <w:sz w:val="24"/>
          <w:szCs w:val="24"/>
        </w:rPr>
        <w:t>)</w:t>
      </w:r>
      <w:r>
        <w:rPr>
          <w:rStyle w:val="ae"/>
          <w:rFonts w:ascii="Times New Roman" w:hAnsi="Times New Roman"/>
          <w:sz w:val="24"/>
          <w:szCs w:val="24"/>
        </w:rPr>
        <w:footnoteReference w:id="6"/>
      </w:r>
      <w:r>
        <w:rPr>
          <w:rFonts w:ascii="Times New Roman" w:hAnsi="Times New Roman" w:cs="Times New Roman"/>
          <w:sz w:val="24"/>
          <w:szCs w:val="24"/>
        </w:rPr>
        <w:t>.</w:t>
      </w:r>
      <w:r w:rsidRPr="00072AFF">
        <w:rPr>
          <w:rFonts w:ascii="Times New Roman" w:hAnsi="Times New Roman" w:cs="Times New Roman"/>
          <w:sz w:val="24"/>
          <w:szCs w:val="24"/>
        </w:rPr>
        <w:t xml:space="preserve"> Сложившаяся динамика в большей степени определялась ростом выработки в структурообразующих отраслях – чёрной металлургии и электроэнергетике, </w:t>
      </w:r>
      <w:r>
        <w:rPr>
          <w:rFonts w:ascii="Times New Roman" w:hAnsi="Times New Roman" w:cs="Times New Roman"/>
          <w:sz w:val="24"/>
          <w:szCs w:val="24"/>
        </w:rPr>
        <w:t>тогда как с</w:t>
      </w:r>
      <w:r w:rsidRPr="00072AFF">
        <w:rPr>
          <w:rFonts w:ascii="Times New Roman" w:hAnsi="Times New Roman" w:cs="Times New Roman"/>
          <w:sz w:val="24"/>
          <w:szCs w:val="24"/>
        </w:rPr>
        <w:t>овокупный объём выпуска по остальным отраслям был на 11,</w:t>
      </w:r>
      <w:r>
        <w:rPr>
          <w:rFonts w:ascii="Times New Roman" w:hAnsi="Times New Roman" w:cs="Times New Roman"/>
          <w:sz w:val="24"/>
          <w:szCs w:val="24"/>
        </w:rPr>
        <w:t>3</w:t>
      </w:r>
      <w:r w:rsidRPr="00072AFF">
        <w:rPr>
          <w:rFonts w:ascii="Times New Roman" w:hAnsi="Times New Roman" w:cs="Times New Roman"/>
          <w:sz w:val="24"/>
          <w:szCs w:val="24"/>
        </w:rPr>
        <w:t>% ниже прошлогоднего уровня.</w:t>
      </w:r>
    </w:p>
    <w:p w14:paraId="6FE27518" w14:textId="1826762E" w:rsidR="00EF13D3" w:rsidRPr="00A61FE6" w:rsidRDefault="00EF13D3" w:rsidP="00EF13D3">
      <w:pPr>
        <w:spacing w:before="0" w:after="0" w:line="240" w:lineRule="auto"/>
        <w:ind w:firstLine="425"/>
        <w:jc w:val="both"/>
        <w:rPr>
          <w:rFonts w:ascii="Times New Roman" w:hAnsi="Times New Roman" w:cs="Times New Roman"/>
          <w:sz w:val="24"/>
          <w:szCs w:val="24"/>
        </w:rPr>
      </w:pPr>
      <w:r w:rsidRPr="00072AFF">
        <w:rPr>
          <w:rFonts w:ascii="Times New Roman" w:hAnsi="Times New Roman" w:cs="Times New Roman"/>
          <w:sz w:val="24"/>
          <w:szCs w:val="24"/>
        </w:rPr>
        <w:t xml:space="preserve">В целом за год в электроэнергетике объём производства возрос на 7,7%, до </w:t>
      </w:r>
      <w:r>
        <w:rPr>
          <w:rFonts w:ascii="Times New Roman" w:hAnsi="Times New Roman" w:cs="Times New Roman"/>
          <w:sz w:val="24"/>
          <w:szCs w:val="24"/>
        </w:rPr>
        <w:br/>
      </w:r>
      <w:r w:rsidRPr="00072AFF">
        <w:rPr>
          <w:rFonts w:ascii="Times New Roman" w:hAnsi="Times New Roman" w:cs="Times New Roman"/>
          <w:sz w:val="24"/>
          <w:szCs w:val="24"/>
        </w:rPr>
        <w:t>4 021,</w:t>
      </w:r>
      <w:r w:rsidR="00632855" w:rsidRPr="001B3050">
        <w:rPr>
          <w:rFonts w:ascii="Times New Roman" w:hAnsi="Times New Roman" w:cs="Times New Roman"/>
          <w:sz w:val="24"/>
          <w:szCs w:val="24"/>
        </w:rPr>
        <w:t>6</w:t>
      </w:r>
      <w:r w:rsidRPr="00072AFF">
        <w:rPr>
          <w:rFonts w:ascii="Times New Roman" w:hAnsi="Times New Roman" w:cs="Times New Roman"/>
          <w:sz w:val="24"/>
          <w:szCs w:val="24"/>
        </w:rPr>
        <w:t xml:space="preserve"> млн руб. В результате удельный вес отрасли в совокупном индустриальном выпуске расширился на 2,2 п.п., до 33,1%. В натуральном выражении объём сгенерированной электроэнергии увеличился </w:t>
      </w:r>
      <w:r>
        <w:rPr>
          <w:rFonts w:ascii="Times New Roman" w:hAnsi="Times New Roman" w:cs="Times New Roman"/>
          <w:sz w:val="24"/>
          <w:szCs w:val="24"/>
        </w:rPr>
        <w:t>на 9,3%, до 5 158,4</w:t>
      </w:r>
      <w:r w:rsidRPr="00072AFF">
        <w:rPr>
          <w:rFonts w:ascii="Times New Roman" w:hAnsi="Times New Roman" w:cs="Times New Roman"/>
          <w:sz w:val="24"/>
          <w:szCs w:val="24"/>
        </w:rPr>
        <w:t xml:space="preserve"> млн кВт/ч</w:t>
      </w:r>
      <w:r>
        <w:rPr>
          <w:rFonts w:ascii="Times New Roman" w:hAnsi="Times New Roman" w:cs="Times New Roman"/>
          <w:sz w:val="24"/>
          <w:szCs w:val="24"/>
        </w:rPr>
        <w:t>.</w:t>
      </w:r>
    </w:p>
    <w:p w14:paraId="644F3E22" w14:textId="0B59B8EF" w:rsidR="000910DB" w:rsidRPr="00006C41" w:rsidRDefault="000910DB" w:rsidP="00642AF4">
      <w:pPr>
        <w:spacing w:before="120" w:after="120"/>
        <w:jc w:val="right"/>
        <w:rPr>
          <w:rFonts w:ascii="Times New Roman" w:hAnsi="Times New Roman" w:cs="Times New Roman"/>
          <w:b/>
          <w:i/>
          <w:sz w:val="24"/>
          <w:szCs w:val="24"/>
        </w:rPr>
      </w:pPr>
      <w:r w:rsidRPr="00006C41">
        <w:rPr>
          <w:rFonts w:ascii="Times New Roman" w:hAnsi="Times New Roman" w:cs="Times New Roman"/>
          <w:b/>
          <w:i/>
          <w:sz w:val="24"/>
          <w:szCs w:val="24"/>
        </w:rPr>
        <w:t>Таблица 1.2</w:t>
      </w:r>
    </w:p>
    <w:p w14:paraId="4F0F7D0F" w14:textId="13A73807" w:rsidR="000910DB" w:rsidRPr="00A61FE6" w:rsidRDefault="000910DB" w:rsidP="00B2387C">
      <w:pPr>
        <w:widowControl w:val="0"/>
        <w:spacing w:before="0" w:after="120" w:line="240" w:lineRule="auto"/>
        <w:jc w:val="center"/>
        <w:rPr>
          <w:rFonts w:ascii="Times New Roman" w:hAnsi="Times New Roman" w:cs="Times New Roman"/>
          <w:b/>
          <w:i/>
          <w:sz w:val="24"/>
          <w:szCs w:val="24"/>
        </w:rPr>
      </w:pPr>
      <w:r w:rsidRPr="00A61FE6">
        <w:rPr>
          <w:rFonts w:ascii="Times New Roman" w:hAnsi="Times New Roman" w:cs="Times New Roman"/>
          <w:b/>
          <w:i/>
          <w:sz w:val="24"/>
          <w:szCs w:val="24"/>
        </w:rPr>
        <w:t>Динамика объёмов производства по отраслям промышленности в 20</w:t>
      </w:r>
      <w:r w:rsidR="00986BE2" w:rsidRPr="00A61FE6">
        <w:rPr>
          <w:rFonts w:ascii="Times New Roman" w:hAnsi="Times New Roman" w:cs="Times New Roman"/>
          <w:b/>
          <w:i/>
          <w:sz w:val="24"/>
          <w:szCs w:val="24"/>
        </w:rPr>
        <w:t>20</w:t>
      </w:r>
      <w:r w:rsidRPr="00A61FE6">
        <w:rPr>
          <w:rFonts w:ascii="Times New Roman" w:hAnsi="Times New Roman" w:cs="Times New Roman"/>
          <w:b/>
          <w:i/>
          <w:sz w:val="24"/>
          <w:szCs w:val="24"/>
        </w:rPr>
        <w:t xml:space="preserve">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77"/>
        <w:gridCol w:w="1228"/>
        <w:gridCol w:w="1070"/>
        <w:gridCol w:w="1152"/>
      </w:tblGrid>
      <w:tr w:rsidR="000910DB" w:rsidRPr="00A61FE6" w14:paraId="21FDC8F7" w14:textId="77777777" w:rsidTr="002A64FC">
        <w:trPr>
          <w:cantSplit/>
          <w:trHeight w:val="448"/>
        </w:trPr>
        <w:tc>
          <w:tcPr>
            <w:tcW w:w="3237" w:type="pct"/>
            <w:tcBorders>
              <w:bottom w:val="double" w:sz="4" w:space="0" w:color="auto"/>
            </w:tcBorders>
            <w:shd w:val="clear" w:color="auto" w:fill="CCCCCC"/>
            <w:vAlign w:val="center"/>
          </w:tcPr>
          <w:p w14:paraId="203D9912" w14:textId="77777777" w:rsidR="000910DB" w:rsidRPr="00A61FE6" w:rsidRDefault="000910DB" w:rsidP="008A651D">
            <w:pPr>
              <w:widowControl w:val="0"/>
              <w:spacing w:before="0" w:after="0" w:line="240" w:lineRule="auto"/>
              <w:jc w:val="center"/>
              <w:rPr>
                <w:rFonts w:ascii="Times New Roman" w:hAnsi="Times New Roman" w:cs="Times New Roman"/>
                <w:snapToGrid w:val="0"/>
                <w:sz w:val="22"/>
                <w:szCs w:val="22"/>
              </w:rPr>
            </w:pPr>
          </w:p>
        </w:tc>
        <w:tc>
          <w:tcPr>
            <w:tcW w:w="580" w:type="pct"/>
            <w:tcBorders>
              <w:bottom w:val="double" w:sz="4" w:space="0" w:color="auto"/>
            </w:tcBorders>
            <w:shd w:val="clear" w:color="auto" w:fill="CCCCCC"/>
            <w:vAlign w:val="center"/>
          </w:tcPr>
          <w:p w14:paraId="7625FB3D" w14:textId="77777777" w:rsidR="000910DB" w:rsidRPr="00A61FE6" w:rsidRDefault="000910DB" w:rsidP="008A651D">
            <w:pPr>
              <w:widowControl w:val="0"/>
              <w:spacing w:before="0" w:after="0" w:line="240" w:lineRule="auto"/>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млн руб.</w:t>
            </w:r>
          </w:p>
        </w:tc>
        <w:tc>
          <w:tcPr>
            <w:tcW w:w="585" w:type="pct"/>
            <w:tcBorders>
              <w:bottom w:val="double" w:sz="4" w:space="0" w:color="auto"/>
            </w:tcBorders>
            <w:shd w:val="clear" w:color="auto" w:fill="CCCCCC"/>
            <w:vAlign w:val="center"/>
          </w:tcPr>
          <w:p w14:paraId="2A2439BD" w14:textId="77777777" w:rsidR="000910DB" w:rsidRPr="00A61FE6" w:rsidRDefault="000910DB" w:rsidP="008A651D">
            <w:pPr>
              <w:widowControl w:val="0"/>
              <w:spacing w:before="0" w:after="0" w:line="240" w:lineRule="auto"/>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удельный</w:t>
            </w:r>
          </w:p>
          <w:p w14:paraId="4AC7D4C3" w14:textId="77777777" w:rsidR="000910DB" w:rsidRPr="00A61FE6" w:rsidRDefault="000910DB" w:rsidP="008A651D">
            <w:pPr>
              <w:widowControl w:val="0"/>
              <w:spacing w:before="0" w:after="0" w:line="240" w:lineRule="auto"/>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вес, %</w:t>
            </w:r>
          </w:p>
        </w:tc>
        <w:tc>
          <w:tcPr>
            <w:tcW w:w="599" w:type="pct"/>
            <w:tcBorders>
              <w:bottom w:val="double" w:sz="4" w:space="0" w:color="auto"/>
            </w:tcBorders>
            <w:shd w:val="clear" w:color="auto" w:fill="CCCCCC"/>
            <w:vAlign w:val="center"/>
          </w:tcPr>
          <w:p w14:paraId="6F3A1328" w14:textId="62FD5FAC" w:rsidR="000910DB" w:rsidRPr="00A61FE6" w:rsidRDefault="000910DB" w:rsidP="007152E7">
            <w:pPr>
              <w:widowControl w:val="0"/>
              <w:spacing w:before="0" w:after="0" w:line="240" w:lineRule="auto"/>
              <w:ind w:left="-57"/>
              <w:jc w:val="center"/>
              <w:rPr>
                <w:rFonts w:ascii="Times New Roman" w:hAnsi="Times New Roman" w:cs="Times New Roman"/>
                <w:snapToGrid w:val="0"/>
                <w:sz w:val="22"/>
                <w:szCs w:val="22"/>
              </w:rPr>
            </w:pPr>
            <w:r w:rsidRPr="00A61FE6">
              <w:rPr>
                <w:rFonts w:ascii="Times New Roman" w:hAnsi="Times New Roman" w:cs="Times New Roman"/>
                <w:snapToGrid w:val="0"/>
                <w:sz w:val="22"/>
                <w:szCs w:val="22"/>
              </w:rPr>
              <w:t xml:space="preserve">темп </w:t>
            </w:r>
            <w:r w:rsidRPr="00A61FE6">
              <w:rPr>
                <w:rFonts w:ascii="Times New Roman" w:hAnsi="Times New Roman" w:cs="Times New Roman"/>
                <w:snapToGrid w:val="0"/>
                <w:sz w:val="22"/>
                <w:szCs w:val="22"/>
              </w:rPr>
              <w:br/>
              <w:t>роста, %</w:t>
            </w:r>
          </w:p>
        </w:tc>
      </w:tr>
      <w:tr w:rsidR="00986BE2" w:rsidRPr="00A61FE6" w14:paraId="19242F5A" w14:textId="77777777" w:rsidTr="002A64FC">
        <w:trPr>
          <w:trHeight w:val="240"/>
        </w:trPr>
        <w:tc>
          <w:tcPr>
            <w:tcW w:w="3237" w:type="pct"/>
            <w:tcBorders>
              <w:top w:val="double" w:sz="4" w:space="0" w:color="auto"/>
            </w:tcBorders>
            <w:shd w:val="clear" w:color="auto" w:fill="E0E0E0"/>
            <w:vAlign w:val="bottom"/>
          </w:tcPr>
          <w:p w14:paraId="201360B5" w14:textId="77777777" w:rsidR="00986BE2" w:rsidRPr="00A61FE6" w:rsidRDefault="00986BE2" w:rsidP="00986BE2">
            <w:pPr>
              <w:widowControl w:val="0"/>
              <w:spacing w:before="0" w:after="0" w:line="240" w:lineRule="auto"/>
              <w:ind w:firstLine="142"/>
              <w:rPr>
                <w:rFonts w:ascii="Times New Roman" w:hAnsi="Times New Roman" w:cs="Times New Roman"/>
                <w:snapToGrid w:val="0"/>
                <w:sz w:val="22"/>
                <w:szCs w:val="22"/>
              </w:rPr>
            </w:pPr>
            <w:r w:rsidRPr="00A61FE6">
              <w:rPr>
                <w:rFonts w:ascii="Times New Roman" w:hAnsi="Times New Roman" w:cs="Times New Roman"/>
                <w:snapToGrid w:val="0"/>
                <w:sz w:val="22"/>
                <w:szCs w:val="22"/>
              </w:rPr>
              <w:t>Объём производства промышленной продукции, всего</w:t>
            </w:r>
          </w:p>
        </w:tc>
        <w:tc>
          <w:tcPr>
            <w:tcW w:w="580" w:type="pct"/>
            <w:tcBorders>
              <w:top w:val="double" w:sz="4" w:space="0" w:color="auto"/>
            </w:tcBorders>
            <w:shd w:val="clear" w:color="auto" w:fill="E0E0E0"/>
            <w:vAlign w:val="bottom"/>
          </w:tcPr>
          <w:p w14:paraId="2271C357" w14:textId="696211E7" w:rsidR="00986BE2" w:rsidRPr="00A61FE6" w:rsidRDefault="009E0B0A" w:rsidP="00986BE2">
            <w:pPr>
              <w:widowControl w:val="0"/>
              <w:spacing w:before="0" w:after="0" w:line="240" w:lineRule="auto"/>
              <w:ind w:right="397"/>
              <w:jc w:val="right"/>
              <w:rPr>
                <w:rFonts w:ascii="Times New Roman" w:hAnsi="Times New Roman" w:cs="Times New Roman"/>
                <w:bCs/>
                <w:sz w:val="22"/>
                <w:szCs w:val="22"/>
              </w:rPr>
            </w:pPr>
            <w:r>
              <w:rPr>
                <w:rFonts w:ascii="Times New Roman" w:hAnsi="Times New Roman" w:cs="Times New Roman"/>
                <w:sz w:val="22"/>
                <w:szCs w:val="22"/>
              </w:rPr>
              <w:t>12 153,9</w:t>
            </w:r>
          </w:p>
        </w:tc>
        <w:tc>
          <w:tcPr>
            <w:tcW w:w="585" w:type="pct"/>
            <w:tcBorders>
              <w:top w:val="double" w:sz="4" w:space="0" w:color="auto"/>
            </w:tcBorders>
            <w:shd w:val="clear" w:color="auto" w:fill="E0E0E0"/>
            <w:vAlign w:val="bottom"/>
          </w:tcPr>
          <w:p w14:paraId="015FB44E" w14:textId="12EE5933" w:rsidR="00986BE2" w:rsidRPr="00A61FE6" w:rsidRDefault="00986BE2" w:rsidP="00986BE2">
            <w:pPr>
              <w:widowControl w:val="0"/>
              <w:spacing w:before="0" w:after="0" w:line="240" w:lineRule="auto"/>
              <w:ind w:left="-28" w:right="340"/>
              <w:jc w:val="right"/>
              <w:rPr>
                <w:rFonts w:ascii="Times New Roman" w:hAnsi="Times New Roman" w:cs="Times New Roman"/>
                <w:sz w:val="22"/>
                <w:szCs w:val="22"/>
              </w:rPr>
            </w:pPr>
            <w:r w:rsidRPr="00A61FE6">
              <w:rPr>
                <w:rFonts w:ascii="Times New Roman" w:hAnsi="Times New Roman" w:cs="Times New Roman"/>
                <w:sz w:val="22"/>
                <w:szCs w:val="22"/>
              </w:rPr>
              <w:t>100,0</w:t>
            </w:r>
          </w:p>
        </w:tc>
        <w:tc>
          <w:tcPr>
            <w:tcW w:w="599" w:type="pct"/>
            <w:tcBorders>
              <w:top w:val="double" w:sz="4" w:space="0" w:color="auto"/>
            </w:tcBorders>
            <w:shd w:val="clear" w:color="auto" w:fill="E0E0E0"/>
            <w:vAlign w:val="bottom"/>
          </w:tcPr>
          <w:p w14:paraId="4F94C3B1" w14:textId="373F7F7B" w:rsidR="00986BE2" w:rsidRPr="00A61FE6" w:rsidRDefault="00986BE2"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101,</w:t>
            </w:r>
            <w:r w:rsidR="009E0B0A">
              <w:rPr>
                <w:rFonts w:ascii="Times New Roman" w:hAnsi="Times New Roman" w:cs="Times New Roman"/>
                <w:sz w:val="22"/>
                <w:szCs w:val="22"/>
              </w:rPr>
              <w:t>5</w:t>
            </w:r>
          </w:p>
        </w:tc>
      </w:tr>
      <w:tr w:rsidR="00986BE2" w:rsidRPr="00A61FE6" w14:paraId="676EFA84" w14:textId="77777777" w:rsidTr="002A64FC">
        <w:trPr>
          <w:trHeight w:val="270"/>
        </w:trPr>
        <w:tc>
          <w:tcPr>
            <w:tcW w:w="3237" w:type="pct"/>
            <w:tcBorders>
              <w:bottom w:val="single" w:sz="4" w:space="0" w:color="auto"/>
            </w:tcBorders>
            <w:vAlign w:val="bottom"/>
          </w:tcPr>
          <w:p w14:paraId="1C394AAB" w14:textId="77777777" w:rsidR="00986BE2" w:rsidRPr="00A61FE6" w:rsidRDefault="00986BE2" w:rsidP="00986BE2">
            <w:pPr>
              <w:widowControl w:val="0"/>
              <w:spacing w:before="0" w:after="0" w:line="240" w:lineRule="auto"/>
              <w:ind w:left="292"/>
              <w:rPr>
                <w:rFonts w:ascii="Times New Roman" w:hAnsi="Times New Roman" w:cs="Times New Roman"/>
                <w:snapToGrid w:val="0"/>
                <w:sz w:val="22"/>
                <w:szCs w:val="22"/>
              </w:rPr>
            </w:pPr>
            <w:r w:rsidRPr="00A61FE6">
              <w:rPr>
                <w:rFonts w:ascii="Times New Roman" w:hAnsi="Times New Roman" w:cs="Times New Roman"/>
                <w:snapToGrid w:val="0"/>
                <w:sz w:val="22"/>
                <w:szCs w:val="22"/>
              </w:rPr>
              <w:t>в том числе по отраслям:</w:t>
            </w:r>
          </w:p>
        </w:tc>
        <w:tc>
          <w:tcPr>
            <w:tcW w:w="580" w:type="pct"/>
            <w:tcBorders>
              <w:bottom w:val="single" w:sz="4" w:space="0" w:color="auto"/>
            </w:tcBorders>
            <w:vAlign w:val="bottom"/>
          </w:tcPr>
          <w:p w14:paraId="5CF233B9" w14:textId="77777777" w:rsidR="00986BE2" w:rsidRPr="00A61FE6" w:rsidRDefault="00986BE2" w:rsidP="00986BE2">
            <w:pPr>
              <w:widowControl w:val="0"/>
              <w:spacing w:before="0" w:after="0" w:line="240" w:lineRule="auto"/>
              <w:ind w:right="454"/>
              <w:jc w:val="right"/>
              <w:rPr>
                <w:rFonts w:ascii="Times New Roman" w:hAnsi="Times New Roman" w:cs="Times New Roman"/>
                <w:sz w:val="22"/>
                <w:szCs w:val="22"/>
              </w:rPr>
            </w:pPr>
          </w:p>
        </w:tc>
        <w:tc>
          <w:tcPr>
            <w:tcW w:w="585" w:type="pct"/>
            <w:tcBorders>
              <w:bottom w:val="single" w:sz="4" w:space="0" w:color="auto"/>
            </w:tcBorders>
            <w:vAlign w:val="bottom"/>
          </w:tcPr>
          <w:p w14:paraId="52B7237C" w14:textId="77777777" w:rsidR="00986BE2" w:rsidRPr="00A61FE6" w:rsidRDefault="00986BE2" w:rsidP="00986BE2">
            <w:pPr>
              <w:widowControl w:val="0"/>
              <w:spacing w:before="0" w:after="0" w:line="240" w:lineRule="auto"/>
              <w:ind w:left="-28" w:right="340"/>
              <w:jc w:val="right"/>
              <w:rPr>
                <w:rFonts w:ascii="Times New Roman" w:hAnsi="Times New Roman" w:cs="Times New Roman"/>
                <w:sz w:val="22"/>
                <w:szCs w:val="22"/>
              </w:rPr>
            </w:pPr>
          </w:p>
        </w:tc>
        <w:tc>
          <w:tcPr>
            <w:tcW w:w="599" w:type="pct"/>
            <w:tcBorders>
              <w:bottom w:val="single" w:sz="4" w:space="0" w:color="auto"/>
            </w:tcBorders>
            <w:vAlign w:val="bottom"/>
          </w:tcPr>
          <w:p w14:paraId="56D93FBC" w14:textId="77777777" w:rsidR="00986BE2" w:rsidRPr="00A61FE6" w:rsidRDefault="00986BE2" w:rsidP="00986BE2">
            <w:pPr>
              <w:widowControl w:val="0"/>
              <w:spacing w:before="0" w:after="0" w:line="240" w:lineRule="auto"/>
              <w:ind w:right="312"/>
              <w:jc w:val="right"/>
              <w:rPr>
                <w:rFonts w:ascii="Times New Roman" w:hAnsi="Times New Roman" w:cs="Times New Roman"/>
                <w:sz w:val="22"/>
                <w:szCs w:val="22"/>
              </w:rPr>
            </w:pPr>
          </w:p>
        </w:tc>
      </w:tr>
      <w:tr w:rsidR="009E0B0A" w:rsidRPr="00A61FE6" w14:paraId="07B620B4" w14:textId="77777777" w:rsidTr="002A64FC">
        <w:trPr>
          <w:trHeight w:val="270"/>
        </w:trPr>
        <w:tc>
          <w:tcPr>
            <w:tcW w:w="3237" w:type="pct"/>
            <w:tcBorders>
              <w:top w:val="single" w:sz="4" w:space="0" w:color="auto"/>
              <w:bottom w:val="single" w:sz="4" w:space="0" w:color="auto"/>
            </w:tcBorders>
            <w:vAlign w:val="bottom"/>
          </w:tcPr>
          <w:p w14:paraId="278D9763" w14:textId="77777777" w:rsidR="009E0B0A" w:rsidRPr="00A61FE6" w:rsidRDefault="009E0B0A" w:rsidP="009E0B0A">
            <w:pPr>
              <w:widowControl w:val="0"/>
              <w:tabs>
                <w:tab w:val="left" w:pos="396"/>
              </w:tabs>
              <w:spacing w:before="0" w:after="0" w:line="240" w:lineRule="auto"/>
              <w:ind w:left="284" w:firstLine="22"/>
              <w:rPr>
                <w:rFonts w:ascii="Times New Roman" w:hAnsi="Times New Roman" w:cs="Times New Roman"/>
                <w:snapToGrid w:val="0"/>
                <w:sz w:val="22"/>
                <w:szCs w:val="22"/>
              </w:rPr>
            </w:pPr>
            <w:r w:rsidRPr="00A61FE6">
              <w:rPr>
                <w:rFonts w:ascii="Times New Roman" w:hAnsi="Times New Roman" w:cs="Times New Roman"/>
                <w:snapToGrid w:val="0"/>
                <w:sz w:val="22"/>
                <w:szCs w:val="22"/>
              </w:rPr>
              <w:t>- электроэнергетика</w:t>
            </w:r>
          </w:p>
        </w:tc>
        <w:tc>
          <w:tcPr>
            <w:tcW w:w="580" w:type="pct"/>
            <w:tcBorders>
              <w:top w:val="single" w:sz="4" w:space="0" w:color="auto"/>
              <w:bottom w:val="single" w:sz="4" w:space="0" w:color="auto"/>
            </w:tcBorders>
          </w:tcPr>
          <w:p w14:paraId="7DF566FC" w14:textId="3A49F55B"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4 021,6</w:t>
            </w:r>
          </w:p>
        </w:tc>
        <w:tc>
          <w:tcPr>
            <w:tcW w:w="585" w:type="pct"/>
            <w:tcBorders>
              <w:top w:val="single" w:sz="4" w:space="0" w:color="auto"/>
              <w:bottom w:val="single" w:sz="4" w:space="0" w:color="auto"/>
            </w:tcBorders>
          </w:tcPr>
          <w:p w14:paraId="4A7CD053" w14:textId="0765BD8E"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33,1</w:t>
            </w:r>
          </w:p>
        </w:tc>
        <w:tc>
          <w:tcPr>
            <w:tcW w:w="599" w:type="pct"/>
            <w:tcBorders>
              <w:top w:val="single" w:sz="4" w:space="0" w:color="auto"/>
              <w:bottom w:val="single" w:sz="4" w:space="0" w:color="auto"/>
            </w:tcBorders>
            <w:vAlign w:val="bottom"/>
          </w:tcPr>
          <w:p w14:paraId="3150E6E1" w14:textId="2280D5BD"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107,7</w:t>
            </w:r>
          </w:p>
        </w:tc>
      </w:tr>
      <w:tr w:rsidR="009E0B0A" w:rsidRPr="00A61FE6" w14:paraId="08BDCCC5" w14:textId="77777777" w:rsidTr="002A64FC">
        <w:trPr>
          <w:trHeight w:val="270"/>
        </w:trPr>
        <w:tc>
          <w:tcPr>
            <w:tcW w:w="3237" w:type="pct"/>
            <w:tcBorders>
              <w:top w:val="single" w:sz="4" w:space="0" w:color="auto"/>
              <w:bottom w:val="single" w:sz="4" w:space="0" w:color="auto"/>
            </w:tcBorders>
            <w:vAlign w:val="bottom"/>
          </w:tcPr>
          <w:p w14:paraId="7111607F" w14:textId="77777777" w:rsidR="009E0B0A" w:rsidRPr="00A61FE6" w:rsidRDefault="009E0B0A" w:rsidP="009E0B0A">
            <w:pPr>
              <w:widowControl w:val="0"/>
              <w:tabs>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чёрная металлургия</w:t>
            </w:r>
          </w:p>
        </w:tc>
        <w:tc>
          <w:tcPr>
            <w:tcW w:w="580" w:type="pct"/>
            <w:tcBorders>
              <w:top w:val="single" w:sz="4" w:space="0" w:color="auto"/>
              <w:bottom w:val="single" w:sz="4" w:space="0" w:color="auto"/>
            </w:tcBorders>
          </w:tcPr>
          <w:p w14:paraId="42AFD070" w14:textId="6FEE6D2A"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3 512,0</w:t>
            </w:r>
          </w:p>
        </w:tc>
        <w:tc>
          <w:tcPr>
            <w:tcW w:w="585" w:type="pct"/>
            <w:tcBorders>
              <w:top w:val="single" w:sz="4" w:space="0" w:color="auto"/>
              <w:bottom w:val="single" w:sz="4" w:space="0" w:color="auto"/>
            </w:tcBorders>
          </w:tcPr>
          <w:p w14:paraId="6DDC2C88" w14:textId="0665DD48"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28,9</w:t>
            </w:r>
          </w:p>
        </w:tc>
        <w:tc>
          <w:tcPr>
            <w:tcW w:w="599" w:type="pct"/>
            <w:tcBorders>
              <w:top w:val="single" w:sz="4" w:space="0" w:color="auto"/>
              <w:bottom w:val="single" w:sz="4" w:space="0" w:color="auto"/>
            </w:tcBorders>
            <w:vAlign w:val="bottom"/>
          </w:tcPr>
          <w:p w14:paraId="32A54110" w14:textId="2500F298"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115,8</w:t>
            </w:r>
          </w:p>
        </w:tc>
      </w:tr>
      <w:tr w:rsidR="009E0B0A" w:rsidRPr="00A61FE6" w14:paraId="3D47C135" w14:textId="77777777" w:rsidTr="002A64FC">
        <w:trPr>
          <w:trHeight w:val="270"/>
        </w:trPr>
        <w:tc>
          <w:tcPr>
            <w:tcW w:w="3237" w:type="pct"/>
            <w:tcBorders>
              <w:top w:val="single" w:sz="4" w:space="0" w:color="auto"/>
              <w:bottom w:val="single" w:sz="4" w:space="0" w:color="auto"/>
            </w:tcBorders>
            <w:vAlign w:val="bottom"/>
          </w:tcPr>
          <w:p w14:paraId="74655FC1" w14:textId="77777777" w:rsidR="009E0B0A" w:rsidRPr="00A61FE6" w:rsidRDefault="009E0B0A" w:rsidP="009E0B0A">
            <w:pPr>
              <w:widowControl w:val="0"/>
              <w:tabs>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химическая промышленность</w:t>
            </w:r>
          </w:p>
        </w:tc>
        <w:tc>
          <w:tcPr>
            <w:tcW w:w="580" w:type="pct"/>
            <w:tcBorders>
              <w:top w:val="single" w:sz="4" w:space="0" w:color="auto"/>
              <w:bottom w:val="single" w:sz="4" w:space="0" w:color="auto"/>
            </w:tcBorders>
          </w:tcPr>
          <w:p w14:paraId="7017662C" w14:textId="0B5F3209"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275,7</w:t>
            </w:r>
          </w:p>
        </w:tc>
        <w:tc>
          <w:tcPr>
            <w:tcW w:w="585" w:type="pct"/>
            <w:tcBorders>
              <w:top w:val="single" w:sz="4" w:space="0" w:color="auto"/>
              <w:bottom w:val="single" w:sz="4" w:space="0" w:color="auto"/>
            </w:tcBorders>
          </w:tcPr>
          <w:p w14:paraId="4CB797F3" w14:textId="0BDBCAB9"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2,3</w:t>
            </w:r>
          </w:p>
        </w:tc>
        <w:tc>
          <w:tcPr>
            <w:tcW w:w="599" w:type="pct"/>
            <w:tcBorders>
              <w:top w:val="single" w:sz="4" w:space="0" w:color="auto"/>
              <w:bottom w:val="single" w:sz="4" w:space="0" w:color="auto"/>
            </w:tcBorders>
            <w:vAlign w:val="bottom"/>
          </w:tcPr>
          <w:p w14:paraId="3A4D29C2" w14:textId="1F0FFABA"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Sylfaen" w:hAnsi="Sylfaen"/>
              </w:rPr>
              <w:t>94,9</w:t>
            </w:r>
          </w:p>
        </w:tc>
      </w:tr>
      <w:tr w:rsidR="009E0B0A" w:rsidRPr="00A61FE6" w14:paraId="5EBC081B" w14:textId="77777777" w:rsidTr="002A64FC">
        <w:trPr>
          <w:trHeight w:val="270"/>
        </w:trPr>
        <w:tc>
          <w:tcPr>
            <w:tcW w:w="3237" w:type="pct"/>
            <w:tcBorders>
              <w:top w:val="single" w:sz="4" w:space="0" w:color="auto"/>
              <w:bottom w:val="single" w:sz="4" w:space="0" w:color="auto"/>
            </w:tcBorders>
            <w:vAlign w:val="bottom"/>
          </w:tcPr>
          <w:p w14:paraId="04CBDDE8" w14:textId="77777777" w:rsidR="009E0B0A" w:rsidRPr="00A61FE6" w:rsidRDefault="009E0B0A" w:rsidP="009E0B0A">
            <w:pPr>
              <w:widowControl w:val="0"/>
              <w:tabs>
                <w:tab w:val="left" w:pos="284"/>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машиностроение и металлообработка</w:t>
            </w:r>
          </w:p>
        </w:tc>
        <w:tc>
          <w:tcPr>
            <w:tcW w:w="580" w:type="pct"/>
            <w:tcBorders>
              <w:top w:val="single" w:sz="4" w:space="0" w:color="auto"/>
              <w:bottom w:val="single" w:sz="4" w:space="0" w:color="auto"/>
            </w:tcBorders>
          </w:tcPr>
          <w:p w14:paraId="1C0CC3FB" w14:textId="416F8E4F"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296,0</w:t>
            </w:r>
          </w:p>
        </w:tc>
        <w:tc>
          <w:tcPr>
            <w:tcW w:w="585" w:type="pct"/>
            <w:tcBorders>
              <w:top w:val="single" w:sz="4" w:space="0" w:color="auto"/>
              <w:bottom w:val="single" w:sz="4" w:space="0" w:color="auto"/>
            </w:tcBorders>
          </w:tcPr>
          <w:p w14:paraId="30C73E97" w14:textId="4AB7588A"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2,4</w:t>
            </w:r>
          </w:p>
        </w:tc>
        <w:tc>
          <w:tcPr>
            <w:tcW w:w="599" w:type="pct"/>
            <w:tcBorders>
              <w:top w:val="single" w:sz="4" w:space="0" w:color="auto"/>
              <w:bottom w:val="single" w:sz="4" w:space="0" w:color="auto"/>
            </w:tcBorders>
            <w:vAlign w:val="bottom"/>
          </w:tcPr>
          <w:p w14:paraId="66B8E87E" w14:textId="33C05BEB"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64,</w:t>
            </w:r>
            <w:r>
              <w:rPr>
                <w:rFonts w:ascii="Times New Roman" w:hAnsi="Times New Roman" w:cs="Times New Roman"/>
                <w:sz w:val="22"/>
                <w:szCs w:val="22"/>
              </w:rPr>
              <w:t>7</w:t>
            </w:r>
          </w:p>
        </w:tc>
      </w:tr>
      <w:tr w:rsidR="009E0B0A" w:rsidRPr="00A61FE6" w14:paraId="5C06B1A1" w14:textId="77777777" w:rsidTr="002A64FC">
        <w:trPr>
          <w:trHeight w:val="270"/>
        </w:trPr>
        <w:tc>
          <w:tcPr>
            <w:tcW w:w="3237" w:type="pct"/>
            <w:tcBorders>
              <w:top w:val="single" w:sz="4" w:space="0" w:color="auto"/>
              <w:bottom w:val="single" w:sz="4" w:space="0" w:color="auto"/>
            </w:tcBorders>
            <w:vAlign w:val="bottom"/>
          </w:tcPr>
          <w:p w14:paraId="6E8FE7F2" w14:textId="77777777" w:rsidR="009E0B0A" w:rsidRPr="00A61FE6" w:rsidRDefault="009E0B0A" w:rsidP="009E0B0A">
            <w:pPr>
              <w:widowControl w:val="0"/>
              <w:tabs>
                <w:tab w:val="left" w:pos="284"/>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электротехническая промышленность</w:t>
            </w:r>
          </w:p>
        </w:tc>
        <w:tc>
          <w:tcPr>
            <w:tcW w:w="580" w:type="pct"/>
            <w:tcBorders>
              <w:top w:val="single" w:sz="4" w:space="0" w:color="auto"/>
              <w:bottom w:val="single" w:sz="4" w:space="0" w:color="auto"/>
            </w:tcBorders>
          </w:tcPr>
          <w:p w14:paraId="21C21D96" w14:textId="1DCC4B57"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270,6</w:t>
            </w:r>
          </w:p>
        </w:tc>
        <w:tc>
          <w:tcPr>
            <w:tcW w:w="585" w:type="pct"/>
            <w:tcBorders>
              <w:top w:val="single" w:sz="4" w:space="0" w:color="auto"/>
              <w:bottom w:val="single" w:sz="4" w:space="0" w:color="auto"/>
            </w:tcBorders>
          </w:tcPr>
          <w:p w14:paraId="2EF5C1E9" w14:textId="7417F978"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2,2</w:t>
            </w:r>
          </w:p>
        </w:tc>
        <w:tc>
          <w:tcPr>
            <w:tcW w:w="599" w:type="pct"/>
            <w:tcBorders>
              <w:top w:val="single" w:sz="4" w:space="0" w:color="auto"/>
              <w:bottom w:val="single" w:sz="4" w:space="0" w:color="auto"/>
            </w:tcBorders>
            <w:vAlign w:val="bottom"/>
          </w:tcPr>
          <w:p w14:paraId="251CC6E3" w14:textId="025E45D3"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103,0</w:t>
            </w:r>
          </w:p>
        </w:tc>
      </w:tr>
      <w:tr w:rsidR="009E0B0A" w:rsidRPr="00A61FE6" w14:paraId="0A7F5687" w14:textId="77777777" w:rsidTr="002A64FC">
        <w:trPr>
          <w:trHeight w:val="60"/>
        </w:trPr>
        <w:tc>
          <w:tcPr>
            <w:tcW w:w="3237" w:type="pct"/>
            <w:tcBorders>
              <w:top w:val="single" w:sz="4" w:space="0" w:color="auto"/>
              <w:bottom w:val="single" w:sz="4" w:space="0" w:color="auto"/>
            </w:tcBorders>
            <w:vAlign w:val="bottom"/>
          </w:tcPr>
          <w:p w14:paraId="07D94C0D" w14:textId="77777777" w:rsidR="009E0B0A" w:rsidRPr="00A61FE6" w:rsidRDefault="009E0B0A" w:rsidP="009E0B0A">
            <w:pPr>
              <w:widowControl w:val="0"/>
              <w:tabs>
                <w:tab w:val="left" w:pos="284"/>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lastRenderedPageBreak/>
              <w:t>- лесная и деревообрабатывающая промышленность</w:t>
            </w:r>
          </w:p>
        </w:tc>
        <w:tc>
          <w:tcPr>
            <w:tcW w:w="580" w:type="pct"/>
            <w:tcBorders>
              <w:top w:val="single" w:sz="4" w:space="0" w:color="auto"/>
              <w:bottom w:val="single" w:sz="4" w:space="0" w:color="auto"/>
            </w:tcBorders>
          </w:tcPr>
          <w:p w14:paraId="36474B0A" w14:textId="2E535F7F"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4,2</w:t>
            </w:r>
          </w:p>
        </w:tc>
        <w:tc>
          <w:tcPr>
            <w:tcW w:w="585" w:type="pct"/>
            <w:tcBorders>
              <w:top w:val="single" w:sz="4" w:space="0" w:color="auto"/>
              <w:bottom w:val="single" w:sz="4" w:space="0" w:color="auto"/>
            </w:tcBorders>
          </w:tcPr>
          <w:p w14:paraId="6816A0F0" w14:textId="02CEA294"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0,</w:t>
            </w:r>
            <w:r w:rsidR="00531CD0">
              <w:rPr>
                <w:rFonts w:ascii="Times New Roman" w:hAnsi="Times New Roman" w:cs="Times New Roman"/>
                <w:sz w:val="22"/>
                <w:szCs w:val="22"/>
              </w:rPr>
              <w:t>1</w:t>
            </w:r>
          </w:p>
        </w:tc>
        <w:tc>
          <w:tcPr>
            <w:tcW w:w="599" w:type="pct"/>
            <w:tcBorders>
              <w:top w:val="single" w:sz="4" w:space="0" w:color="auto"/>
              <w:bottom w:val="single" w:sz="4" w:space="0" w:color="auto"/>
            </w:tcBorders>
            <w:vAlign w:val="bottom"/>
          </w:tcPr>
          <w:p w14:paraId="4728FD04" w14:textId="4461610A"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54,9</w:t>
            </w:r>
          </w:p>
        </w:tc>
      </w:tr>
      <w:tr w:rsidR="009E0B0A" w:rsidRPr="00A61FE6" w14:paraId="1C435AA5" w14:textId="77777777" w:rsidTr="002A64FC">
        <w:trPr>
          <w:trHeight w:val="111"/>
        </w:trPr>
        <w:tc>
          <w:tcPr>
            <w:tcW w:w="3237" w:type="pct"/>
            <w:tcBorders>
              <w:top w:val="single" w:sz="4" w:space="0" w:color="auto"/>
              <w:bottom w:val="single" w:sz="4" w:space="0" w:color="auto"/>
            </w:tcBorders>
            <w:vAlign w:val="bottom"/>
          </w:tcPr>
          <w:p w14:paraId="522724E0" w14:textId="77777777" w:rsidR="009E0B0A" w:rsidRPr="00A61FE6" w:rsidRDefault="009E0B0A" w:rsidP="009E0B0A">
            <w:pPr>
              <w:widowControl w:val="0"/>
              <w:tabs>
                <w:tab w:val="left" w:pos="284"/>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промышленность строительных материалов</w:t>
            </w:r>
          </w:p>
        </w:tc>
        <w:tc>
          <w:tcPr>
            <w:tcW w:w="580" w:type="pct"/>
            <w:tcBorders>
              <w:top w:val="single" w:sz="4" w:space="0" w:color="auto"/>
              <w:bottom w:val="single" w:sz="4" w:space="0" w:color="auto"/>
            </w:tcBorders>
          </w:tcPr>
          <w:p w14:paraId="42BE892E" w14:textId="6AF183CD"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597,3</w:t>
            </w:r>
          </w:p>
        </w:tc>
        <w:tc>
          <w:tcPr>
            <w:tcW w:w="585" w:type="pct"/>
            <w:tcBorders>
              <w:top w:val="single" w:sz="4" w:space="0" w:color="auto"/>
              <w:bottom w:val="single" w:sz="4" w:space="0" w:color="auto"/>
            </w:tcBorders>
          </w:tcPr>
          <w:p w14:paraId="22A18174" w14:textId="77792B25"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4,9</w:t>
            </w:r>
          </w:p>
        </w:tc>
        <w:tc>
          <w:tcPr>
            <w:tcW w:w="599" w:type="pct"/>
            <w:tcBorders>
              <w:top w:val="single" w:sz="4" w:space="0" w:color="auto"/>
              <w:bottom w:val="single" w:sz="4" w:space="0" w:color="auto"/>
            </w:tcBorders>
            <w:vAlign w:val="bottom"/>
          </w:tcPr>
          <w:p w14:paraId="28F00D84" w14:textId="77F4850A"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85,1</w:t>
            </w:r>
          </w:p>
        </w:tc>
      </w:tr>
      <w:tr w:rsidR="009E0B0A" w:rsidRPr="00A61FE6" w14:paraId="2E919120" w14:textId="77777777" w:rsidTr="002A64FC">
        <w:trPr>
          <w:trHeight w:val="240"/>
        </w:trPr>
        <w:tc>
          <w:tcPr>
            <w:tcW w:w="3237" w:type="pct"/>
            <w:tcBorders>
              <w:top w:val="single" w:sz="4" w:space="0" w:color="auto"/>
              <w:bottom w:val="single" w:sz="4" w:space="0" w:color="auto"/>
            </w:tcBorders>
            <w:vAlign w:val="bottom"/>
          </w:tcPr>
          <w:p w14:paraId="5EF92FAD" w14:textId="77777777" w:rsidR="009E0B0A" w:rsidRPr="00A61FE6" w:rsidRDefault="009E0B0A" w:rsidP="009E0B0A">
            <w:pPr>
              <w:widowControl w:val="0"/>
              <w:tabs>
                <w:tab w:val="left" w:pos="284"/>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лёгкая промышленность</w:t>
            </w:r>
          </w:p>
        </w:tc>
        <w:tc>
          <w:tcPr>
            <w:tcW w:w="580" w:type="pct"/>
            <w:tcBorders>
              <w:top w:val="single" w:sz="4" w:space="0" w:color="auto"/>
              <w:bottom w:val="single" w:sz="4" w:space="0" w:color="auto"/>
            </w:tcBorders>
          </w:tcPr>
          <w:p w14:paraId="18A6E17B" w14:textId="069A0DF8"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1 340,4</w:t>
            </w:r>
          </w:p>
        </w:tc>
        <w:tc>
          <w:tcPr>
            <w:tcW w:w="585" w:type="pct"/>
            <w:tcBorders>
              <w:top w:val="single" w:sz="4" w:space="0" w:color="auto"/>
              <w:bottom w:val="single" w:sz="4" w:space="0" w:color="auto"/>
            </w:tcBorders>
          </w:tcPr>
          <w:p w14:paraId="5524F929" w14:textId="0130A9FD"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11,0</w:t>
            </w:r>
          </w:p>
        </w:tc>
        <w:tc>
          <w:tcPr>
            <w:tcW w:w="599" w:type="pct"/>
            <w:tcBorders>
              <w:top w:val="single" w:sz="4" w:space="0" w:color="auto"/>
              <w:bottom w:val="single" w:sz="4" w:space="0" w:color="auto"/>
            </w:tcBorders>
            <w:vAlign w:val="bottom"/>
          </w:tcPr>
          <w:p w14:paraId="06776CB2" w14:textId="18ECFA1C"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89,</w:t>
            </w:r>
            <w:r>
              <w:rPr>
                <w:rFonts w:ascii="Times New Roman" w:hAnsi="Times New Roman" w:cs="Times New Roman"/>
                <w:sz w:val="22"/>
                <w:szCs w:val="22"/>
              </w:rPr>
              <w:t>2</w:t>
            </w:r>
          </w:p>
        </w:tc>
      </w:tr>
      <w:tr w:rsidR="009E0B0A" w:rsidRPr="00A61FE6" w14:paraId="1A938717" w14:textId="77777777" w:rsidTr="002A64FC">
        <w:trPr>
          <w:trHeight w:val="240"/>
        </w:trPr>
        <w:tc>
          <w:tcPr>
            <w:tcW w:w="3237" w:type="pct"/>
            <w:tcBorders>
              <w:top w:val="single" w:sz="4" w:space="0" w:color="auto"/>
              <w:bottom w:val="single" w:sz="4" w:space="0" w:color="auto"/>
            </w:tcBorders>
            <w:vAlign w:val="bottom"/>
          </w:tcPr>
          <w:p w14:paraId="217955C3" w14:textId="77777777" w:rsidR="009E0B0A" w:rsidRPr="00A61FE6" w:rsidRDefault="009E0B0A" w:rsidP="009E0B0A">
            <w:pPr>
              <w:widowControl w:val="0"/>
              <w:tabs>
                <w:tab w:val="left" w:pos="284"/>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пищевая промышленность</w:t>
            </w:r>
          </w:p>
        </w:tc>
        <w:tc>
          <w:tcPr>
            <w:tcW w:w="580" w:type="pct"/>
            <w:tcBorders>
              <w:top w:val="single" w:sz="4" w:space="0" w:color="auto"/>
              <w:bottom w:val="single" w:sz="4" w:space="0" w:color="auto"/>
            </w:tcBorders>
          </w:tcPr>
          <w:p w14:paraId="46DBEB36" w14:textId="751686FE"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1 634,6</w:t>
            </w:r>
          </w:p>
        </w:tc>
        <w:tc>
          <w:tcPr>
            <w:tcW w:w="585" w:type="pct"/>
            <w:tcBorders>
              <w:top w:val="single" w:sz="4" w:space="0" w:color="auto"/>
              <w:bottom w:val="single" w:sz="4" w:space="0" w:color="auto"/>
            </w:tcBorders>
          </w:tcPr>
          <w:p w14:paraId="7DDB5A7E" w14:textId="7BBE882B" w:rsidR="009E0B0A" w:rsidRPr="00A61FE6" w:rsidRDefault="009E0B0A" w:rsidP="00531CD0">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13,</w:t>
            </w:r>
            <w:r w:rsidR="00531CD0">
              <w:rPr>
                <w:rFonts w:ascii="Times New Roman" w:hAnsi="Times New Roman" w:cs="Times New Roman"/>
                <w:sz w:val="22"/>
                <w:szCs w:val="22"/>
              </w:rPr>
              <w:t>5</w:t>
            </w:r>
          </w:p>
        </w:tc>
        <w:tc>
          <w:tcPr>
            <w:tcW w:w="599" w:type="pct"/>
            <w:tcBorders>
              <w:top w:val="single" w:sz="4" w:space="0" w:color="auto"/>
              <w:bottom w:val="single" w:sz="4" w:space="0" w:color="auto"/>
            </w:tcBorders>
            <w:vAlign w:val="bottom"/>
          </w:tcPr>
          <w:p w14:paraId="632B98D8" w14:textId="262E070B"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91,1</w:t>
            </w:r>
          </w:p>
        </w:tc>
      </w:tr>
      <w:tr w:rsidR="009E0B0A" w:rsidRPr="00A61FE6" w14:paraId="1C7665B4" w14:textId="77777777" w:rsidTr="002A64FC">
        <w:trPr>
          <w:trHeight w:val="171"/>
        </w:trPr>
        <w:tc>
          <w:tcPr>
            <w:tcW w:w="3237" w:type="pct"/>
            <w:tcBorders>
              <w:top w:val="single" w:sz="4" w:space="0" w:color="auto"/>
              <w:bottom w:val="single" w:sz="4" w:space="0" w:color="auto"/>
            </w:tcBorders>
            <w:vAlign w:val="center"/>
          </w:tcPr>
          <w:p w14:paraId="28B2310F" w14:textId="77777777" w:rsidR="009E0B0A" w:rsidRPr="00A61FE6" w:rsidRDefault="009E0B0A" w:rsidP="002A64FC">
            <w:pPr>
              <w:widowControl w:val="0"/>
              <w:tabs>
                <w:tab w:val="left" w:pos="284"/>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мукомольно-крупяная и комбикормовая промышленность</w:t>
            </w:r>
          </w:p>
        </w:tc>
        <w:tc>
          <w:tcPr>
            <w:tcW w:w="580" w:type="pct"/>
            <w:tcBorders>
              <w:top w:val="single" w:sz="4" w:space="0" w:color="auto"/>
              <w:bottom w:val="single" w:sz="4" w:space="0" w:color="auto"/>
            </w:tcBorders>
            <w:vAlign w:val="center"/>
          </w:tcPr>
          <w:p w14:paraId="5710CCA9" w14:textId="2135D2A3" w:rsidR="009E0B0A" w:rsidRPr="002A64FC" w:rsidRDefault="009E0B0A" w:rsidP="002A64FC">
            <w:pPr>
              <w:widowControl w:val="0"/>
              <w:tabs>
                <w:tab w:val="left" w:pos="284"/>
                <w:tab w:val="left" w:pos="396"/>
              </w:tabs>
              <w:spacing w:before="0" w:after="0" w:line="240" w:lineRule="auto"/>
              <w:ind w:left="284" w:right="312"/>
              <w:jc w:val="right"/>
              <w:rPr>
                <w:rFonts w:ascii="Times New Roman" w:hAnsi="Times New Roman" w:cs="Times New Roman"/>
                <w:snapToGrid w:val="0"/>
                <w:sz w:val="22"/>
                <w:szCs w:val="22"/>
              </w:rPr>
            </w:pPr>
            <w:r w:rsidRPr="002A64FC">
              <w:rPr>
                <w:rFonts w:ascii="Times New Roman" w:hAnsi="Times New Roman" w:cs="Times New Roman"/>
                <w:snapToGrid w:val="0"/>
                <w:sz w:val="22"/>
                <w:szCs w:val="22"/>
              </w:rPr>
              <w:t>175,8</w:t>
            </w:r>
          </w:p>
        </w:tc>
        <w:tc>
          <w:tcPr>
            <w:tcW w:w="585" w:type="pct"/>
            <w:tcBorders>
              <w:top w:val="single" w:sz="4" w:space="0" w:color="auto"/>
              <w:bottom w:val="single" w:sz="4" w:space="0" w:color="auto"/>
            </w:tcBorders>
            <w:vAlign w:val="center"/>
          </w:tcPr>
          <w:p w14:paraId="3A8862C9" w14:textId="14F638C0" w:rsidR="009E0B0A" w:rsidRPr="002A64FC" w:rsidRDefault="009E0B0A" w:rsidP="002A64FC">
            <w:pPr>
              <w:widowControl w:val="0"/>
              <w:tabs>
                <w:tab w:val="left" w:pos="284"/>
                <w:tab w:val="left" w:pos="396"/>
              </w:tabs>
              <w:spacing w:before="0" w:after="0" w:line="240" w:lineRule="auto"/>
              <w:ind w:left="284" w:right="312"/>
              <w:jc w:val="right"/>
              <w:rPr>
                <w:rFonts w:ascii="Times New Roman" w:hAnsi="Times New Roman" w:cs="Times New Roman"/>
                <w:snapToGrid w:val="0"/>
                <w:sz w:val="22"/>
                <w:szCs w:val="22"/>
              </w:rPr>
            </w:pPr>
            <w:r w:rsidRPr="002A64FC">
              <w:rPr>
                <w:rFonts w:ascii="Times New Roman" w:hAnsi="Times New Roman" w:cs="Times New Roman"/>
                <w:snapToGrid w:val="0"/>
                <w:sz w:val="22"/>
                <w:szCs w:val="22"/>
              </w:rPr>
              <w:t>1,4</w:t>
            </w:r>
          </w:p>
        </w:tc>
        <w:tc>
          <w:tcPr>
            <w:tcW w:w="599" w:type="pct"/>
            <w:tcBorders>
              <w:top w:val="single" w:sz="4" w:space="0" w:color="auto"/>
              <w:bottom w:val="single" w:sz="4" w:space="0" w:color="auto"/>
            </w:tcBorders>
            <w:vAlign w:val="center"/>
          </w:tcPr>
          <w:p w14:paraId="1D42885F" w14:textId="481668F6" w:rsidR="009E0B0A" w:rsidRPr="002A64FC" w:rsidRDefault="009E0B0A" w:rsidP="002A64FC">
            <w:pPr>
              <w:widowControl w:val="0"/>
              <w:tabs>
                <w:tab w:val="left" w:pos="284"/>
                <w:tab w:val="left" w:pos="396"/>
              </w:tabs>
              <w:spacing w:before="0" w:after="0" w:line="240" w:lineRule="auto"/>
              <w:ind w:left="284" w:right="312"/>
              <w:jc w:val="right"/>
              <w:rPr>
                <w:rFonts w:ascii="Times New Roman" w:hAnsi="Times New Roman" w:cs="Times New Roman"/>
                <w:snapToGrid w:val="0"/>
                <w:sz w:val="22"/>
                <w:szCs w:val="22"/>
              </w:rPr>
            </w:pPr>
            <w:r w:rsidRPr="002A64FC">
              <w:rPr>
                <w:rFonts w:ascii="Times New Roman" w:hAnsi="Times New Roman" w:cs="Times New Roman"/>
                <w:snapToGrid w:val="0"/>
                <w:sz w:val="22"/>
                <w:szCs w:val="22"/>
              </w:rPr>
              <w:t>103,0</w:t>
            </w:r>
          </w:p>
        </w:tc>
      </w:tr>
      <w:tr w:rsidR="009E0B0A" w:rsidRPr="00A61FE6" w14:paraId="6B9BE9F9" w14:textId="77777777" w:rsidTr="002A64FC">
        <w:trPr>
          <w:trHeight w:val="141"/>
        </w:trPr>
        <w:tc>
          <w:tcPr>
            <w:tcW w:w="3237" w:type="pct"/>
            <w:tcBorders>
              <w:top w:val="single" w:sz="4" w:space="0" w:color="auto"/>
            </w:tcBorders>
            <w:vAlign w:val="bottom"/>
          </w:tcPr>
          <w:p w14:paraId="05285EEB" w14:textId="77777777" w:rsidR="009E0B0A" w:rsidRPr="00A61FE6" w:rsidRDefault="009E0B0A" w:rsidP="009E0B0A">
            <w:pPr>
              <w:widowControl w:val="0"/>
              <w:tabs>
                <w:tab w:val="left" w:pos="396"/>
              </w:tabs>
              <w:spacing w:before="0" w:after="0" w:line="240" w:lineRule="auto"/>
              <w:ind w:left="284"/>
              <w:rPr>
                <w:rFonts w:ascii="Times New Roman" w:hAnsi="Times New Roman" w:cs="Times New Roman"/>
                <w:snapToGrid w:val="0"/>
                <w:sz w:val="22"/>
                <w:szCs w:val="22"/>
              </w:rPr>
            </w:pPr>
            <w:r w:rsidRPr="00A61FE6">
              <w:rPr>
                <w:rFonts w:ascii="Times New Roman" w:hAnsi="Times New Roman" w:cs="Times New Roman"/>
                <w:snapToGrid w:val="0"/>
                <w:sz w:val="22"/>
                <w:szCs w:val="22"/>
              </w:rPr>
              <w:t>- полиграфическая промышленность</w:t>
            </w:r>
          </w:p>
        </w:tc>
        <w:tc>
          <w:tcPr>
            <w:tcW w:w="580" w:type="pct"/>
            <w:tcBorders>
              <w:top w:val="single" w:sz="4" w:space="0" w:color="auto"/>
            </w:tcBorders>
          </w:tcPr>
          <w:p w14:paraId="78CE1D82" w14:textId="643EE589"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25,7</w:t>
            </w:r>
          </w:p>
        </w:tc>
        <w:tc>
          <w:tcPr>
            <w:tcW w:w="585" w:type="pct"/>
            <w:tcBorders>
              <w:top w:val="single" w:sz="4" w:space="0" w:color="auto"/>
            </w:tcBorders>
          </w:tcPr>
          <w:p w14:paraId="164EF0A7" w14:textId="6EAF27B5"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9E0B0A">
              <w:rPr>
                <w:rFonts w:ascii="Times New Roman" w:hAnsi="Times New Roman" w:cs="Times New Roman"/>
                <w:sz w:val="22"/>
                <w:szCs w:val="22"/>
              </w:rPr>
              <w:t>0,2</w:t>
            </w:r>
          </w:p>
        </w:tc>
        <w:tc>
          <w:tcPr>
            <w:tcW w:w="599" w:type="pct"/>
            <w:tcBorders>
              <w:top w:val="single" w:sz="4" w:space="0" w:color="auto"/>
            </w:tcBorders>
            <w:vAlign w:val="bottom"/>
          </w:tcPr>
          <w:p w14:paraId="6D72E3D9" w14:textId="4FD3A7EB" w:rsidR="009E0B0A" w:rsidRPr="00A61FE6" w:rsidRDefault="009E0B0A" w:rsidP="009E0B0A">
            <w:pPr>
              <w:widowControl w:val="0"/>
              <w:spacing w:before="0" w:after="0" w:line="240" w:lineRule="auto"/>
              <w:ind w:right="312"/>
              <w:jc w:val="right"/>
              <w:rPr>
                <w:rFonts w:ascii="Times New Roman" w:hAnsi="Times New Roman" w:cs="Times New Roman"/>
                <w:sz w:val="22"/>
                <w:szCs w:val="22"/>
              </w:rPr>
            </w:pPr>
            <w:r w:rsidRPr="00A61FE6">
              <w:rPr>
                <w:rFonts w:ascii="Times New Roman" w:hAnsi="Times New Roman" w:cs="Times New Roman"/>
                <w:sz w:val="22"/>
                <w:szCs w:val="22"/>
              </w:rPr>
              <w:t>117,6</w:t>
            </w:r>
          </w:p>
        </w:tc>
      </w:tr>
    </w:tbl>
    <w:p w14:paraId="2372D889" w14:textId="4F40EF16" w:rsidR="00072AFF" w:rsidRPr="00072AFF" w:rsidRDefault="00072AFF" w:rsidP="00EF13D3">
      <w:pPr>
        <w:spacing w:before="120" w:after="0" w:line="240" w:lineRule="auto"/>
        <w:ind w:firstLine="425"/>
        <w:jc w:val="both"/>
        <w:rPr>
          <w:rFonts w:ascii="Times New Roman" w:hAnsi="Times New Roman" w:cs="Times New Roman"/>
          <w:sz w:val="24"/>
          <w:szCs w:val="24"/>
        </w:rPr>
      </w:pPr>
      <w:r w:rsidRPr="00072AFF">
        <w:rPr>
          <w:rFonts w:ascii="Times New Roman" w:hAnsi="Times New Roman" w:cs="Times New Roman"/>
          <w:sz w:val="24"/>
          <w:szCs w:val="24"/>
        </w:rPr>
        <w:t xml:space="preserve">Годовой объём выработки в чёрной металлургии, с учётом низкой базы сравнения </w:t>
      </w:r>
      <w:r>
        <w:rPr>
          <w:rFonts w:ascii="Times New Roman" w:hAnsi="Times New Roman" w:cs="Times New Roman"/>
          <w:sz w:val="24"/>
          <w:szCs w:val="24"/>
        </w:rPr>
        <w:br/>
      </w:r>
      <w:r w:rsidRPr="00072AFF">
        <w:rPr>
          <w:rFonts w:ascii="Times New Roman" w:hAnsi="Times New Roman" w:cs="Times New Roman"/>
          <w:sz w:val="24"/>
          <w:szCs w:val="24"/>
        </w:rPr>
        <w:t>2019 года</w:t>
      </w:r>
      <w:r w:rsidR="0009325E">
        <w:rPr>
          <w:rFonts w:ascii="Times New Roman" w:hAnsi="Times New Roman" w:cs="Times New Roman"/>
          <w:sz w:val="24"/>
          <w:szCs w:val="24"/>
        </w:rPr>
        <w:t xml:space="preserve"> и повышения цен </w:t>
      </w:r>
      <w:r w:rsidR="0013752B">
        <w:rPr>
          <w:rFonts w:ascii="Times New Roman" w:hAnsi="Times New Roman" w:cs="Times New Roman"/>
          <w:sz w:val="24"/>
          <w:szCs w:val="24"/>
        </w:rPr>
        <w:t>во второй половине</w:t>
      </w:r>
      <w:r w:rsidR="0009325E">
        <w:rPr>
          <w:rFonts w:ascii="Times New Roman" w:hAnsi="Times New Roman" w:cs="Times New Roman"/>
          <w:sz w:val="24"/>
          <w:szCs w:val="24"/>
        </w:rPr>
        <w:t xml:space="preserve"> отчётного периода</w:t>
      </w:r>
      <w:r w:rsidRPr="00072AFF">
        <w:rPr>
          <w:rFonts w:ascii="Times New Roman" w:hAnsi="Times New Roman" w:cs="Times New Roman"/>
          <w:sz w:val="24"/>
          <w:szCs w:val="24"/>
        </w:rPr>
        <w:t xml:space="preserve">, возрос на 15,8%, сложившись на отметке 3 512,0 млн руб., или 28,9% (+1,7 п.п.) совокупного показателя. Выплавка стали превысила значение 2019 года на 18,6%, достигнув 464,9 тыс. тонн, товарный выпуск проката увеличился на 15,5%, до 455,6 тыс. тонн. </w:t>
      </w:r>
    </w:p>
    <w:p w14:paraId="07E9B798" w14:textId="3AD18047" w:rsidR="00072AFF" w:rsidRPr="00BE0E11" w:rsidRDefault="00433BAA" w:rsidP="00072AFF">
      <w:pPr>
        <w:spacing w:before="0" w:after="0" w:line="240" w:lineRule="auto"/>
        <w:ind w:right="-1" w:firstLine="425"/>
        <w:jc w:val="both"/>
        <w:rPr>
          <w:rFonts w:ascii="Times New Roman" w:hAnsi="Times New Roman" w:cs="Times New Roman"/>
          <w:sz w:val="24"/>
          <w:szCs w:val="24"/>
        </w:rPr>
      </w:pPr>
      <w:r w:rsidRPr="00072AFF">
        <w:rPr>
          <w:rFonts w:ascii="Times New Roman" w:hAnsi="Times New Roman" w:cs="Times New Roman"/>
          <w:sz w:val="24"/>
          <w:szCs w:val="24"/>
        </w:rPr>
        <w:t xml:space="preserve">Показатели </w:t>
      </w:r>
      <w:r w:rsidR="00072AFF" w:rsidRPr="00072AFF">
        <w:rPr>
          <w:rFonts w:ascii="Times New Roman" w:hAnsi="Times New Roman" w:cs="Times New Roman"/>
          <w:sz w:val="24"/>
          <w:szCs w:val="24"/>
        </w:rPr>
        <w:t xml:space="preserve">выработки в лёгкой </w:t>
      </w:r>
      <w:r w:rsidR="00072AFF" w:rsidRPr="00BE0E11">
        <w:rPr>
          <w:rFonts w:ascii="Times New Roman" w:hAnsi="Times New Roman" w:cs="Times New Roman"/>
          <w:sz w:val="24"/>
          <w:szCs w:val="24"/>
        </w:rPr>
        <w:t>пр</w:t>
      </w:r>
      <w:r w:rsidR="008C4C87" w:rsidRPr="00BE0E11">
        <w:rPr>
          <w:rFonts w:ascii="Times New Roman" w:hAnsi="Times New Roman" w:cs="Times New Roman"/>
          <w:sz w:val="24"/>
          <w:szCs w:val="24"/>
        </w:rPr>
        <w:t xml:space="preserve">омышленности сократились на 10,8%, до </w:t>
      </w:r>
      <w:r w:rsidR="00EF13D3" w:rsidRPr="00BE0E11">
        <w:rPr>
          <w:rFonts w:ascii="Times New Roman" w:hAnsi="Times New Roman" w:cs="Times New Roman"/>
          <w:sz w:val="24"/>
          <w:szCs w:val="24"/>
        </w:rPr>
        <w:br/>
      </w:r>
      <w:r w:rsidR="008C4C87" w:rsidRPr="00BE0E11">
        <w:rPr>
          <w:rFonts w:ascii="Times New Roman" w:hAnsi="Times New Roman" w:cs="Times New Roman"/>
          <w:sz w:val="24"/>
          <w:szCs w:val="24"/>
        </w:rPr>
        <w:t>1 340,4</w:t>
      </w:r>
      <w:r w:rsidR="00072AFF" w:rsidRPr="00BE0E11">
        <w:rPr>
          <w:rFonts w:ascii="Times New Roman" w:hAnsi="Times New Roman" w:cs="Times New Roman"/>
          <w:sz w:val="24"/>
          <w:szCs w:val="24"/>
        </w:rPr>
        <w:t xml:space="preserve"> млн руб., или 11,0% (-1,3 п.п.) в совокупном показателе</w:t>
      </w:r>
      <w:r w:rsidR="0009325E" w:rsidRPr="00BE0E11">
        <w:rPr>
          <w:rFonts w:ascii="Times New Roman" w:hAnsi="Times New Roman" w:cs="Times New Roman"/>
          <w:sz w:val="24"/>
          <w:szCs w:val="24"/>
        </w:rPr>
        <w:t xml:space="preserve">, </w:t>
      </w:r>
      <w:r w:rsidR="0013752B" w:rsidRPr="00BE0E11">
        <w:rPr>
          <w:rFonts w:ascii="Times New Roman" w:hAnsi="Times New Roman" w:cs="Times New Roman"/>
          <w:sz w:val="24"/>
          <w:szCs w:val="24"/>
        </w:rPr>
        <w:t xml:space="preserve">в </w:t>
      </w:r>
      <w:r w:rsidR="0009325E" w:rsidRPr="00BE0E11">
        <w:rPr>
          <w:rFonts w:ascii="Times New Roman" w:hAnsi="Times New Roman" w:cs="Times New Roman"/>
          <w:sz w:val="24"/>
          <w:szCs w:val="24"/>
        </w:rPr>
        <w:t xml:space="preserve">машиностроении – </w:t>
      </w:r>
      <w:r w:rsidR="008C4C87" w:rsidRPr="00BE0E11">
        <w:rPr>
          <w:rFonts w:ascii="Times New Roman" w:hAnsi="Times New Roman" w:cs="Times New Roman"/>
          <w:sz w:val="24"/>
          <w:szCs w:val="24"/>
        </w:rPr>
        <w:t>на 35,3%, до 296,0</w:t>
      </w:r>
      <w:r w:rsidR="0009325E" w:rsidRPr="00BE0E11">
        <w:rPr>
          <w:rFonts w:ascii="Times New Roman" w:hAnsi="Times New Roman" w:cs="Times New Roman"/>
          <w:sz w:val="24"/>
          <w:szCs w:val="24"/>
        </w:rPr>
        <w:t xml:space="preserve"> млн руб., или 2,4% (-1,5 п.п.) соответственно.</w:t>
      </w:r>
    </w:p>
    <w:p w14:paraId="089CCA00" w14:textId="3FAA1EDC" w:rsidR="00072AFF" w:rsidRPr="00BE0E11" w:rsidRDefault="00072AFF" w:rsidP="00006C41">
      <w:pPr>
        <w:spacing w:before="0" w:after="0" w:line="240" w:lineRule="auto"/>
        <w:ind w:right="-1" w:firstLine="425"/>
        <w:jc w:val="both"/>
        <w:rPr>
          <w:rFonts w:ascii="Times New Roman" w:hAnsi="Times New Roman" w:cs="Times New Roman"/>
          <w:sz w:val="24"/>
          <w:szCs w:val="24"/>
        </w:rPr>
      </w:pPr>
      <w:r w:rsidRPr="00BE0E11">
        <w:rPr>
          <w:rFonts w:ascii="Times New Roman" w:hAnsi="Times New Roman" w:cs="Times New Roman"/>
          <w:sz w:val="24"/>
          <w:szCs w:val="24"/>
        </w:rPr>
        <w:t xml:space="preserve">На предприятиях промышленности строительных материалов объём производства </w:t>
      </w:r>
      <w:r w:rsidR="00BE0E11" w:rsidRPr="00BE0E11">
        <w:rPr>
          <w:rFonts w:ascii="Times New Roman" w:hAnsi="Times New Roman" w:cs="Times New Roman"/>
          <w:sz w:val="24"/>
          <w:szCs w:val="24"/>
        </w:rPr>
        <w:t>уменьшился</w:t>
      </w:r>
      <w:r w:rsidRPr="00BE0E11">
        <w:rPr>
          <w:rFonts w:ascii="Times New Roman" w:hAnsi="Times New Roman" w:cs="Times New Roman"/>
          <w:sz w:val="24"/>
          <w:szCs w:val="24"/>
        </w:rPr>
        <w:t xml:space="preserve"> на 14,9%, до 597,</w:t>
      </w:r>
      <w:r w:rsidR="008C4C87" w:rsidRPr="00BE0E11">
        <w:rPr>
          <w:rFonts w:ascii="Times New Roman" w:hAnsi="Times New Roman" w:cs="Times New Roman"/>
          <w:sz w:val="24"/>
          <w:szCs w:val="24"/>
        </w:rPr>
        <w:t>3</w:t>
      </w:r>
      <w:r w:rsidRPr="00BE0E11">
        <w:rPr>
          <w:rFonts w:ascii="Times New Roman" w:hAnsi="Times New Roman" w:cs="Times New Roman"/>
          <w:sz w:val="24"/>
          <w:szCs w:val="24"/>
        </w:rPr>
        <w:t xml:space="preserve"> млн руб. (4,9% совокупного индустриального выпуска против 5,2% годом ранее), что во многом стал</w:t>
      </w:r>
      <w:r w:rsidR="004079AC" w:rsidRPr="00BE0E11">
        <w:rPr>
          <w:rFonts w:ascii="Times New Roman" w:hAnsi="Times New Roman" w:cs="Times New Roman"/>
          <w:sz w:val="24"/>
          <w:szCs w:val="24"/>
        </w:rPr>
        <w:t>о</w:t>
      </w:r>
      <w:r w:rsidRPr="00BE0E11">
        <w:rPr>
          <w:rFonts w:ascii="Times New Roman" w:hAnsi="Times New Roman" w:cs="Times New Roman"/>
          <w:sz w:val="24"/>
          <w:szCs w:val="24"/>
        </w:rPr>
        <w:t xml:space="preserve"> следствием замораживания либо </w:t>
      </w:r>
      <w:r w:rsidR="00BE0E11" w:rsidRPr="00BE0E11">
        <w:rPr>
          <w:rFonts w:ascii="Times New Roman" w:hAnsi="Times New Roman" w:cs="Times New Roman"/>
          <w:sz w:val="24"/>
          <w:szCs w:val="24"/>
        </w:rPr>
        <w:t>снижения</w:t>
      </w:r>
      <w:r w:rsidR="004079AC" w:rsidRPr="00BE0E11">
        <w:rPr>
          <w:rFonts w:ascii="Times New Roman" w:hAnsi="Times New Roman" w:cs="Times New Roman"/>
          <w:sz w:val="24"/>
          <w:szCs w:val="24"/>
        </w:rPr>
        <w:t xml:space="preserve"> объёма финансирования </w:t>
      </w:r>
      <w:r w:rsidRPr="00BE0E11">
        <w:rPr>
          <w:rFonts w:ascii="Times New Roman" w:hAnsi="Times New Roman" w:cs="Times New Roman"/>
          <w:sz w:val="24"/>
          <w:szCs w:val="24"/>
        </w:rPr>
        <w:t xml:space="preserve">инвестиционных проектов. </w:t>
      </w:r>
    </w:p>
    <w:p w14:paraId="09892F2E" w14:textId="0987C413" w:rsidR="008F3B0F" w:rsidRPr="00BE0E11" w:rsidRDefault="00C07AFA" w:rsidP="008F3B0F">
      <w:pPr>
        <w:spacing w:before="0" w:after="0" w:line="240" w:lineRule="auto"/>
        <w:ind w:right="-1" w:firstLine="425"/>
        <w:jc w:val="both"/>
        <w:rPr>
          <w:rFonts w:ascii="Times New Roman" w:hAnsi="Times New Roman" w:cs="Times New Roman"/>
          <w:color w:val="000000" w:themeColor="text1"/>
          <w:sz w:val="24"/>
          <w:szCs w:val="24"/>
        </w:rPr>
      </w:pPr>
      <w:r w:rsidRPr="00BE0E11">
        <w:rPr>
          <w:rFonts w:ascii="Times New Roman" w:hAnsi="Times New Roman" w:cs="Times New Roman"/>
          <w:sz w:val="24"/>
          <w:szCs w:val="24"/>
        </w:rPr>
        <w:t xml:space="preserve">Результаты </w:t>
      </w:r>
      <w:r w:rsidR="0009325E" w:rsidRPr="00BE0E11">
        <w:rPr>
          <w:rFonts w:ascii="Times New Roman" w:hAnsi="Times New Roman" w:cs="Times New Roman"/>
          <w:sz w:val="24"/>
          <w:szCs w:val="24"/>
        </w:rPr>
        <w:t xml:space="preserve">сельскохозяйственной </w:t>
      </w:r>
      <w:r w:rsidRPr="00BE0E11">
        <w:rPr>
          <w:rFonts w:ascii="Times New Roman" w:hAnsi="Times New Roman" w:cs="Times New Roman"/>
          <w:sz w:val="24"/>
          <w:szCs w:val="24"/>
        </w:rPr>
        <w:t>деятельности в отчётном периоде формировались в условиях резкого падения урожайности в сфере растениеводства из-за неблагоприятных погодных условий сезона 2019-2020 гг.</w:t>
      </w:r>
      <w:r w:rsidR="004079AC" w:rsidRPr="00BE0E11">
        <w:rPr>
          <w:rFonts w:ascii="Times New Roman" w:hAnsi="Times New Roman" w:cs="Times New Roman"/>
          <w:sz w:val="24"/>
          <w:szCs w:val="24"/>
        </w:rPr>
        <w:t xml:space="preserve"> и неудовлетворительного состояния мелиоративных систем.</w:t>
      </w:r>
      <w:r w:rsidRPr="00BE0E11">
        <w:rPr>
          <w:rFonts w:ascii="Times New Roman" w:hAnsi="Times New Roman" w:cs="Times New Roman"/>
          <w:sz w:val="24"/>
          <w:szCs w:val="24"/>
        </w:rPr>
        <w:t xml:space="preserve"> </w:t>
      </w:r>
      <w:r w:rsidR="008F3B0F" w:rsidRPr="00BE0E11">
        <w:rPr>
          <w:rFonts w:ascii="Times New Roman" w:hAnsi="Times New Roman" w:cs="Times New Roman"/>
          <w:color w:val="000000" w:themeColor="text1"/>
          <w:sz w:val="24"/>
          <w:szCs w:val="24"/>
        </w:rPr>
        <w:t xml:space="preserve">Низкая урожайность определила значительное </w:t>
      </w:r>
      <w:r w:rsidR="00BE0E11" w:rsidRPr="00BE0E11">
        <w:rPr>
          <w:rFonts w:ascii="Times New Roman" w:hAnsi="Times New Roman" w:cs="Times New Roman"/>
          <w:sz w:val="24"/>
          <w:szCs w:val="24"/>
        </w:rPr>
        <w:t>уменьшение</w:t>
      </w:r>
      <w:r w:rsidR="008F3B0F" w:rsidRPr="00BE0E11">
        <w:rPr>
          <w:rFonts w:ascii="Times New Roman" w:hAnsi="Times New Roman" w:cs="Times New Roman"/>
          <w:color w:val="000000" w:themeColor="text1"/>
          <w:sz w:val="24"/>
          <w:szCs w:val="24"/>
        </w:rPr>
        <w:t xml:space="preserve"> объёма заготовленных кормов – на 29,2%, до 12,7 тыс. тонн кормовых единиц.</w:t>
      </w:r>
    </w:p>
    <w:p w14:paraId="1A813567" w14:textId="23FFDFB4" w:rsidR="00C07AFA" w:rsidRDefault="00C07AFA" w:rsidP="00C07AFA">
      <w:pPr>
        <w:spacing w:before="0" w:after="0" w:line="240" w:lineRule="auto"/>
        <w:ind w:right="-1" w:firstLine="425"/>
        <w:jc w:val="both"/>
        <w:rPr>
          <w:rFonts w:ascii="Times New Roman" w:hAnsi="Times New Roman" w:cs="Times New Roman"/>
          <w:color w:val="000000" w:themeColor="text1"/>
          <w:sz w:val="24"/>
          <w:szCs w:val="24"/>
        </w:rPr>
      </w:pPr>
      <w:r w:rsidRPr="00BE0E11">
        <w:rPr>
          <w:rFonts w:ascii="Times New Roman" w:hAnsi="Times New Roman" w:cs="Times New Roman"/>
          <w:color w:val="000000" w:themeColor="text1"/>
          <w:sz w:val="24"/>
          <w:szCs w:val="24"/>
        </w:rPr>
        <w:t xml:space="preserve">Валовой сбор зерновых и зернобобовых культур </w:t>
      </w:r>
      <w:r w:rsidR="00BE0E11" w:rsidRPr="00BE0E11">
        <w:rPr>
          <w:rFonts w:ascii="Times New Roman" w:hAnsi="Times New Roman" w:cs="Times New Roman"/>
          <w:sz w:val="24"/>
          <w:szCs w:val="24"/>
        </w:rPr>
        <w:t>снизился</w:t>
      </w:r>
      <w:r w:rsidRPr="00BE0E11">
        <w:rPr>
          <w:rFonts w:ascii="Times New Roman" w:hAnsi="Times New Roman" w:cs="Times New Roman"/>
          <w:color w:val="000000" w:themeColor="text1"/>
          <w:sz w:val="24"/>
          <w:szCs w:val="24"/>
        </w:rPr>
        <w:t xml:space="preserve"> на 71,8%, до 132,4 тыс. тонн</w:t>
      </w:r>
      <w:r w:rsidR="003706B9" w:rsidRPr="00BE0E11">
        <w:rPr>
          <w:rFonts w:ascii="Times New Roman" w:hAnsi="Times New Roman" w:cs="Times New Roman"/>
          <w:color w:val="000000" w:themeColor="text1"/>
          <w:sz w:val="24"/>
          <w:szCs w:val="24"/>
        </w:rPr>
        <w:t>.</w:t>
      </w:r>
      <w:r w:rsidR="003706B9" w:rsidRPr="00BE0E11">
        <w:t xml:space="preserve"> </w:t>
      </w:r>
      <w:r w:rsidRPr="00BE0E11">
        <w:rPr>
          <w:rFonts w:ascii="Times New Roman" w:hAnsi="Times New Roman" w:cs="Times New Roman"/>
          <w:color w:val="000000" w:themeColor="text1"/>
          <w:sz w:val="24"/>
          <w:szCs w:val="24"/>
        </w:rPr>
        <w:t xml:space="preserve">Намолот пшеницы составил 81,7 тыс. тонн, что на 72,6% </w:t>
      </w:r>
      <w:r w:rsidR="00BE0E11">
        <w:rPr>
          <w:rFonts w:ascii="Times New Roman" w:hAnsi="Times New Roman" w:cs="Times New Roman"/>
          <w:color w:val="000000" w:themeColor="text1"/>
          <w:sz w:val="24"/>
          <w:szCs w:val="24"/>
        </w:rPr>
        <w:t>меньше</w:t>
      </w:r>
      <w:r w:rsidRPr="00BE0E11">
        <w:rPr>
          <w:rFonts w:ascii="Times New Roman" w:hAnsi="Times New Roman" w:cs="Times New Roman"/>
          <w:color w:val="000000" w:themeColor="text1"/>
          <w:sz w:val="24"/>
          <w:szCs w:val="24"/>
        </w:rPr>
        <w:t xml:space="preserve"> показателя за </w:t>
      </w:r>
      <w:r w:rsidRPr="00BE0E11">
        <w:rPr>
          <w:rFonts w:ascii="Times New Roman" w:hAnsi="Times New Roman" w:cs="Times New Roman"/>
          <w:color w:val="000000" w:themeColor="text1"/>
          <w:sz w:val="24"/>
          <w:szCs w:val="24"/>
        </w:rPr>
        <w:br/>
        <w:t>2019 год, при этом урожайность</w:t>
      </w:r>
      <w:r w:rsidR="006F506D" w:rsidRPr="00BE0E11">
        <w:rPr>
          <w:rFonts w:ascii="Times New Roman" w:hAnsi="Times New Roman" w:cs="Times New Roman"/>
          <w:color w:val="000000" w:themeColor="text1"/>
          <w:sz w:val="24"/>
          <w:szCs w:val="24"/>
        </w:rPr>
        <w:t xml:space="preserve"> по всем категориям хозяйств</w:t>
      </w:r>
      <w:r w:rsidRPr="00BE0E11">
        <w:rPr>
          <w:rFonts w:ascii="Times New Roman" w:hAnsi="Times New Roman" w:cs="Times New Roman"/>
          <w:color w:val="000000" w:themeColor="text1"/>
          <w:sz w:val="24"/>
          <w:szCs w:val="24"/>
        </w:rPr>
        <w:t xml:space="preserve"> </w:t>
      </w:r>
      <w:r w:rsidRPr="00BE0E11">
        <w:rPr>
          <w:rFonts w:ascii="Times New Roman" w:hAnsi="Times New Roman" w:cs="Times New Roman"/>
          <w:sz w:val="24"/>
          <w:szCs w:val="24"/>
        </w:rPr>
        <w:t>сократилась</w:t>
      </w:r>
      <w:r w:rsidRPr="00BE0E11">
        <w:rPr>
          <w:rFonts w:ascii="Times New Roman" w:hAnsi="Times New Roman" w:cs="Times New Roman"/>
          <w:color w:val="000000" w:themeColor="text1"/>
          <w:sz w:val="24"/>
          <w:szCs w:val="24"/>
        </w:rPr>
        <w:t xml:space="preserve"> </w:t>
      </w:r>
      <w:r w:rsidR="006F506D" w:rsidRPr="00BE0E11">
        <w:rPr>
          <w:rFonts w:ascii="Times New Roman" w:hAnsi="Times New Roman" w:cs="Times New Roman"/>
          <w:color w:val="000000" w:themeColor="text1"/>
          <w:sz w:val="24"/>
          <w:szCs w:val="24"/>
        </w:rPr>
        <w:t>более чем в два раза</w:t>
      </w:r>
      <w:r w:rsidRPr="00BE0E11">
        <w:rPr>
          <w:rFonts w:ascii="Times New Roman" w:hAnsi="Times New Roman" w:cs="Times New Roman"/>
          <w:color w:val="000000" w:themeColor="text1"/>
          <w:sz w:val="24"/>
          <w:szCs w:val="24"/>
        </w:rPr>
        <w:t xml:space="preserve"> – с 3</w:t>
      </w:r>
      <w:r w:rsidR="006F506D" w:rsidRPr="00BE0E11">
        <w:rPr>
          <w:rFonts w:ascii="Times New Roman" w:hAnsi="Times New Roman" w:cs="Times New Roman"/>
          <w:color w:val="000000" w:themeColor="text1"/>
          <w:sz w:val="24"/>
          <w:szCs w:val="24"/>
        </w:rPr>
        <w:t>5,2</w:t>
      </w:r>
      <w:r w:rsidRPr="00BE0E11">
        <w:rPr>
          <w:rFonts w:ascii="Times New Roman" w:hAnsi="Times New Roman" w:cs="Times New Roman"/>
          <w:color w:val="000000" w:themeColor="text1"/>
          <w:sz w:val="24"/>
          <w:szCs w:val="24"/>
        </w:rPr>
        <w:t xml:space="preserve"> ц/га в среднем годом ранее до 1</w:t>
      </w:r>
      <w:r w:rsidR="006F506D" w:rsidRPr="00BE0E11">
        <w:rPr>
          <w:rFonts w:ascii="Times New Roman" w:hAnsi="Times New Roman" w:cs="Times New Roman"/>
          <w:color w:val="000000" w:themeColor="text1"/>
          <w:sz w:val="24"/>
          <w:szCs w:val="24"/>
        </w:rPr>
        <w:t>6,8</w:t>
      </w:r>
      <w:r w:rsidRPr="00BE0E11">
        <w:rPr>
          <w:rFonts w:ascii="Times New Roman" w:hAnsi="Times New Roman" w:cs="Times New Roman"/>
          <w:color w:val="000000" w:themeColor="text1"/>
          <w:sz w:val="24"/>
          <w:szCs w:val="24"/>
        </w:rPr>
        <w:t xml:space="preserve"> ц/га в 2020 году. Валовой сбор кукурузы </w:t>
      </w:r>
      <w:r w:rsidR="00F436D5" w:rsidRPr="00BE0E11">
        <w:rPr>
          <w:rFonts w:ascii="Times New Roman" w:hAnsi="Times New Roman" w:cs="Times New Roman"/>
          <w:color w:val="000000" w:themeColor="text1"/>
          <w:sz w:val="24"/>
          <w:szCs w:val="24"/>
        </w:rPr>
        <w:t xml:space="preserve">на зерно </w:t>
      </w:r>
      <w:r w:rsidRPr="00BE0E11">
        <w:rPr>
          <w:rFonts w:ascii="Times New Roman" w:hAnsi="Times New Roman" w:cs="Times New Roman"/>
          <w:color w:val="000000" w:themeColor="text1"/>
          <w:sz w:val="24"/>
          <w:szCs w:val="24"/>
        </w:rPr>
        <w:t>сложился на отметке 34,8 тыс. тонн (-74,0%), ячменя – 11,6 тыс. тонн</w:t>
      </w:r>
      <w:r w:rsidRPr="006F506D">
        <w:rPr>
          <w:rFonts w:ascii="Times New Roman" w:hAnsi="Times New Roman" w:cs="Times New Roman"/>
          <w:color w:val="000000" w:themeColor="text1"/>
          <w:sz w:val="24"/>
          <w:szCs w:val="24"/>
        </w:rPr>
        <w:t xml:space="preserve"> (-60,6%), зернобобовых культур – 2,3 тыс. тонн (-59,4%).</w:t>
      </w:r>
      <w:r w:rsidRPr="00C07AFA">
        <w:rPr>
          <w:rFonts w:ascii="Times New Roman" w:hAnsi="Times New Roman" w:cs="Times New Roman"/>
          <w:color w:val="000000" w:themeColor="text1"/>
          <w:sz w:val="24"/>
          <w:szCs w:val="24"/>
        </w:rPr>
        <w:t xml:space="preserve"> </w:t>
      </w:r>
    </w:p>
    <w:p w14:paraId="3971C3CF" w14:textId="3F54A596" w:rsidR="00F436D5" w:rsidRDefault="00F436D5" w:rsidP="00C07AFA">
      <w:pPr>
        <w:spacing w:before="0" w:after="0" w:line="240" w:lineRule="auto"/>
        <w:ind w:right="-1"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Существенные потери урожайности коснулись и подсолнечника. Его валовой сбор </w:t>
      </w:r>
      <w:r w:rsidRPr="00BF3A99">
        <w:rPr>
          <w:rFonts w:ascii="Times New Roman" w:hAnsi="Times New Roman" w:cs="Times New Roman"/>
          <w:color w:val="000000" w:themeColor="text1"/>
          <w:sz w:val="24"/>
          <w:szCs w:val="24"/>
        </w:rPr>
        <w:t xml:space="preserve">составил </w:t>
      </w:r>
      <w:r w:rsidR="006B0E71" w:rsidRPr="00BF3A99">
        <w:rPr>
          <w:rFonts w:ascii="Times New Roman" w:hAnsi="Times New Roman" w:cs="Times New Roman"/>
          <w:color w:val="000000" w:themeColor="text1"/>
          <w:sz w:val="24"/>
          <w:szCs w:val="24"/>
        </w:rPr>
        <w:t>54,7</w:t>
      </w:r>
      <w:r w:rsidRPr="00BF3A99">
        <w:rPr>
          <w:rFonts w:ascii="Times New Roman" w:hAnsi="Times New Roman" w:cs="Times New Roman"/>
          <w:color w:val="000000" w:themeColor="text1"/>
          <w:sz w:val="24"/>
          <w:szCs w:val="24"/>
        </w:rPr>
        <w:t xml:space="preserve"> тыс. тонн, что на </w:t>
      </w:r>
      <w:r w:rsidR="006B0E71" w:rsidRPr="00BF3A99">
        <w:rPr>
          <w:rFonts w:ascii="Times New Roman" w:hAnsi="Times New Roman" w:cs="Times New Roman"/>
          <w:color w:val="000000" w:themeColor="text1"/>
          <w:sz w:val="24"/>
          <w:szCs w:val="24"/>
        </w:rPr>
        <w:t>47,4</w:t>
      </w:r>
      <w:r w:rsidRPr="00BF3A99">
        <w:rPr>
          <w:rFonts w:ascii="Times New Roman" w:hAnsi="Times New Roman" w:cs="Times New Roman"/>
          <w:color w:val="000000" w:themeColor="text1"/>
          <w:sz w:val="24"/>
          <w:szCs w:val="24"/>
        </w:rPr>
        <w:t>%</w:t>
      </w:r>
      <w:r w:rsidR="00942404" w:rsidRPr="00BF3A99">
        <w:rPr>
          <w:rFonts w:ascii="Times New Roman" w:hAnsi="Times New Roman" w:cs="Times New Roman"/>
          <w:color w:val="000000" w:themeColor="text1"/>
          <w:sz w:val="24"/>
          <w:szCs w:val="24"/>
        </w:rPr>
        <w:t xml:space="preserve"> </w:t>
      </w:r>
      <w:r w:rsidRPr="00BF3A99">
        <w:rPr>
          <w:rFonts w:ascii="Times New Roman" w:hAnsi="Times New Roman" w:cs="Times New Roman"/>
          <w:color w:val="000000" w:themeColor="text1"/>
          <w:sz w:val="24"/>
          <w:szCs w:val="24"/>
        </w:rPr>
        <w:t>ниже прошлогоднего уровня.</w:t>
      </w:r>
    </w:p>
    <w:p w14:paraId="73DBA9E1" w14:textId="5685E073" w:rsidR="00E20641" w:rsidRPr="00A61FE6" w:rsidRDefault="00C07AFA" w:rsidP="00C07AFA">
      <w:pPr>
        <w:spacing w:before="0" w:after="0" w:line="240" w:lineRule="auto"/>
        <w:ind w:right="-1" w:firstLine="425"/>
        <w:jc w:val="both"/>
        <w:rPr>
          <w:rFonts w:ascii="Times New Roman" w:hAnsi="Times New Roman" w:cs="Times New Roman"/>
          <w:sz w:val="24"/>
          <w:szCs w:val="24"/>
        </w:rPr>
      </w:pPr>
      <w:r w:rsidRPr="00C07AFA">
        <w:rPr>
          <w:rFonts w:ascii="Times New Roman" w:hAnsi="Times New Roman" w:cs="Times New Roman"/>
          <w:sz w:val="24"/>
          <w:szCs w:val="24"/>
        </w:rPr>
        <w:t>По производству овощей наблюдалась разнонаправленная динамика. Овощей открытого грунта было выращено 46,2 тыс. тонн, что на 2,3% больше уровня 2019 года. Активными темпами прироста, как и годом ранее, характеризовался валовой сбор картофеля – +55,8%, до 7,6 тыс. тонн. По сбору бахчевых культур наблюдалось сокращение объ</w:t>
      </w:r>
      <w:r w:rsidR="00C570AE">
        <w:rPr>
          <w:rFonts w:ascii="Times New Roman" w:hAnsi="Times New Roman" w:cs="Times New Roman"/>
          <w:sz w:val="24"/>
          <w:szCs w:val="24"/>
        </w:rPr>
        <w:t xml:space="preserve">ёма на 44,1%, до </w:t>
      </w:r>
      <w:r w:rsidR="00DC16EC">
        <w:rPr>
          <w:rFonts w:ascii="Times New Roman" w:hAnsi="Times New Roman" w:cs="Times New Roman"/>
          <w:sz w:val="24"/>
          <w:szCs w:val="24"/>
        </w:rPr>
        <w:br/>
      </w:r>
      <w:r w:rsidR="00C570AE">
        <w:rPr>
          <w:rFonts w:ascii="Times New Roman" w:hAnsi="Times New Roman" w:cs="Times New Roman"/>
          <w:sz w:val="24"/>
          <w:szCs w:val="24"/>
        </w:rPr>
        <w:t>1,4 тыс. тонн.</w:t>
      </w:r>
      <w:r w:rsidR="003706B9" w:rsidRPr="00A61FE6">
        <w:rPr>
          <w:rFonts w:ascii="Times New Roman" w:hAnsi="Times New Roman" w:cs="Times New Roman"/>
          <w:sz w:val="24"/>
          <w:szCs w:val="24"/>
        </w:rPr>
        <w:t xml:space="preserve"> </w:t>
      </w:r>
      <w:r w:rsidRPr="00C07AFA">
        <w:rPr>
          <w:rFonts w:ascii="Times New Roman" w:hAnsi="Times New Roman" w:cs="Times New Roman"/>
          <w:sz w:val="24"/>
          <w:szCs w:val="24"/>
        </w:rPr>
        <w:t>Производство овощей защищённого грунта увеличил</w:t>
      </w:r>
      <w:r w:rsidR="004079AC">
        <w:rPr>
          <w:rFonts w:ascii="Times New Roman" w:hAnsi="Times New Roman" w:cs="Times New Roman"/>
          <w:sz w:val="24"/>
          <w:szCs w:val="24"/>
        </w:rPr>
        <w:t>ось на 18,0%, до 1,4 тыс. тонн</w:t>
      </w:r>
      <w:r w:rsidRPr="00C07AFA">
        <w:rPr>
          <w:rFonts w:ascii="Times New Roman" w:hAnsi="Times New Roman" w:cs="Times New Roman"/>
          <w:sz w:val="24"/>
          <w:szCs w:val="24"/>
        </w:rPr>
        <w:t>.</w:t>
      </w:r>
    </w:p>
    <w:p w14:paraId="3EBFA57D" w14:textId="14F9D216" w:rsidR="00C07AFA" w:rsidRDefault="00C07AFA" w:rsidP="00C07AFA">
      <w:pPr>
        <w:spacing w:before="0" w:after="0" w:line="240" w:lineRule="auto"/>
        <w:ind w:right="-1" w:firstLine="425"/>
        <w:jc w:val="both"/>
        <w:rPr>
          <w:rFonts w:ascii="Times New Roman" w:hAnsi="Times New Roman" w:cs="Times New Roman"/>
          <w:color w:val="000000" w:themeColor="text1"/>
          <w:sz w:val="24"/>
          <w:szCs w:val="24"/>
          <w:lang w:val="x-none"/>
        </w:rPr>
      </w:pPr>
      <w:r w:rsidRPr="00C07AFA">
        <w:rPr>
          <w:rFonts w:ascii="Times New Roman" w:hAnsi="Times New Roman" w:cs="Times New Roman"/>
          <w:color w:val="000000" w:themeColor="text1"/>
          <w:sz w:val="24"/>
          <w:szCs w:val="24"/>
          <w:lang w:val="x-none"/>
        </w:rPr>
        <w:t xml:space="preserve">В животноводческой сфере объём выращенного скота и птицы возрос на 11,8%, до </w:t>
      </w:r>
      <w:r>
        <w:rPr>
          <w:rFonts w:ascii="Times New Roman" w:hAnsi="Times New Roman" w:cs="Times New Roman"/>
          <w:color w:val="000000" w:themeColor="text1"/>
          <w:sz w:val="24"/>
          <w:szCs w:val="24"/>
          <w:lang w:val="x-none"/>
        </w:rPr>
        <w:br/>
      </w:r>
      <w:r w:rsidRPr="00C07AFA">
        <w:rPr>
          <w:rFonts w:ascii="Times New Roman" w:hAnsi="Times New Roman" w:cs="Times New Roman"/>
          <w:color w:val="000000" w:themeColor="text1"/>
          <w:sz w:val="24"/>
          <w:szCs w:val="24"/>
          <w:lang w:val="x-none"/>
        </w:rPr>
        <w:t xml:space="preserve">8 031,3 тонн., а их реализация на убой – на 12,6%, до 8 064,6 тонн, за счёт повышения показателя по птице (+25,1%, до 5 312,8 тонн). Производство коровьего молока увеличилось на 30,3%, до 8 808,5 тонн, в том числе за счёт роста среднесуточного удоя на одну корову – 14,6 кг против 12,0 кг годом ранее. Производство куриных яиц снизилось на 33,4%, до </w:t>
      </w:r>
      <w:r w:rsidR="008F3B0F">
        <w:rPr>
          <w:rFonts w:ascii="Times New Roman" w:hAnsi="Times New Roman" w:cs="Times New Roman"/>
          <w:color w:val="000000" w:themeColor="text1"/>
          <w:sz w:val="24"/>
          <w:szCs w:val="24"/>
          <w:lang w:val="x-none"/>
        </w:rPr>
        <w:br/>
      </w:r>
      <w:r w:rsidRPr="00C07AFA">
        <w:rPr>
          <w:rFonts w:ascii="Times New Roman" w:hAnsi="Times New Roman" w:cs="Times New Roman"/>
          <w:color w:val="000000" w:themeColor="text1"/>
          <w:sz w:val="24"/>
          <w:szCs w:val="24"/>
          <w:lang w:val="x-none"/>
        </w:rPr>
        <w:t>171,5 тыс. штук.</w:t>
      </w:r>
      <w:r w:rsidR="008F3B0F">
        <w:rPr>
          <w:rFonts w:ascii="Times New Roman" w:hAnsi="Times New Roman" w:cs="Times New Roman"/>
          <w:color w:val="000000" w:themeColor="text1"/>
          <w:sz w:val="24"/>
          <w:szCs w:val="24"/>
        </w:rPr>
        <w:t xml:space="preserve"> </w:t>
      </w:r>
      <w:r w:rsidRPr="00C07AFA">
        <w:rPr>
          <w:rFonts w:ascii="Times New Roman" w:hAnsi="Times New Roman" w:cs="Times New Roman"/>
          <w:color w:val="000000" w:themeColor="text1"/>
          <w:sz w:val="24"/>
          <w:szCs w:val="24"/>
          <w:lang w:val="x-none"/>
        </w:rPr>
        <w:t xml:space="preserve">Отрицательной динамикой характеризовались показатели улова рыбы в рыбных хозяйствах республики, который сложился на уровне 138,4 тонн (-12,4% к показателю </w:t>
      </w:r>
      <w:r>
        <w:rPr>
          <w:rFonts w:ascii="Times New Roman" w:hAnsi="Times New Roman" w:cs="Times New Roman"/>
          <w:color w:val="000000" w:themeColor="text1"/>
          <w:sz w:val="24"/>
          <w:szCs w:val="24"/>
          <w:lang w:val="x-none"/>
        </w:rPr>
        <w:br/>
      </w:r>
      <w:r w:rsidRPr="00C07AFA">
        <w:rPr>
          <w:rFonts w:ascii="Times New Roman" w:hAnsi="Times New Roman" w:cs="Times New Roman"/>
          <w:color w:val="000000" w:themeColor="text1"/>
          <w:sz w:val="24"/>
          <w:szCs w:val="24"/>
          <w:lang w:val="x-none"/>
        </w:rPr>
        <w:t>2019 года).</w:t>
      </w:r>
    </w:p>
    <w:p w14:paraId="7AA2C8B4" w14:textId="4218714E" w:rsidR="001311E2" w:rsidRPr="00A61FE6" w:rsidRDefault="00393C98" w:rsidP="00C07AFA">
      <w:pPr>
        <w:spacing w:before="0" w:after="0" w:line="240" w:lineRule="auto"/>
        <w:ind w:right="-1" w:firstLine="425"/>
        <w:jc w:val="both"/>
        <w:rPr>
          <w:rFonts w:ascii="Times New Roman" w:hAnsi="Times New Roman" w:cs="Times New Roman"/>
          <w:color w:val="000000" w:themeColor="text1"/>
          <w:sz w:val="24"/>
          <w:szCs w:val="24"/>
        </w:rPr>
      </w:pPr>
      <w:r w:rsidRPr="00A61FE6">
        <w:rPr>
          <w:rFonts w:ascii="Times New Roman" w:hAnsi="Times New Roman" w:cs="Times New Roman"/>
          <w:color w:val="000000" w:themeColor="text1"/>
          <w:sz w:val="24"/>
          <w:szCs w:val="24"/>
        </w:rPr>
        <w:t xml:space="preserve">Инвестиционная активность в отчётном периоде заметно снизилась. По итогам 9 месяцев 2020 года объём инвестиций в основной капитал хозяйствующих субъектов республики (с </w:t>
      </w:r>
      <w:r w:rsidRPr="00A61FE6">
        <w:rPr>
          <w:rFonts w:ascii="Times New Roman" w:hAnsi="Times New Roman" w:cs="Times New Roman"/>
          <w:color w:val="000000" w:themeColor="text1"/>
          <w:sz w:val="24"/>
          <w:szCs w:val="24"/>
        </w:rPr>
        <w:lastRenderedPageBreak/>
        <w:t xml:space="preserve">учётом субъектов малого предпринимательства и индивидуальных застройщиков) составил </w:t>
      </w:r>
      <w:r w:rsidR="001311E2" w:rsidRPr="00A61FE6">
        <w:rPr>
          <w:rFonts w:ascii="Times New Roman" w:hAnsi="Times New Roman" w:cs="Times New Roman"/>
          <w:color w:val="000000" w:themeColor="text1"/>
          <w:sz w:val="24"/>
          <w:szCs w:val="24"/>
        </w:rPr>
        <w:br/>
      </w:r>
      <w:r w:rsidRPr="00A61FE6">
        <w:rPr>
          <w:rFonts w:ascii="Times New Roman" w:hAnsi="Times New Roman" w:cs="Times New Roman"/>
          <w:color w:val="000000" w:themeColor="text1"/>
          <w:sz w:val="24"/>
          <w:szCs w:val="24"/>
        </w:rPr>
        <w:t xml:space="preserve">1 175,3 млн руб., что на 10,4% меньше базисного уровня. </w:t>
      </w:r>
    </w:p>
    <w:p w14:paraId="6F29A7EE" w14:textId="3ADEE2EC" w:rsidR="001311E2" w:rsidRPr="00A61FE6" w:rsidRDefault="001311E2" w:rsidP="001311E2">
      <w:pPr>
        <w:spacing w:before="0" w:after="0" w:line="240" w:lineRule="auto"/>
        <w:ind w:right="-1" w:firstLine="425"/>
        <w:jc w:val="both"/>
        <w:rPr>
          <w:rFonts w:ascii="Times New Roman" w:hAnsi="Times New Roman" w:cs="Times New Roman"/>
          <w:color w:val="000000" w:themeColor="text1"/>
          <w:sz w:val="24"/>
          <w:szCs w:val="24"/>
        </w:rPr>
      </w:pPr>
      <w:r w:rsidRPr="00A61FE6">
        <w:rPr>
          <w:rFonts w:ascii="Times New Roman" w:hAnsi="Times New Roman" w:cs="Times New Roman"/>
          <w:color w:val="000000" w:themeColor="text1"/>
          <w:sz w:val="24"/>
          <w:szCs w:val="24"/>
        </w:rPr>
        <w:t>Объём капитальных вложений в части новых и приобретённых по импорту основных средств организаций всех форм собственности сложился на отметке 840,4 млн руб. (-21,1% в сопоставимой оценке). В их составе существенное уменьшение зафиксировано в части инвестиций, направленных на обновление и модернизацию машин и оборудования, – на 24,4%, до 513,5 млн руб. Объём средств, выделенных на строительно-монтажные работы, сократился на 13,5%, до 317,4 млн руб.</w:t>
      </w:r>
    </w:p>
    <w:p w14:paraId="3D33AD82" w14:textId="73B81A2D" w:rsidR="001311E2" w:rsidRPr="00A61FE6" w:rsidRDefault="001311E2" w:rsidP="001311E2">
      <w:pPr>
        <w:spacing w:before="0" w:after="0" w:line="240" w:lineRule="auto"/>
        <w:ind w:right="-1" w:firstLine="425"/>
        <w:jc w:val="both"/>
        <w:rPr>
          <w:rFonts w:ascii="Times New Roman" w:hAnsi="Times New Roman" w:cs="Times New Roman"/>
          <w:color w:val="000000" w:themeColor="text1"/>
          <w:sz w:val="24"/>
          <w:szCs w:val="24"/>
        </w:rPr>
      </w:pPr>
      <w:r w:rsidRPr="00A61FE6">
        <w:rPr>
          <w:rFonts w:ascii="Times New Roman" w:hAnsi="Times New Roman" w:cs="Times New Roman"/>
          <w:color w:val="000000" w:themeColor="text1"/>
          <w:sz w:val="24"/>
          <w:szCs w:val="24"/>
        </w:rPr>
        <w:t xml:space="preserve">На строительство, расширение, реконструкцию и техническое перевооружение объектов производственного назначения </w:t>
      </w:r>
      <w:r w:rsidRPr="008D513F">
        <w:rPr>
          <w:rFonts w:ascii="Times New Roman" w:hAnsi="Times New Roman" w:cs="Times New Roman"/>
          <w:color w:val="000000" w:themeColor="text1"/>
          <w:sz w:val="24"/>
          <w:szCs w:val="24"/>
        </w:rPr>
        <w:t>использовано 657,</w:t>
      </w:r>
      <w:r w:rsidR="00AF44B0" w:rsidRPr="008D513F">
        <w:rPr>
          <w:rFonts w:ascii="Times New Roman" w:hAnsi="Times New Roman" w:cs="Times New Roman"/>
          <w:color w:val="000000" w:themeColor="text1"/>
          <w:sz w:val="24"/>
          <w:szCs w:val="24"/>
        </w:rPr>
        <w:t>0</w:t>
      </w:r>
      <w:r w:rsidRPr="008D513F">
        <w:rPr>
          <w:rFonts w:ascii="Times New Roman" w:hAnsi="Times New Roman" w:cs="Times New Roman"/>
          <w:color w:val="000000" w:themeColor="text1"/>
          <w:sz w:val="24"/>
          <w:szCs w:val="24"/>
        </w:rPr>
        <w:t xml:space="preserve"> млн</w:t>
      </w:r>
      <w:r w:rsidRPr="00A61FE6">
        <w:rPr>
          <w:rFonts w:ascii="Times New Roman" w:hAnsi="Times New Roman" w:cs="Times New Roman"/>
          <w:color w:val="000000" w:themeColor="text1"/>
          <w:sz w:val="24"/>
          <w:szCs w:val="24"/>
        </w:rPr>
        <w:t xml:space="preserve"> руб. (-34,5%), или 78,2% общего объёма инвестиций. Уровень вложений в непроизводственную инфраструктуру возрос в </w:t>
      </w:r>
      <w:r w:rsidR="00390967" w:rsidRPr="00A61FE6">
        <w:rPr>
          <w:rFonts w:ascii="Times New Roman" w:hAnsi="Times New Roman" w:cs="Times New Roman"/>
          <w:color w:val="000000" w:themeColor="text1"/>
          <w:sz w:val="24"/>
          <w:szCs w:val="24"/>
        </w:rPr>
        <w:br/>
      </w:r>
      <w:r w:rsidRPr="00A61FE6">
        <w:rPr>
          <w:rFonts w:ascii="Times New Roman" w:hAnsi="Times New Roman" w:cs="Times New Roman"/>
          <w:color w:val="000000" w:themeColor="text1"/>
          <w:sz w:val="24"/>
          <w:szCs w:val="24"/>
        </w:rPr>
        <w:t>1,8 раза, до 183,4 млн руб.</w:t>
      </w:r>
    </w:p>
    <w:p w14:paraId="6B8411D7" w14:textId="7EEDBE33" w:rsidR="001311E2" w:rsidRPr="00A61FE6" w:rsidRDefault="001311E2" w:rsidP="008A651D">
      <w:pPr>
        <w:spacing w:before="0" w:after="0" w:line="240" w:lineRule="auto"/>
        <w:ind w:right="-1" w:firstLine="425"/>
        <w:jc w:val="both"/>
        <w:rPr>
          <w:rFonts w:ascii="Times New Roman" w:hAnsi="Times New Roman" w:cs="Times New Roman"/>
          <w:sz w:val="24"/>
          <w:szCs w:val="24"/>
        </w:rPr>
      </w:pPr>
      <w:r w:rsidRPr="00A61FE6">
        <w:rPr>
          <w:rFonts w:ascii="Times New Roman" w:hAnsi="Times New Roman" w:cs="Times New Roman"/>
          <w:sz w:val="24"/>
          <w:szCs w:val="24"/>
        </w:rPr>
        <w:t>Наибольший объём капвложений, несмотря на спад в сопоставлении с данными базисного периода</w:t>
      </w:r>
      <w:r w:rsidR="00F001D9">
        <w:rPr>
          <w:rFonts w:ascii="Times New Roman" w:hAnsi="Times New Roman" w:cs="Times New Roman"/>
          <w:sz w:val="24"/>
          <w:szCs w:val="24"/>
        </w:rPr>
        <w:t xml:space="preserve"> (-32,1%)</w:t>
      </w:r>
      <w:r w:rsidRPr="00A61FE6">
        <w:rPr>
          <w:rFonts w:ascii="Times New Roman" w:hAnsi="Times New Roman" w:cs="Times New Roman"/>
          <w:sz w:val="24"/>
          <w:szCs w:val="24"/>
        </w:rPr>
        <w:t>, традиционно наблюдался в сфере промышленного производства</w:t>
      </w:r>
      <w:r w:rsidR="00F001D9">
        <w:rPr>
          <w:rFonts w:ascii="Times New Roman" w:hAnsi="Times New Roman" w:cs="Times New Roman"/>
          <w:sz w:val="24"/>
          <w:szCs w:val="24"/>
        </w:rPr>
        <w:t xml:space="preserve"> – </w:t>
      </w:r>
      <w:r w:rsidR="00DC16EC">
        <w:rPr>
          <w:rFonts w:ascii="Times New Roman" w:hAnsi="Times New Roman" w:cs="Times New Roman"/>
          <w:sz w:val="24"/>
          <w:szCs w:val="24"/>
        </w:rPr>
        <w:br/>
      </w:r>
      <w:r w:rsidR="00F001D9">
        <w:rPr>
          <w:rFonts w:ascii="Times New Roman" w:hAnsi="Times New Roman" w:cs="Times New Roman"/>
          <w:sz w:val="24"/>
          <w:szCs w:val="24"/>
        </w:rPr>
        <w:t xml:space="preserve">293,9 млн руб., или </w:t>
      </w:r>
      <w:r w:rsidR="00F001D9" w:rsidRPr="00A61FE6">
        <w:rPr>
          <w:rFonts w:ascii="Times New Roman" w:hAnsi="Times New Roman" w:cs="Times New Roman"/>
          <w:sz w:val="24"/>
          <w:szCs w:val="24"/>
        </w:rPr>
        <w:t>35,0%</w:t>
      </w:r>
      <w:r w:rsidR="00F001D9">
        <w:rPr>
          <w:rFonts w:ascii="Times New Roman" w:hAnsi="Times New Roman" w:cs="Times New Roman"/>
          <w:sz w:val="24"/>
          <w:szCs w:val="24"/>
        </w:rPr>
        <w:t xml:space="preserve"> в общей структуре</w:t>
      </w:r>
      <w:r w:rsidRPr="00A61FE6">
        <w:rPr>
          <w:rFonts w:ascii="Times New Roman" w:hAnsi="Times New Roman" w:cs="Times New Roman"/>
          <w:sz w:val="24"/>
          <w:szCs w:val="24"/>
        </w:rPr>
        <w:t>. Сумма инвестированных средств в сельском хозяйстве сократилась на 27,2%, составив 175,1 млн руб. (или 20,8</w:t>
      </w:r>
      <w:r w:rsidR="001B435E" w:rsidRPr="00A61FE6">
        <w:rPr>
          <w:rFonts w:ascii="Times New Roman" w:hAnsi="Times New Roman" w:cs="Times New Roman"/>
          <w:sz w:val="24"/>
          <w:szCs w:val="24"/>
        </w:rPr>
        <w:t>% совокупного показателя</w:t>
      </w:r>
      <w:r w:rsidRPr="00A61FE6">
        <w:rPr>
          <w:rFonts w:ascii="Times New Roman" w:hAnsi="Times New Roman" w:cs="Times New Roman"/>
          <w:sz w:val="24"/>
          <w:szCs w:val="24"/>
        </w:rPr>
        <w:t xml:space="preserve">). Снижение инвестиционной активности отмечалось и в таких сегментах, как торговля и общественное питание (-53,1%), связь (-42,5%), строительство (-38,6%), транспорт (-9,4%). В то же время, ввиду продолжения действия ряда государственных программ, в сфере образования и здравоохранения объём инвестиций, напротив, возрос в 2,6 и в 1,2 раза соответственно. </w:t>
      </w:r>
    </w:p>
    <w:p w14:paraId="715E7735" w14:textId="02322C6A" w:rsidR="000910DB" w:rsidRPr="008A651D" w:rsidRDefault="001311E2" w:rsidP="008A651D">
      <w:pPr>
        <w:spacing w:before="0" w:after="0" w:line="240" w:lineRule="auto"/>
        <w:ind w:right="-1" w:firstLine="425"/>
        <w:jc w:val="both"/>
        <w:rPr>
          <w:rFonts w:ascii="Times New Roman" w:hAnsi="Times New Roman" w:cs="Times New Roman"/>
          <w:color w:val="000000" w:themeColor="text1"/>
          <w:sz w:val="24"/>
          <w:szCs w:val="24"/>
        </w:rPr>
      </w:pPr>
      <w:r w:rsidRPr="00A61FE6">
        <w:rPr>
          <w:rFonts w:ascii="Times New Roman" w:hAnsi="Times New Roman" w:cs="Times New Roman"/>
          <w:color w:val="000000" w:themeColor="text1"/>
          <w:sz w:val="24"/>
          <w:szCs w:val="24"/>
        </w:rPr>
        <w:t>Финансирование инвестиций производилось в основном за счёт собственных средств организаций (85,1% против 89,8% в базисном периоде). В то же время сохранилась динамика усиления роли бюджетных источников, направленных на реализацию программ долгосрочного развития, – их доля в совокупном показателе составила 12,8% (+7,5 п.п.). Удельный вес кредитов сложился на уровне 1,0%, уступив 2,9 п.п. параметрам января-сентября 2019 года.</w:t>
      </w:r>
    </w:p>
    <w:p w14:paraId="5010177A" w14:textId="77777777" w:rsidR="001039F8" w:rsidRDefault="001039F8" w:rsidP="008A651D">
      <w:pPr>
        <w:widowControl w:val="0"/>
        <w:autoSpaceDE w:val="0"/>
        <w:autoSpaceDN w:val="0"/>
        <w:adjustRightInd w:val="0"/>
        <w:spacing w:before="0" w:after="0" w:line="240" w:lineRule="auto"/>
        <w:ind w:firstLine="425"/>
        <w:jc w:val="both"/>
        <w:rPr>
          <w:rFonts w:ascii="Times New Roman" w:hAnsi="Times New Roman" w:cs="Times New Roman"/>
          <w:i/>
          <w:iCs/>
          <w:sz w:val="24"/>
          <w:szCs w:val="24"/>
        </w:rPr>
      </w:pPr>
    </w:p>
    <w:p w14:paraId="14617A77" w14:textId="77777777" w:rsidR="00BE7BE0" w:rsidRPr="00160362" w:rsidRDefault="00BE7BE0" w:rsidP="00822F2A">
      <w:pPr>
        <w:pStyle w:val="2"/>
        <w:spacing w:before="0"/>
        <w:jc w:val="center"/>
        <w:rPr>
          <w:rFonts w:ascii="Times New Roman" w:hAnsi="Times New Roman" w:cs="Times New Roman"/>
          <w:b/>
          <w:noProof/>
        </w:rPr>
      </w:pPr>
      <w:r w:rsidRPr="00160362">
        <w:rPr>
          <w:b/>
          <w:noProof/>
        </w:rPr>
        <w:t>Динамика цен</w:t>
      </w:r>
    </w:p>
    <w:p w14:paraId="7AA3E438" w14:textId="77777777" w:rsidR="001039F8" w:rsidRPr="00160362" w:rsidRDefault="001039F8" w:rsidP="008A651D">
      <w:pPr>
        <w:widowControl w:val="0"/>
        <w:autoSpaceDE w:val="0"/>
        <w:autoSpaceDN w:val="0"/>
        <w:adjustRightInd w:val="0"/>
        <w:spacing w:before="0" w:after="0" w:line="240" w:lineRule="auto"/>
        <w:ind w:firstLine="425"/>
        <w:jc w:val="both"/>
        <w:rPr>
          <w:rFonts w:ascii="Times New Roman" w:hAnsi="Times New Roman" w:cs="Times New Roman"/>
          <w:i/>
          <w:iCs/>
          <w:sz w:val="16"/>
          <w:szCs w:val="16"/>
        </w:rPr>
      </w:pPr>
    </w:p>
    <w:p w14:paraId="0E56B07D" w14:textId="7F415796" w:rsidR="00BF3A99" w:rsidRPr="00826C7A" w:rsidRDefault="008F3B0F" w:rsidP="00826C7A">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Падение деловой активности и низкий потребительский спрос стимулировали замедление</w:t>
      </w:r>
      <w:r w:rsidR="00284DD4" w:rsidRPr="00160362">
        <w:rPr>
          <w:rFonts w:ascii="Times New Roman" w:hAnsi="Times New Roman" w:cs="Times New Roman"/>
          <w:sz w:val="24"/>
          <w:szCs w:val="24"/>
        </w:rPr>
        <w:t xml:space="preserve"> инфляционны</w:t>
      </w:r>
      <w:r>
        <w:rPr>
          <w:rFonts w:ascii="Times New Roman" w:hAnsi="Times New Roman" w:cs="Times New Roman"/>
          <w:sz w:val="24"/>
          <w:szCs w:val="24"/>
        </w:rPr>
        <w:t>х</w:t>
      </w:r>
      <w:r w:rsidR="00284DD4" w:rsidRPr="00160362">
        <w:rPr>
          <w:rFonts w:ascii="Times New Roman" w:hAnsi="Times New Roman" w:cs="Times New Roman"/>
          <w:sz w:val="24"/>
          <w:szCs w:val="24"/>
        </w:rPr>
        <w:t xml:space="preserve"> процесс</w:t>
      </w:r>
      <w:r>
        <w:rPr>
          <w:rFonts w:ascii="Times New Roman" w:hAnsi="Times New Roman" w:cs="Times New Roman"/>
          <w:sz w:val="24"/>
          <w:szCs w:val="24"/>
        </w:rPr>
        <w:t>ов</w:t>
      </w:r>
      <w:r w:rsidR="00284DD4" w:rsidRPr="00160362">
        <w:rPr>
          <w:rFonts w:ascii="Times New Roman" w:hAnsi="Times New Roman" w:cs="Times New Roman"/>
          <w:sz w:val="24"/>
          <w:szCs w:val="24"/>
        </w:rPr>
        <w:t xml:space="preserve">. Так, согласно данным Государственной службы статистики </w:t>
      </w:r>
      <w:r w:rsidR="00826C7A">
        <w:rPr>
          <w:rFonts w:ascii="Times New Roman" w:hAnsi="Times New Roman" w:cs="Times New Roman"/>
          <w:sz w:val="24"/>
          <w:szCs w:val="24"/>
        </w:rPr>
        <w:t>Приднестровской Молдавской Республики</w:t>
      </w:r>
      <w:r w:rsidR="00284DD4" w:rsidRPr="00160362">
        <w:rPr>
          <w:rFonts w:ascii="Times New Roman" w:hAnsi="Times New Roman" w:cs="Times New Roman"/>
          <w:sz w:val="24"/>
          <w:szCs w:val="24"/>
        </w:rPr>
        <w:t xml:space="preserve">, по итогам 2020 года </w:t>
      </w:r>
      <w:r w:rsidR="00594F92">
        <w:rPr>
          <w:rFonts w:ascii="Times New Roman" w:hAnsi="Times New Roman" w:cs="Times New Roman"/>
          <w:sz w:val="24"/>
          <w:szCs w:val="24"/>
        </w:rPr>
        <w:t>сводный индекс потребительских цен</w:t>
      </w:r>
      <w:r w:rsidR="00284DD4" w:rsidRPr="00160362">
        <w:rPr>
          <w:rFonts w:ascii="Times New Roman" w:hAnsi="Times New Roman" w:cs="Times New Roman"/>
          <w:sz w:val="24"/>
          <w:szCs w:val="24"/>
        </w:rPr>
        <w:t xml:space="preserve"> сложился на уровне 101,5%, в то время как в 2019 году он достиг</w:t>
      </w:r>
      <w:r w:rsidR="00594F92">
        <w:rPr>
          <w:rFonts w:ascii="Times New Roman" w:hAnsi="Times New Roman" w:cs="Times New Roman"/>
          <w:sz w:val="24"/>
          <w:szCs w:val="24"/>
        </w:rPr>
        <w:t>ал</w:t>
      </w:r>
      <w:r w:rsidR="00284DD4" w:rsidRPr="00160362">
        <w:rPr>
          <w:rFonts w:ascii="Times New Roman" w:hAnsi="Times New Roman" w:cs="Times New Roman"/>
          <w:sz w:val="24"/>
          <w:szCs w:val="24"/>
        </w:rPr>
        <w:t xml:space="preserve"> 104,7% (табл. 1.3). В годовом выражении инфляция начала замедляться уже с июля, сохранив этот тренд до конца года</w:t>
      </w:r>
      <w:r w:rsidR="00064C03" w:rsidRPr="00160362">
        <w:rPr>
          <w:rFonts w:ascii="Times New Roman" w:hAnsi="Times New Roman" w:cs="Times New Roman"/>
          <w:sz w:val="24"/>
          <w:szCs w:val="24"/>
        </w:rPr>
        <w:t>.</w:t>
      </w:r>
      <w:r w:rsidR="00F31704" w:rsidRPr="00160362">
        <w:rPr>
          <w:rFonts w:ascii="Times New Roman" w:hAnsi="Times New Roman" w:cs="Times New Roman"/>
          <w:sz w:val="24"/>
          <w:szCs w:val="24"/>
        </w:rPr>
        <w:t xml:space="preserve"> </w:t>
      </w:r>
    </w:p>
    <w:p w14:paraId="204B92D6" w14:textId="7132A5BE" w:rsidR="00BE7BE0" w:rsidRPr="00160362" w:rsidRDefault="00EA1E8A" w:rsidP="00160362">
      <w:pPr>
        <w:widowControl w:val="0"/>
        <w:spacing w:before="120" w:after="120" w:line="240" w:lineRule="auto"/>
        <w:ind w:firstLine="425"/>
        <w:jc w:val="right"/>
        <w:rPr>
          <w:rFonts w:ascii="Times New Roman" w:hAnsi="Times New Roman" w:cs="Times New Roman"/>
          <w:b/>
          <w:i/>
          <w:sz w:val="24"/>
          <w:szCs w:val="24"/>
        </w:rPr>
      </w:pPr>
      <w:r w:rsidRPr="00160362">
        <w:rPr>
          <w:rFonts w:ascii="Times New Roman" w:hAnsi="Times New Roman" w:cs="Times New Roman"/>
          <w:b/>
          <w:i/>
          <w:sz w:val="24"/>
          <w:szCs w:val="24"/>
        </w:rPr>
        <w:t>Таблица 1.3</w:t>
      </w:r>
    </w:p>
    <w:p w14:paraId="0E4CD118" w14:textId="73D2E06D" w:rsidR="000601A7" w:rsidRPr="00160362" w:rsidRDefault="00F001D9" w:rsidP="000C007E">
      <w:pPr>
        <w:widowControl w:val="0"/>
        <w:spacing w:before="0" w:after="60" w:line="240" w:lineRule="auto"/>
        <w:jc w:val="center"/>
        <w:outlineLvl w:val="0"/>
        <w:rPr>
          <w:rFonts w:ascii="Times New Roman" w:hAnsi="Times New Roman" w:cs="Times New Roman"/>
          <w:b/>
          <w:i/>
          <w:sz w:val="24"/>
          <w:szCs w:val="24"/>
        </w:rPr>
      </w:pPr>
      <w:r>
        <w:rPr>
          <w:rFonts w:ascii="Times New Roman" w:hAnsi="Times New Roman" w:cs="Times New Roman"/>
          <w:b/>
          <w:i/>
          <w:sz w:val="24"/>
          <w:szCs w:val="24"/>
        </w:rPr>
        <w:t>Уровень и</w:t>
      </w:r>
      <w:r w:rsidR="006B422D" w:rsidRPr="00160362">
        <w:rPr>
          <w:rFonts w:ascii="Times New Roman" w:hAnsi="Times New Roman" w:cs="Times New Roman"/>
          <w:b/>
          <w:i/>
          <w:sz w:val="24"/>
          <w:szCs w:val="24"/>
        </w:rPr>
        <w:t>нфляци</w:t>
      </w:r>
      <w:r>
        <w:rPr>
          <w:rFonts w:ascii="Times New Roman" w:hAnsi="Times New Roman" w:cs="Times New Roman"/>
          <w:b/>
          <w:i/>
          <w:sz w:val="24"/>
          <w:szCs w:val="24"/>
        </w:rPr>
        <w:t>и</w:t>
      </w:r>
      <w:r w:rsidR="000601A7" w:rsidRPr="00160362">
        <w:rPr>
          <w:rFonts w:ascii="Times New Roman" w:hAnsi="Times New Roman" w:cs="Times New Roman"/>
          <w:b/>
          <w:i/>
          <w:sz w:val="24"/>
          <w:szCs w:val="24"/>
        </w:rPr>
        <w:t>, декабрь к декабрю,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2476"/>
        <w:gridCol w:w="2476"/>
      </w:tblGrid>
      <w:tr w:rsidR="000601A7" w:rsidRPr="00160362" w14:paraId="1D1E0BA5" w14:textId="77777777" w:rsidTr="00F31704">
        <w:trPr>
          <w:trHeight w:val="74"/>
        </w:trPr>
        <w:tc>
          <w:tcPr>
            <w:tcW w:w="2428" w:type="pct"/>
            <w:tcBorders>
              <w:top w:val="single" w:sz="4" w:space="0" w:color="auto"/>
              <w:left w:val="single" w:sz="4" w:space="0" w:color="auto"/>
            </w:tcBorders>
            <w:shd w:val="clear" w:color="auto" w:fill="BFBFBF" w:themeFill="background1" w:themeFillShade="BF"/>
          </w:tcPr>
          <w:p w14:paraId="33FE45C9" w14:textId="77777777" w:rsidR="000601A7" w:rsidRPr="001B3050" w:rsidRDefault="000601A7" w:rsidP="008A651D">
            <w:pPr>
              <w:widowControl w:val="0"/>
              <w:spacing w:before="0" w:after="0" w:line="240" w:lineRule="auto"/>
              <w:jc w:val="center"/>
              <w:rPr>
                <w:rFonts w:ascii="Times New Roman" w:hAnsi="Times New Roman" w:cs="Times New Roman"/>
                <w:b/>
                <w:sz w:val="22"/>
                <w:szCs w:val="22"/>
              </w:rPr>
            </w:pPr>
          </w:p>
        </w:tc>
        <w:tc>
          <w:tcPr>
            <w:tcW w:w="1286" w:type="pct"/>
            <w:tcBorders>
              <w:top w:val="single" w:sz="4" w:space="0" w:color="auto"/>
            </w:tcBorders>
            <w:shd w:val="clear" w:color="auto" w:fill="BFBFBF" w:themeFill="background1" w:themeFillShade="BF"/>
          </w:tcPr>
          <w:p w14:paraId="3CC7EF1C" w14:textId="79EB0299" w:rsidR="000601A7" w:rsidRPr="001B3050" w:rsidRDefault="006B422D" w:rsidP="008A651D">
            <w:pPr>
              <w:widowControl w:val="0"/>
              <w:spacing w:before="0" w:after="0" w:line="240" w:lineRule="auto"/>
              <w:jc w:val="center"/>
              <w:rPr>
                <w:rFonts w:ascii="Times New Roman" w:hAnsi="Times New Roman" w:cs="Times New Roman"/>
                <w:sz w:val="22"/>
                <w:szCs w:val="22"/>
              </w:rPr>
            </w:pPr>
            <w:r w:rsidRPr="001B3050">
              <w:rPr>
                <w:rFonts w:ascii="Times New Roman" w:hAnsi="Times New Roman" w:cs="Times New Roman"/>
                <w:sz w:val="22"/>
                <w:szCs w:val="22"/>
              </w:rPr>
              <w:t xml:space="preserve">2019 </w:t>
            </w:r>
            <w:r w:rsidR="000601A7" w:rsidRPr="001B3050">
              <w:rPr>
                <w:rFonts w:ascii="Times New Roman" w:hAnsi="Times New Roman" w:cs="Times New Roman"/>
                <w:sz w:val="22"/>
                <w:szCs w:val="22"/>
              </w:rPr>
              <w:t>год</w:t>
            </w:r>
          </w:p>
        </w:tc>
        <w:tc>
          <w:tcPr>
            <w:tcW w:w="1286" w:type="pct"/>
            <w:tcBorders>
              <w:top w:val="single" w:sz="4" w:space="0" w:color="auto"/>
              <w:bottom w:val="single" w:sz="4" w:space="0" w:color="auto"/>
              <w:right w:val="single" w:sz="4" w:space="0" w:color="auto"/>
            </w:tcBorders>
            <w:shd w:val="clear" w:color="auto" w:fill="BFBFBF" w:themeFill="background1" w:themeFillShade="BF"/>
            <w:vAlign w:val="center"/>
          </w:tcPr>
          <w:p w14:paraId="5D2CDCC3" w14:textId="640F9648" w:rsidR="000601A7" w:rsidRPr="001B3050" w:rsidRDefault="006B422D" w:rsidP="008A651D">
            <w:pPr>
              <w:widowControl w:val="0"/>
              <w:spacing w:before="0" w:after="0" w:line="240" w:lineRule="auto"/>
              <w:jc w:val="center"/>
              <w:rPr>
                <w:rFonts w:ascii="Times New Roman" w:hAnsi="Times New Roman" w:cs="Times New Roman"/>
                <w:sz w:val="22"/>
                <w:szCs w:val="22"/>
              </w:rPr>
            </w:pPr>
            <w:r w:rsidRPr="001B3050">
              <w:rPr>
                <w:rFonts w:ascii="Times New Roman" w:hAnsi="Times New Roman" w:cs="Times New Roman"/>
                <w:sz w:val="22"/>
                <w:szCs w:val="22"/>
              </w:rPr>
              <w:t>2020</w:t>
            </w:r>
            <w:r w:rsidR="000601A7" w:rsidRPr="001B3050">
              <w:rPr>
                <w:rFonts w:ascii="Times New Roman" w:hAnsi="Times New Roman" w:cs="Times New Roman"/>
                <w:sz w:val="22"/>
                <w:szCs w:val="22"/>
              </w:rPr>
              <w:t xml:space="preserve"> год</w:t>
            </w:r>
          </w:p>
        </w:tc>
      </w:tr>
      <w:tr w:rsidR="00592799" w:rsidRPr="00160362" w14:paraId="6EBAC796" w14:textId="77777777" w:rsidTr="00F31704">
        <w:tc>
          <w:tcPr>
            <w:tcW w:w="2428" w:type="pct"/>
            <w:tcBorders>
              <w:top w:val="double" w:sz="4" w:space="0" w:color="auto"/>
              <w:left w:val="single" w:sz="4" w:space="0" w:color="auto"/>
            </w:tcBorders>
            <w:shd w:val="clear" w:color="auto" w:fill="BFBFBF" w:themeFill="background1" w:themeFillShade="BF"/>
            <w:vAlign w:val="center"/>
          </w:tcPr>
          <w:p w14:paraId="24B17483" w14:textId="77777777" w:rsidR="00592799" w:rsidRPr="00160362" w:rsidRDefault="00592799" w:rsidP="00592799">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Инфляция</w:t>
            </w:r>
          </w:p>
        </w:tc>
        <w:tc>
          <w:tcPr>
            <w:tcW w:w="1286" w:type="pct"/>
            <w:tcBorders>
              <w:top w:val="double" w:sz="4" w:space="0" w:color="auto"/>
            </w:tcBorders>
            <w:shd w:val="clear" w:color="auto" w:fill="BFBFBF" w:themeFill="background1" w:themeFillShade="BF"/>
            <w:vAlign w:val="bottom"/>
          </w:tcPr>
          <w:p w14:paraId="46CF8893" w14:textId="4D1AEECD"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4,7</w:t>
            </w:r>
          </w:p>
        </w:tc>
        <w:tc>
          <w:tcPr>
            <w:tcW w:w="1286" w:type="pct"/>
            <w:tcBorders>
              <w:top w:val="double" w:sz="4" w:space="0" w:color="auto"/>
              <w:right w:val="single" w:sz="4" w:space="0" w:color="auto"/>
            </w:tcBorders>
            <w:shd w:val="clear" w:color="auto" w:fill="BFBFBF" w:themeFill="background1" w:themeFillShade="BF"/>
            <w:vAlign w:val="bottom"/>
          </w:tcPr>
          <w:p w14:paraId="22B75814" w14:textId="6EF81C4B"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sz w:val="22"/>
                <w:szCs w:val="22"/>
              </w:rPr>
              <w:t>1,5</w:t>
            </w:r>
          </w:p>
        </w:tc>
      </w:tr>
      <w:tr w:rsidR="00592799" w:rsidRPr="00160362" w14:paraId="0E5674C6" w14:textId="77777777" w:rsidTr="00F31704">
        <w:trPr>
          <w:trHeight w:val="62"/>
        </w:trPr>
        <w:tc>
          <w:tcPr>
            <w:tcW w:w="2428" w:type="pct"/>
            <w:tcBorders>
              <w:left w:val="single" w:sz="4" w:space="0" w:color="auto"/>
            </w:tcBorders>
            <w:vAlign w:val="center"/>
          </w:tcPr>
          <w:p w14:paraId="0E87BAE8" w14:textId="77777777" w:rsidR="00592799" w:rsidRPr="00160362" w:rsidRDefault="00592799" w:rsidP="00592799">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 xml:space="preserve">  - продовольственные товары</w:t>
            </w:r>
          </w:p>
        </w:tc>
        <w:tc>
          <w:tcPr>
            <w:tcW w:w="1286" w:type="pct"/>
            <w:vAlign w:val="bottom"/>
          </w:tcPr>
          <w:p w14:paraId="081A220A" w14:textId="3B326C98"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10,0</w:t>
            </w:r>
          </w:p>
        </w:tc>
        <w:tc>
          <w:tcPr>
            <w:tcW w:w="1286" w:type="pct"/>
            <w:tcBorders>
              <w:right w:val="single" w:sz="4" w:space="0" w:color="auto"/>
            </w:tcBorders>
            <w:vAlign w:val="bottom"/>
          </w:tcPr>
          <w:p w14:paraId="6D987F3F" w14:textId="08E5FDE0"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sz w:val="22"/>
                <w:szCs w:val="22"/>
              </w:rPr>
              <w:t>2,3</w:t>
            </w:r>
          </w:p>
        </w:tc>
      </w:tr>
      <w:tr w:rsidR="00592799" w:rsidRPr="00160362" w14:paraId="11A51E71" w14:textId="77777777" w:rsidTr="00F31704">
        <w:trPr>
          <w:trHeight w:val="62"/>
        </w:trPr>
        <w:tc>
          <w:tcPr>
            <w:tcW w:w="2428" w:type="pct"/>
            <w:tcBorders>
              <w:left w:val="single" w:sz="4" w:space="0" w:color="auto"/>
            </w:tcBorders>
            <w:vAlign w:val="center"/>
          </w:tcPr>
          <w:p w14:paraId="25CA7E2A" w14:textId="77777777" w:rsidR="00592799" w:rsidRPr="00160362" w:rsidRDefault="00592799" w:rsidP="00592799">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 xml:space="preserve">  - непродовольственные товары</w:t>
            </w:r>
          </w:p>
        </w:tc>
        <w:tc>
          <w:tcPr>
            <w:tcW w:w="1286" w:type="pct"/>
            <w:vAlign w:val="bottom"/>
          </w:tcPr>
          <w:p w14:paraId="6456C781" w14:textId="65092F03"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0,0</w:t>
            </w:r>
          </w:p>
        </w:tc>
        <w:tc>
          <w:tcPr>
            <w:tcW w:w="1286" w:type="pct"/>
            <w:tcBorders>
              <w:right w:val="single" w:sz="4" w:space="0" w:color="auto"/>
            </w:tcBorders>
            <w:vAlign w:val="bottom"/>
          </w:tcPr>
          <w:p w14:paraId="70308D2E" w14:textId="16EAEB7A"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sz w:val="22"/>
                <w:szCs w:val="22"/>
              </w:rPr>
              <w:t>0,1</w:t>
            </w:r>
          </w:p>
        </w:tc>
      </w:tr>
      <w:tr w:rsidR="00592799" w:rsidRPr="00160362" w14:paraId="4E6964CD" w14:textId="77777777" w:rsidTr="00F31704">
        <w:trPr>
          <w:trHeight w:val="62"/>
        </w:trPr>
        <w:tc>
          <w:tcPr>
            <w:tcW w:w="2428" w:type="pct"/>
            <w:tcBorders>
              <w:left w:val="single" w:sz="4" w:space="0" w:color="auto"/>
            </w:tcBorders>
            <w:shd w:val="clear" w:color="auto" w:fill="auto"/>
          </w:tcPr>
          <w:p w14:paraId="068D8AEE" w14:textId="77777777" w:rsidR="00592799" w:rsidRPr="00160362" w:rsidRDefault="00592799" w:rsidP="00592799">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 xml:space="preserve">  - услуги</w:t>
            </w:r>
          </w:p>
        </w:tc>
        <w:tc>
          <w:tcPr>
            <w:tcW w:w="1286" w:type="pct"/>
            <w:shd w:val="clear" w:color="auto" w:fill="auto"/>
            <w:vAlign w:val="bottom"/>
          </w:tcPr>
          <w:p w14:paraId="7F177093" w14:textId="556BAA11"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2,8</w:t>
            </w:r>
          </w:p>
        </w:tc>
        <w:tc>
          <w:tcPr>
            <w:tcW w:w="1286" w:type="pct"/>
            <w:tcBorders>
              <w:right w:val="single" w:sz="4" w:space="0" w:color="auto"/>
            </w:tcBorders>
            <w:shd w:val="clear" w:color="auto" w:fill="auto"/>
            <w:vAlign w:val="bottom"/>
          </w:tcPr>
          <w:p w14:paraId="4146A65F" w14:textId="20BC461F"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sz w:val="22"/>
                <w:szCs w:val="22"/>
              </w:rPr>
              <w:t>1,9</w:t>
            </w:r>
          </w:p>
        </w:tc>
      </w:tr>
      <w:tr w:rsidR="00592799" w:rsidRPr="00160362" w14:paraId="5BC47E89" w14:textId="77777777" w:rsidTr="00F31704">
        <w:trPr>
          <w:trHeight w:val="62"/>
        </w:trPr>
        <w:tc>
          <w:tcPr>
            <w:tcW w:w="2428" w:type="pct"/>
            <w:tcBorders>
              <w:left w:val="single" w:sz="4" w:space="0" w:color="auto"/>
              <w:bottom w:val="single" w:sz="4" w:space="0" w:color="auto"/>
            </w:tcBorders>
            <w:shd w:val="clear" w:color="auto" w:fill="BFBFBF" w:themeFill="background1" w:themeFillShade="BF"/>
            <w:vAlign w:val="center"/>
          </w:tcPr>
          <w:p w14:paraId="3C4CE197" w14:textId="77777777" w:rsidR="00592799" w:rsidRPr="00160362" w:rsidRDefault="00592799" w:rsidP="00592799">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Базовая инфляция</w:t>
            </w:r>
            <w:r w:rsidRPr="00160362">
              <w:rPr>
                <w:rStyle w:val="ae"/>
                <w:rFonts w:ascii="Times New Roman" w:hAnsi="Times New Roman"/>
                <w:sz w:val="22"/>
                <w:szCs w:val="22"/>
              </w:rPr>
              <w:footnoteReference w:id="7"/>
            </w:r>
          </w:p>
        </w:tc>
        <w:tc>
          <w:tcPr>
            <w:tcW w:w="1286" w:type="pct"/>
            <w:tcBorders>
              <w:bottom w:val="single" w:sz="4" w:space="0" w:color="auto"/>
            </w:tcBorders>
            <w:shd w:val="clear" w:color="auto" w:fill="BFBFBF" w:themeFill="background1" w:themeFillShade="BF"/>
            <w:vAlign w:val="bottom"/>
          </w:tcPr>
          <w:p w14:paraId="6C7744E1" w14:textId="74822A3D"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2,9</w:t>
            </w:r>
          </w:p>
        </w:tc>
        <w:tc>
          <w:tcPr>
            <w:tcW w:w="1286" w:type="pct"/>
            <w:tcBorders>
              <w:bottom w:val="single" w:sz="4" w:space="0" w:color="auto"/>
              <w:right w:val="single" w:sz="4" w:space="0" w:color="auto"/>
            </w:tcBorders>
            <w:shd w:val="clear" w:color="auto" w:fill="BFBFBF" w:themeFill="background1" w:themeFillShade="BF"/>
            <w:vAlign w:val="bottom"/>
          </w:tcPr>
          <w:p w14:paraId="369A6293" w14:textId="22E6E43A"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sz w:val="22"/>
                <w:szCs w:val="22"/>
              </w:rPr>
              <w:t>0,9</w:t>
            </w:r>
          </w:p>
        </w:tc>
      </w:tr>
      <w:tr w:rsidR="00592799" w:rsidRPr="00160362" w14:paraId="13B7E28E" w14:textId="77777777" w:rsidTr="00D26C44">
        <w:trPr>
          <w:trHeight w:val="327"/>
        </w:trPr>
        <w:tc>
          <w:tcPr>
            <w:tcW w:w="2428" w:type="pct"/>
            <w:tcBorders>
              <w:top w:val="single" w:sz="4" w:space="0" w:color="auto"/>
              <w:left w:val="single" w:sz="4" w:space="0" w:color="auto"/>
              <w:bottom w:val="single" w:sz="4" w:space="0" w:color="auto"/>
              <w:right w:val="single" w:sz="4" w:space="0" w:color="auto"/>
            </w:tcBorders>
            <w:shd w:val="clear" w:color="auto" w:fill="auto"/>
            <w:vAlign w:val="center"/>
          </w:tcPr>
          <w:p w14:paraId="1C374582" w14:textId="77777777" w:rsidR="00592799" w:rsidRPr="00160362" w:rsidRDefault="00592799" w:rsidP="00592799">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lastRenderedPageBreak/>
              <w:t>Небазовая инфляция</w:t>
            </w:r>
            <w:r w:rsidRPr="00160362">
              <w:rPr>
                <w:rStyle w:val="ae"/>
                <w:rFonts w:ascii="Times New Roman" w:hAnsi="Times New Roman"/>
                <w:sz w:val="22"/>
                <w:szCs w:val="22"/>
              </w:rPr>
              <w:footnoteReference w:id="8"/>
            </w:r>
          </w:p>
        </w:tc>
        <w:tc>
          <w:tcPr>
            <w:tcW w:w="1286" w:type="pct"/>
            <w:tcBorders>
              <w:top w:val="single" w:sz="4" w:space="0" w:color="auto"/>
              <w:left w:val="single" w:sz="4" w:space="0" w:color="auto"/>
              <w:bottom w:val="single" w:sz="4" w:space="0" w:color="auto"/>
              <w:right w:val="single" w:sz="4" w:space="0" w:color="auto"/>
            </w:tcBorders>
            <w:shd w:val="clear" w:color="auto" w:fill="auto"/>
            <w:vAlign w:val="bottom"/>
          </w:tcPr>
          <w:p w14:paraId="0F7249BF" w14:textId="1A6A2CDE"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7,7</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bottom"/>
          </w:tcPr>
          <w:p w14:paraId="2E83DCBC" w14:textId="43530B71" w:rsidR="00592799" w:rsidRPr="001B3050" w:rsidRDefault="00592799" w:rsidP="00592799">
            <w:pPr>
              <w:spacing w:before="0" w:after="0" w:line="240" w:lineRule="auto"/>
              <w:ind w:right="907"/>
              <w:jc w:val="right"/>
              <w:rPr>
                <w:rFonts w:ascii="Times New Roman" w:hAnsi="Times New Roman" w:cs="Times New Roman"/>
                <w:color w:val="000000"/>
                <w:sz w:val="22"/>
                <w:szCs w:val="22"/>
              </w:rPr>
            </w:pPr>
            <w:r w:rsidRPr="001B3050">
              <w:rPr>
                <w:rFonts w:ascii="Times New Roman" w:hAnsi="Times New Roman" w:cs="Times New Roman"/>
                <w:sz w:val="22"/>
                <w:szCs w:val="22"/>
              </w:rPr>
              <w:t>2,2</w:t>
            </w:r>
          </w:p>
        </w:tc>
      </w:tr>
    </w:tbl>
    <w:p w14:paraId="6CA91D4A" w14:textId="7004165D" w:rsidR="00284DD4" w:rsidRPr="00160362" w:rsidRDefault="00284DD4" w:rsidP="001B3050">
      <w:pPr>
        <w:widowControl w:val="0"/>
        <w:spacing w:before="12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Основной вклад в формирование сводного показателя внёс сегмент продовольственных товаров (0,9 п.п.), средняя стоимость которых с начала года возросла на 2,3%, что, однако, на </w:t>
      </w:r>
    </w:p>
    <w:p w14:paraId="43171178" w14:textId="53729737" w:rsidR="00284DD4" w:rsidRPr="00160362" w:rsidRDefault="00284DD4" w:rsidP="00594F92">
      <w:pPr>
        <w:widowControl w:val="0"/>
        <w:spacing w:before="0" w:after="0" w:line="240" w:lineRule="auto"/>
        <w:jc w:val="both"/>
        <w:rPr>
          <w:rFonts w:ascii="Times New Roman" w:hAnsi="Times New Roman" w:cs="Times New Roman"/>
          <w:sz w:val="24"/>
          <w:szCs w:val="24"/>
        </w:rPr>
      </w:pPr>
      <w:r w:rsidRPr="00160362">
        <w:rPr>
          <w:rFonts w:ascii="Times New Roman" w:hAnsi="Times New Roman" w:cs="Times New Roman"/>
          <w:sz w:val="24"/>
          <w:szCs w:val="24"/>
        </w:rPr>
        <w:t>7,7 п.п. ниже значения базисного периода. При этом наиболее ощутимо увеличились цены на яйца (+19,2%), растительное масло (+19,0%) и сахар (+15,5%), что во многом было связано с повышательными корректировками на рынке стран-партнёров, а также мировыми тенденциями.</w:t>
      </w:r>
      <w:r w:rsidR="00877422" w:rsidRPr="00160362">
        <w:rPr>
          <w:rFonts w:ascii="Times New Roman" w:hAnsi="Times New Roman" w:cs="Times New Roman"/>
          <w:sz w:val="24"/>
          <w:szCs w:val="24"/>
        </w:rPr>
        <w:t xml:space="preserve"> </w:t>
      </w:r>
      <w:r w:rsidRPr="00160362">
        <w:rPr>
          <w:rFonts w:ascii="Times New Roman" w:hAnsi="Times New Roman" w:cs="Times New Roman"/>
          <w:sz w:val="24"/>
          <w:szCs w:val="24"/>
        </w:rPr>
        <w:t xml:space="preserve">Низкий урожай </w:t>
      </w:r>
      <w:r w:rsidR="00877422" w:rsidRPr="00160362">
        <w:rPr>
          <w:rFonts w:ascii="Times New Roman" w:hAnsi="Times New Roman" w:cs="Times New Roman"/>
          <w:sz w:val="24"/>
          <w:szCs w:val="24"/>
        </w:rPr>
        <w:t xml:space="preserve">зерновых </w:t>
      </w:r>
      <w:r w:rsidRPr="00160362">
        <w:rPr>
          <w:rFonts w:ascii="Times New Roman" w:hAnsi="Times New Roman" w:cs="Times New Roman"/>
          <w:sz w:val="24"/>
          <w:szCs w:val="24"/>
        </w:rPr>
        <w:t xml:space="preserve">стал причиной повышения стоимости </w:t>
      </w:r>
      <w:r w:rsidR="00877422" w:rsidRPr="00160362">
        <w:rPr>
          <w:rFonts w:ascii="Times New Roman" w:hAnsi="Times New Roman" w:cs="Times New Roman"/>
          <w:sz w:val="24"/>
          <w:szCs w:val="24"/>
        </w:rPr>
        <w:t>муки (+6,2%), макаронно-крупяны</w:t>
      </w:r>
      <w:r w:rsidR="00F001D9">
        <w:rPr>
          <w:rFonts w:ascii="Times New Roman" w:hAnsi="Times New Roman" w:cs="Times New Roman"/>
          <w:sz w:val="24"/>
          <w:szCs w:val="24"/>
        </w:rPr>
        <w:t>х</w:t>
      </w:r>
      <w:r w:rsidR="00877422" w:rsidRPr="00160362">
        <w:rPr>
          <w:rFonts w:ascii="Times New Roman" w:hAnsi="Times New Roman" w:cs="Times New Roman"/>
          <w:sz w:val="24"/>
          <w:szCs w:val="24"/>
        </w:rPr>
        <w:t xml:space="preserve"> издели</w:t>
      </w:r>
      <w:r w:rsidR="00F001D9">
        <w:rPr>
          <w:rFonts w:ascii="Times New Roman" w:hAnsi="Times New Roman" w:cs="Times New Roman"/>
          <w:sz w:val="24"/>
          <w:szCs w:val="24"/>
        </w:rPr>
        <w:t>й</w:t>
      </w:r>
      <w:r w:rsidR="00877422" w:rsidRPr="00160362">
        <w:rPr>
          <w:rFonts w:ascii="Times New Roman" w:hAnsi="Times New Roman" w:cs="Times New Roman"/>
          <w:sz w:val="24"/>
          <w:szCs w:val="24"/>
        </w:rPr>
        <w:t xml:space="preserve"> (+6,3%), </w:t>
      </w:r>
      <w:r w:rsidRPr="00160362">
        <w:rPr>
          <w:rFonts w:ascii="Times New Roman" w:hAnsi="Times New Roman" w:cs="Times New Roman"/>
          <w:sz w:val="24"/>
          <w:szCs w:val="24"/>
        </w:rPr>
        <w:t xml:space="preserve">хлеба и хлебобулочных изделий (+4,8%). </w:t>
      </w:r>
      <w:r w:rsidR="00594F92" w:rsidRPr="00160362">
        <w:rPr>
          <w:rFonts w:ascii="Times New Roman" w:hAnsi="Times New Roman" w:cs="Times New Roman"/>
          <w:sz w:val="24"/>
          <w:szCs w:val="24"/>
        </w:rPr>
        <w:t>Рост цен также</w:t>
      </w:r>
      <w:r w:rsidR="00594F92">
        <w:rPr>
          <w:rFonts w:ascii="Times New Roman" w:hAnsi="Times New Roman" w:cs="Times New Roman"/>
          <w:sz w:val="24"/>
          <w:szCs w:val="24"/>
        </w:rPr>
        <w:t xml:space="preserve"> затронул</w:t>
      </w:r>
      <w:r w:rsidR="00594F92" w:rsidRPr="00160362">
        <w:rPr>
          <w:rFonts w:ascii="Times New Roman" w:hAnsi="Times New Roman" w:cs="Times New Roman"/>
          <w:sz w:val="24"/>
          <w:szCs w:val="24"/>
        </w:rPr>
        <w:t xml:space="preserve"> ряд продуктов животного происхождения.</w:t>
      </w:r>
    </w:p>
    <w:p w14:paraId="6A78D55E" w14:textId="519BB2D4" w:rsidR="00284DD4" w:rsidRPr="00160362" w:rsidRDefault="00284DD4" w:rsidP="00284DD4">
      <w:pPr>
        <w:widowControl w:val="0"/>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Фактором, сдерживающим инфляционные процессы, выступило удешевление плодоовощной продукции. В частности, </w:t>
      </w:r>
      <w:r w:rsidR="00594F92">
        <w:rPr>
          <w:rFonts w:ascii="Times New Roman" w:hAnsi="Times New Roman" w:cs="Times New Roman"/>
          <w:sz w:val="24"/>
          <w:szCs w:val="24"/>
        </w:rPr>
        <w:t xml:space="preserve">на фоне роста предложения </w:t>
      </w:r>
      <w:r w:rsidRPr="00160362">
        <w:rPr>
          <w:rFonts w:ascii="Times New Roman" w:hAnsi="Times New Roman" w:cs="Times New Roman"/>
          <w:sz w:val="24"/>
          <w:szCs w:val="24"/>
        </w:rPr>
        <w:t xml:space="preserve">стоимость картофеля снизилась на 28,1%, овощей – на 14,1%. </w:t>
      </w:r>
      <w:r w:rsidR="00594F92" w:rsidRPr="00160362">
        <w:rPr>
          <w:rFonts w:ascii="Times New Roman" w:hAnsi="Times New Roman" w:cs="Times New Roman"/>
          <w:sz w:val="24"/>
          <w:szCs w:val="24"/>
        </w:rPr>
        <w:t xml:space="preserve">Средняя цена </w:t>
      </w:r>
      <w:r w:rsidR="00594F92">
        <w:rPr>
          <w:rFonts w:ascii="Times New Roman" w:hAnsi="Times New Roman" w:cs="Times New Roman"/>
          <w:sz w:val="24"/>
          <w:szCs w:val="24"/>
        </w:rPr>
        <w:t xml:space="preserve">на </w:t>
      </w:r>
      <w:r w:rsidRPr="00160362">
        <w:rPr>
          <w:rFonts w:ascii="Times New Roman" w:hAnsi="Times New Roman" w:cs="Times New Roman"/>
          <w:sz w:val="24"/>
          <w:szCs w:val="24"/>
        </w:rPr>
        <w:t xml:space="preserve">фрукты практически не изменилась (+0,1%). </w:t>
      </w:r>
    </w:p>
    <w:p w14:paraId="6421C69D" w14:textId="6ACA8FAA" w:rsidR="00877422" w:rsidRPr="00160362" w:rsidRDefault="00877422" w:rsidP="00877422">
      <w:pPr>
        <w:widowControl w:val="0"/>
        <w:spacing w:before="0" w:after="0" w:line="240" w:lineRule="auto"/>
        <w:ind w:firstLine="425"/>
        <w:jc w:val="both"/>
        <w:rPr>
          <w:rFonts w:ascii="Times New Roman" w:hAnsi="Times New Roman" w:cs="Times New Roman"/>
          <w:sz w:val="24"/>
          <w:szCs w:val="24"/>
        </w:rPr>
      </w:pPr>
      <w:r w:rsidRPr="00CC490A">
        <w:rPr>
          <w:rFonts w:ascii="Times New Roman" w:hAnsi="Times New Roman" w:cs="Times New Roman"/>
          <w:sz w:val="24"/>
          <w:szCs w:val="24"/>
        </w:rPr>
        <w:t>Тарифы в сфере услуг за год возросли в среднем на 1,9% (+2,8% в базисном периоде). В результате</w:t>
      </w:r>
      <w:r w:rsidRPr="00160362">
        <w:rPr>
          <w:rFonts w:ascii="Times New Roman" w:hAnsi="Times New Roman" w:cs="Times New Roman"/>
          <w:sz w:val="24"/>
          <w:szCs w:val="24"/>
        </w:rPr>
        <w:t xml:space="preserve"> вклад данного сегмента в </w:t>
      </w:r>
      <w:r w:rsidR="00F001D9">
        <w:rPr>
          <w:rFonts w:ascii="Times New Roman" w:hAnsi="Times New Roman" w:cs="Times New Roman"/>
          <w:sz w:val="24"/>
          <w:szCs w:val="24"/>
        </w:rPr>
        <w:t>сводный индекс потребительских цен</w:t>
      </w:r>
      <w:r w:rsidRPr="00160362">
        <w:rPr>
          <w:rFonts w:ascii="Times New Roman" w:hAnsi="Times New Roman" w:cs="Times New Roman"/>
          <w:sz w:val="24"/>
          <w:szCs w:val="24"/>
        </w:rPr>
        <w:t xml:space="preserve"> составил 0,5 п.п. В разрезе структурных компонентов, как и на рынках стран-партнёров, в з</w:t>
      </w:r>
      <w:r w:rsidR="00BE0E11">
        <w:rPr>
          <w:rFonts w:ascii="Times New Roman" w:hAnsi="Times New Roman" w:cs="Times New Roman"/>
          <w:sz w:val="24"/>
          <w:szCs w:val="24"/>
        </w:rPr>
        <w:t xml:space="preserve">начительной степени увеличилась </w:t>
      </w:r>
      <w:r w:rsidR="00BE0E11" w:rsidRPr="00CC490A">
        <w:rPr>
          <w:rFonts w:ascii="Times New Roman" w:hAnsi="Times New Roman" w:cs="Times New Roman"/>
          <w:sz w:val="24"/>
          <w:szCs w:val="24"/>
        </w:rPr>
        <w:t xml:space="preserve">стоимость </w:t>
      </w:r>
      <w:r w:rsidRPr="00CC490A">
        <w:rPr>
          <w:rFonts w:ascii="Times New Roman" w:hAnsi="Times New Roman" w:cs="Times New Roman"/>
          <w:sz w:val="24"/>
          <w:szCs w:val="24"/>
        </w:rPr>
        <w:t xml:space="preserve">услуг транспорта (+9,3%). Среди административно-регулируемых </w:t>
      </w:r>
      <w:r w:rsidRPr="00ED165B">
        <w:rPr>
          <w:rFonts w:ascii="Times New Roman" w:hAnsi="Times New Roman" w:cs="Times New Roman"/>
          <w:sz w:val="24"/>
          <w:szCs w:val="24"/>
        </w:rPr>
        <w:t xml:space="preserve">услуг отмечался рост тарифов на жилищные (+7,3%), санаторно-оздоровительные (+6,7%) и медицинские (+1,7%) услуги. </w:t>
      </w:r>
      <w:r w:rsidR="00CC490A" w:rsidRPr="00ED165B">
        <w:rPr>
          <w:rFonts w:ascii="Times New Roman" w:hAnsi="Times New Roman" w:cs="Times New Roman"/>
          <w:sz w:val="24"/>
          <w:szCs w:val="24"/>
        </w:rPr>
        <w:t>Уровень коммунальных платежей в 2</w:t>
      </w:r>
      <w:r w:rsidRPr="00ED165B">
        <w:rPr>
          <w:rFonts w:ascii="Times New Roman" w:hAnsi="Times New Roman" w:cs="Times New Roman"/>
          <w:sz w:val="24"/>
          <w:szCs w:val="24"/>
        </w:rPr>
        <w:t>020 году не пересматривал</w:t>
      </w:r>
      <w:r w:rsidR="00CC490A" w:rsidRPr="00ED165B">
        <w:rPr>
          <w:rFonts w:ascii="Times New Roman" w:hAnsi="Times New Roman" w:cs="Times New Roman"/>
          <w:sz w:val="24"/>
          <w:szCs w:val="24"/>
        </w:rPr>
        <w:t>ся</w:t>
      </w:r>
      <w:r w:rsidRPr="00ED165B">
        <w:rPr>
          <w:rFonts w:ascii="Times New Roman" w:hAnsi="Times New Roman" w:cs="Times New Roman"/>
          <w:sz w:val="24"/>
          <w:szCs w:val="24"/>
        </w:rPr>
        <w:t>. В рыночном сегменте услуги в</w:t>
      </w:r>
      <w:r w:rsidRPr="00160362">
        <w:rPr>
          <w:rFonts w:ascii="Times New Roman" w:hAnsi="Times New Roman" w:cs="Times New Roman"/>
          <w:sz w:val="24"/>
          <w:szCs w:val="24"/>
        </w:rPr>
        <w:t xml:space="preserve"> среднем подорожали на 1,7%. </w:t>
      </w:r>
    </w:p>
    <w:p w14:paraId="76C8241B" w14:textId="6A673323" w:rsidR="00F31704" w:rsidRPr="00160362" w:rsidRDefault="001B77E0" w:rsidP="001B77E0">
      <w:pPr>
        <w:widowControl w:val="0"/>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Вследствие разнонаправленной динамики цен на отдельные товары совокупная стоимость непродовольственной группы</w:t>
      </w:r>
      <w:r w:rsidR="00F001D9">
        <w:rPr>
          <w:rFonts w:ascii="Times New Roman" w:hAnsi="Times New Roman" w:cs="Times New Roman"/>
          <w:sz w:val="24"/>
          <w:szCs w:val="24"/>
        </w:rPr>
        <w:t>, как в 2019 году,</w:t>
      </w:r>
      <w:r w:rsidRPr="00160362">
        <w:rPr>
          <w:rFonts w:ascii="Times New Roman" w:hAnsi="Times New Roman" w:cs="Times New Roman"/>
          <w:sz w:val="24"/>
          <w:szCs w:val="24"/>
        </w:rPr>
        <w:t xml:space="preserve"> </w:t>
      </w:r>
      <w:r w:rsidR="00F001D9">
        <w:rPr>
          <w:rFonts w:ascii="Times New Roman" w:hAnsi="Times New Roman" w:cs="Times New Roman"/>
          <w:sz w:val="24"/>
          <w:szCs w:val="24"/>
        </w:rPr>
        <w:t>практически не изменилась</w:t>
      </w:r>
      <w:r w:rsidRPr="00160362">
        <w:rPr>
          <w:rFonts w:ascii="Times New Roman" w:hAnsi="Times New Roman" w:cs="Times New Roman"/>
          <w:sz w:val="24"/>
          <w:szCs w:val="24"/>
        </w:rPr>
        <w:t xml:space="preserve">. </w:t>
      </w:r>
      <w:r w:rsidR="00594F92" w:rsidRPr="00160362">
        <w:rPr>
          <w:rFonts w:ascii="Times New Roman" w:hAnsi="Times New Roman" w:cs="Times New Roman"/>
          <w:sz w:val="24"/>
          <w:szCs w:val="24"/>
        </w:rPr>
        <w:t xml:space="preserve">Ввиду </w:t>
      </w:r>
      <w:r w:rsidRPr="00160362">
        <w:rPr>
          <w:rFonts w:ascii="Times New Roman" w:hAnsi="Times New Roman" w:cs="Times New Roman"/>
          <w:sz w:val="24"/>
          <w:szCs w:val="24"/>
        </w:rPr>
        <w:t>повышенного спроса на товары первой необходимости, в республике подорожали товары бытовой химии (+2,1%), моющие средства (+3,5%) и медикаменты (+4,7%). Коррелируя с тенденциями на рынках стран региона, стоимость табачной продукции возросла на 18,3%</w:t>
      </w:r>
      <w:r w:rsidR="00594F92">
        <w:rPr>
          <w:rFonts w:ascii="Times New Roman" w:hAnsi="Times New Roman" w:cs="Times New Roman"/>
          <w:sz w:val="24"/>
          <w:szCs w:val="24"/>
        </w:rPr>
        <w:t>, а топлива упала на 13,9%</w:t>
      </w:r>
      <w:r w:rsidRPr="00160362">
        <w:rPr>
          <w:rFonts w:ascii="Times New Roman" w:hAnsi="Times New Roman" w:cs="Times New Roman"/>
          <w:sz w:val="24"/>
          <w:szCs w:val="24"/>
        </w:rPr>
        <w:t xml:space="preserve">. </w:t>
      </w:r>
    </w:p>
    <w:p w14:paraId="582C76F1" w14:textId="27B773F6" w:rsidR="00F31704" w:rsidRPr="00160362" w:rsidRDefault="00594F92" w:rsidP="008A651D">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В общем показателе инфляции</w:t>
      </w:r>
      <w:r w:rsidR="00223888" w:rsidRPr="00160362">
        <w:rPr>
          <w:rFonts w:ascii="Times New Roman" w:hAnsi="Times New Roman" w:cs="Times New Roman"/>
          <w:sz w:val="24"/>
          <w:szCs w:val="24"/>
        </w:rPr>
        <w:t xml:space="preserve"> влияние административных и сезонных факторов </w:t>
      </w:r>
      <w:r>
        <w:rPr>
          <w:rFonts w:ascii="Times New Roman" w:hAnsi="Times New Roman" w:cs="Times New Roman"/>
          <w:sz w:val="24"/>
          <w:szCs w:val="24"/>
        </w:rPr>
        <w:t>было превалирующим</w:t>
      </w:r>
      <w:r w:rsidR="00223888" w:rsidRPr="00160362">
        <w:rPr>
          <w:rFonts w:ascii="Times New Roman" w:hAnsi="Times New Roman" w:cs="Times New Roman"/>
          <w:sz w:val="24"/>
          <w:szCs w:val="24"/>
        </w:rPr>
        <w:t xml:space="preserve">: «небазовая» инфляция составила 2,2% (7,7% годом ранее), базовая </w:t>
      </w:r>
      <w:r>
        <w:rPr>
          <w:rFonts w:ascii="Times New Roman" w:hAnsi="Times New Roman" w:cs="Times New Roman"/>
          <w:sz w:val="24"/>
          <w:szCs w:val="24"/>
        </w:rPr>
        <w:t xml:space="preserve">(монетарная) </w:t>
      </w:r>
      <w:r w:rsidR="00223888" w:rsidRPr="00160362">
        <w:rPr>
          <w:rFonts w:ascii="Times New Roman" w:hAnsi="Times New Roman" w:cs="Times New Roman"/>
          <w:sz w:val="24"/>
          <w:szCs w:val="24"/>
        </w:rPr>
        <w:t xml:space="preserve">– 0,9% (2,9% соответственно), в результате разрыв между показателями в отчётном периоде </w:t>
      </w:r>
      <w:r w:rsidR="00223888" w:rsidRPr="008D513F">
        <w:rPr>
          <w:rFonts w:ascii="Times New Roman" w:hAnsi="Times New Roman" w:cs="Times New Roman"/>
          <w:sz w:val="24"/>
          <w:szCs w:val="24"/>
        </w:rPr>
        <w:t>составил 1,2 п.п., что в</w:t>
      </w:r>
      <w:r w:rsidR="00223888" w:rsidRPr="00160362">
        <w:rPr>
          <w:rFonts w:ascii="Times New Roman" w:hAnsi="Times New Roman" w:cs="Times New Roman"/>
          <w:sz w:val="24"/>
          <w:szCs w:val="24"/>
        </w:rPr>
        <w:t xml:space="preserve"> 4 раза ниже, чем годом ранее</w:t>
      </w:r>
      <w:r>
        <w:rPr>
          <w:rFonts w:ascii="Times New Roman" w:hAnsi="Times New Roman" w:cs="Times New Roman"/>
          <w:sz w:val="24"/>
          <w:szCs w:val="24"/>
        </w:rPr>
        <w:t>.</w:t>
      </w:r>
    </w:p>
    <w:p w14:paraId="1993FCF1" w14:textId="0D051628" w:rsidR="007B26DF" w:rsidRPr="00160362" w:rsidRDefault="007B26DF" w:rsidP="007B26DF">
      <w:pPr>
        <w:widowControl w:val="0"/>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Интенсивность прироста цен, отображающая, как за год изменился уровень цен в среднем по всем группам товаров (без учёта их доли в объёме потребления), сложилась на отметке 2,8%, что несколько ниже параметров базисного периода (3,0%).</w:t>
      </w:r>
      <w:r w:rsidR="00F001D9">
        <w:rPr>
          <w:rFonts w:ascii="Times New Roman" w:hAnsi="Times New Roman" w:cs="Times New Roman"/>
          <w:sz w:val="24"/>
          <w:szCs w:val="24"/>
        </w:rPr>
        <w:t xml:space="preserve"> </w:t>
      </w:r>
      <w:r w:rsidRPr="00160362">
        <w:rPr>
          <w:rFonts w:ascii="Times New Roman" w:hAnsi="Times New Roman" w:cs="Times New Roman"/>
          <w:sz w:val="24"/>
          <w:szCs w:val="24"/>
        </w:rPr>
        <w:t>Таким образом, в целом по итогам 2020 года фактический уровень годовой инфляции оказался ниже показателя интенсивности на 1,3 п.п. Основной вклад в замедление интенсивности инфляционных процессов внесло снижение стоимости плодоовощной группы товаров, на фоне роста цен на ряд продуктов с меньшим объёмом потребления и, как следствие, более низким удельным весом в потребительской корзине (сахар, мёд, яйца, растительное масло, табачные изделия). Годом ранее данная разница была обратной и составляла 1,7 п.п., определяющим фактором также выступил плодоовощной сегмент, удорожание которого достигло +24,1%.</w:t>
      </w:r>
    </w:p>
    <w:p w14:paraId="5EDF79AA" w14:textId="2BEDA7E8" w:rsidR="00683E52" w:rsidRPr="00160362" w:rsidRDefault="00683E52" w:rsidP="007B26DF">
      <w:pPr>
        <w:widowControl w:val="0"/>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Средний масштаб отпускных цен в индустриальном комплексе в </w:t>
      </w:r>
      <w:r w:rsidR="007B26DF" w:rsidRPr="00160362">
        <w:rPr>
          <w:rFonts w:ascii="Times New Roman" w:hAnsi="Times New Roman" w:cs="Times New Roman"/>
          <w:sz w:val="24"/>
          <w:szCs w:val="24"/>
        </w:rPr>
        <w:t>2020 году</w:t>
      </w:r>
      <w:r w:rsidRPr="00160362">
        <w:rPr>
          <w:rFonts w:ascii="Times New Roman" w:hAnsi="Times New Roman" w:cs="Times New Roman"/>
          <w:sz w:val="24"/>
          <w:szCs w:val="24"/>
        </w:rPr>
        <w:t xml:space="preserve"> во</w:t>
      </w:r>
      <w:r w:rsidR="007B26DF" w:rsidRPr="00160362">
        <w:rPr>
          <w:rFonts w:ascii="Times New Roman" w:hAnsi="Times New Roman" w:cs="Times New Roman"/>
          <w:sz w:val="24"/>
          <w:szCs w:val="24"/>
        </w:rPr>
        <w:t>зрос на 5,0</w:t>
      </w:r>
      <w:r w:rsidRPr="00160362">
        <w:rPr>
          <w:rFonts w:ascii="Times New Roman" w:hAnsi="Times New Roman" w:cs="Times New Roman"/>
          <w:sz w:val="24"/>
          <w:szCs w:val="24"/>
        </w:rPr>
        <w:t>%</w:t>
      </w:r>
      <w:r w:rsidR="007B26DF" w:rsidRPr="00160362">
        <w:rPr>
          <w:rFonts w:ascii="Times New Roman" w:hAnsi="Times New Roman" w:cs="Times New Roman"/>
          <w:sz w:val="24"/>
          <w:szCs w:val="24"/>
        </w:rPr>
        <w:t xml:space="preserve"> против 3,2% в 2019 году (табл. 1.4)</w:t>
      </w:r>
      <w:r w:rsidRPr="00160362">
        <w:rPr>
          <w:rFonts w:ascii="Times New Roman" w:hAnsi="Times New Roman" w:cs="Times New Roman"/>
          <w:sz w:val="24"/>
          <w:szCs w:val="24"/>
        </w:rPr>
        <w:t xml:space="preserve">. </w:t>
      </w:r>
    </w:p>
    <w:p w14:paraId="59CCA108" w14:textId="0F34A7AD" w:rsidR="00BE7BE0" w:rsidRPr="00160362" w:rsidRDefault="00BE7BE0" w:rsidP="00D26C44">
      <w:pPr>
        <w:widowControl w:val="0"/>
        <w:spacing w:before="0" w:after="0" w:line="240" w:lineRule="auto"/>
        <w:ind w:firstLine="425"/>
        <w:jc w:val="right"/>
        <w:outlineLvl w:val="0"/>
        <w:rPr>
          <w:rFonts w:ascii="Times New Roman" w:hAnsi="Times New Roman" w:cs="Times New Roman"/>
          <w:b/>
          <w:i/>
          <w:sz w:val="24"/>
          <w:szCs w:val="24"/>
        </w:rPr>
      </w:pPr>
      <w:r w:rsidRPr="00160362">
        <w:rPr>
          <w:rFonts w:ascii="Times New Roman" w:hAnsi="Times New Roman" w:cs="Times New Roman"/>
          <w:b/>
          <w:i/>
          <w:sz w:val="24"/>
          <w:szCs w:val="24"/>
        </w:rPr>
        <w:t>Таблица 1.</w:t>
      </w:r>
      <w:r w:rsidR="00EA1E8A" w:rsidRPr="00160362">
        <w:rPr>
          <w:rFonts w:ascii="Times New Roman" w:hAnsi="Times New Roman" w:cs="Times New Roman"/>
          <w:b/>
          <w:i/>
          <w:sz w:val="24"/>
          <w:szCs w:val="24"/>
        </w:rPr>
        <w:t>4</w:t>
      </w:r>
    </w:p>
    <w:p w14:paraId="1A4A9895" w14:textId="60DD554D" w:rsidR="000601A7" w:rsidRPr="00160362" w:rsidRDefault="00594F92" w:rsidP="000C007E">
      <w:pPr>
        <w:widowControl w:val="0"/>
        <w:spacing w:before="60" w:after="60" w:line="240" w:lineRule="auto"/>
        <w:jc w:val="center"/>
        <w:outlineLvl w:val="0"/>
        <w:rPr>
          <w:rFonts w:ascii="Times New Roman" w:hAnsi="Times New Roman" w:cs="Times New Roman"/>
          <w:b/>
          <w:i/>
          <w:sz w:val="24"/>
          <w:szCs w:val="24"/>
        </w:rPr>
      </w:pPr>
      <w:r w:rsidRPr="00160362">
        <w:rPr>
          <w:rFonts w:ascii="Times New Roman" w:hAnsi="Times New Roman" w:cs="Times New Roman"/>
          <w:b/>
          <w:i/>
          <w:sz w:val="24"/>
          <w:szCs w:val="24"/>
        </w:rPr>
        <w:t xml:space="preserve">Прирост </w:t>
      </w:r>
      <w:r w:rsidR="000601A7" w:rsidRPr="00160362">
        <w:rPr>
          <w:rFonts w:ascii="Times New Roman" w:hAnsi="Times New Roman" w:cs="Times New Roman"/>
          <w:b/>
          <w:i/>
          <w:sz w:val="24"/>
          <w:szCs w:val="24"/>
        </w:rPr>
        <w:t>отпускных цен в отраслях промышленности</w:t>
      </w:r>
      <w:r>
        <w:rPr>
          <w:rFonts w:ascii="Times New Roman" w:hAnsi="Times New Roman" w:cs="Times New Roman"/>
          <w:b/>
          <w:i/>
          <w:sz w:val="24"/>
          <w:szCs w:val="24"/>
        </w:rPr>
        <w:t xml:space="preserve">, </w:t>
      </w:r>
      <w:r w:rsidRPr="00160362">
        <w:rPr>
          <w:rFonts w:ascii="Times New Roman" w:hAnsi="Times New Roman" w:cs="Times New Roman"/>
          <w:b/>
          <w:i/>
          <w:sz w:val="24"/>
          <w:szCs w:val="24"/>
        </w:rPr>
        <w:t xml:space="preserve">декабрь к декабрю, </w:t>
      </w:r>
      <w:r w:rsidR="000601A7" w:rsidRPr="00160362">
        <w:rPr>
          <w:rFonts w:ascii="Times New Roman" w:hAnsi="Times New Roman" w:cs="Times New Roman"/>
          <w:b/>
          <w:i/>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1922"/>
        <w:gridCol w:w="1922"/>
      </w:tblGrid>
      <w:tr w:rsidR="000601A7" w:rsidRPr="00160362" w14:paraId="34612FB2" w14:textId="77777777" w:rsidTr="00851EAB">
        <w:trPr>
          <w:cantSplit/>
          <w:trHeight w:val="61"/>
          <w:jc w:val="center"/>
        </w:trPr>
        <w:tc>
          <w:tcPr>
            <w:tcW w:w="3004" w:type="pct"/>
            <w:shd w:val="clear" w:color="auto" w:fill="CCCCCC"/>
          </w:tcPr>
          <w:p w14:paraId="3ACC5C74" w14:textId="77777777" w:rsidR="000601A7" w:rsidRPr="00160362" w:rsidRDefault="000601A7" w:rsidP="008A651D">
            <w:pPr>
              <w:widowControl w:val="0"/>
              <w:spacing w:before="0" w:after="0" w:line="240" w:lineRule="auto"/>
              <w:rPr>
                <w:rFonts w:ascii="Times New Roman" w:hAnsi="Times New Roman" w:cs="Times New Roman"/>
                <w:sz w:val="22"/>
                <w:szCs w:val="22"/>
              </w:rPr>
            </w:pPr>
          </w:p>
        </w:tc>
        <w:tc>
          <w:tcPr>
            <w:tcW w:w="998" w:type="pct"/>
            <w:shd w:val="clear" w:color="auto" w:fill="CCCCCC"/>
            <w:vAlign w:val="center"/>
          </w:tcPr>
          <w:p w14:paraId="4D039D31" w14:textId="73FCDAD1" w:rsidR="000601A7" w:rsidRPr="00160362" w:rsidRDefault="00CA23EB" w:rsidP="008A651D">
            <w:pPr>
              <w:widowControl w:val="0"/>
              <w:spacing w:before="0" w:after="0" w:line="240" w:lineRule="auto"/>
              <w:jc w:val="center"/>
              <w:rPr>
                <w:rFonts w:ascii="Times New Roman" w:hAnsi="Times New Roman" w:cs="Times New Roman"/>
                <w:sz w:val="22"/>
                <w:szCs w:val="22"/>
              </w:rPr>
            </w:pPr>
            <w:r w:rsidRPr="00160362">
              <w:rPr>
                <w:rFonts w:ascii="Times New Roman" w:hAnsi="Times New Roman" w:cs="Times New Roman"/>
                <w:sz w:val="22"/>
                <w:szCs w:val="22"/>
              </w:rPr>
              <w:t>2019</w:t>
            </w:r>
            <w:r w:rsidR="000601A7" w:rsidRPr="00160362">
              <w:rPr>
                <w:rFonts w:ascii="Times New Roman" w:hAnsi="Times New Roman" w:cs="Times New Roman"/>
                <w:sz w:val="22"/>
                <w:szCs w:val="22"/>
              </w:rPr>
              <w:t xml:space="preserve"> год</w:t>
            </w:r>
          </w:p>
        </w:tc>
        <w:tc>
          <w:tcPr>
            <w:tcW w:w="998" w:type="pct"/>
            <w:shd w:val="clear" w:color="auto" w:fill="CCCCCC"/>
          </w:tcPr>
          <w:p w14:paraId="1EB22C7B" w14:textId="28126191" w:rsidR="000601A7" w:rsidRPr="00160362" w:rsidRDefault="00CA23EB" w:rsidP="008A651D">
            <w:pPr>
              <w:widowControl w:val="0"/>
              <w:spacing w:before="0" w:after="0" w:line="240" w:lineRule="auto"/>
              <w:jc w:val="center"/>
              <w:rPr>
                <w:rFonts w:ascii="Times New Roman" w:hAnsi="Times New Roman" w:cs="Times New Roman"/>
                <w:sz w:val="22"/>
                <w:szCs w:val="22"/>
              </w:rPr>
            </w:pPr>
            <w:r w:rsidRPr="00160362">
              <w:rPr>
                <w:rFonts w:ascii="Times New Roman" w:hAnsi="Times New Roman" w:cs="Times New Roman"/>
                <w:sz w:val="22"/>
                <w:szCs w:val="22"/>
              </w:rPr>
              <w:t>2020</w:t>
            </w:r>
            <w:r w:rsidR="000601A7" w:rsidRPr="00160362">
              <w:rPr>
                <w:rFonts w:ascii="Times New Roman" w:hAnsi="Times New Roman" w:cs="Times New Roman"/>
                <w:sz w:val="22"/>
                <w:szCs w:val="22"/>
              </w:rPr>
              <w:t xml:space="preserve"> год</w:t>
            </w:r>
          </w:p>
        </w:tc>
      </w:tr>
      <w:tr w:rsidR="007B26DF" w:rsidRPr="00160362" w14:paraId="37654984" w14:textId="77777777" w:rsidTr="00851EAB">
        <w:trPr>
          <w:trHeight w:val="171"/>
          <w:jc w:val="center"/>
        </w:trPr>
        <w:tc>
          <w:tcPr>
            <w:tcW w:w="3004" w:type="pct"/>
            <w:tcBorders>
              <w:top w:val="double" w:sz="4" w:space="0" w:color="auto"/>
            </w:tcBorders>
            <w:vAlign w:val="center"/>
          </w:tcPr>
          <w:p w14:paraId="0F6F7E4F" w14:textId="77777777" w:rsidR="007B26DF" w:rsidRPr="00160362" w:rsidRDefault="007B26DF" w:rsidP="007B26DF">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Чёрная металлургия</w:t>
            </w:r>
          </w:p>
        </w:tc>
        <w:tc>
          <w:tcPr>
            <w:tcW w:w="998" w:type="pct"/>
            <w:tcBorders>
              <w:top w:val="double" w:sz="4" w:space="0" w:color="auto"/>
            </w:tcBorders>
            <w:vAlign w:val="bottom"/>
          </w:tcPr>
          <w:p w14:paraId="434D4A7B" w14:textId="480B61DC"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-17,3</w:t>
            </w:r>
          </w:p>
        </w:tc>
        <w:tc>
          <w:tcPr>
            <w:tcW w:w="998" w:type="pct"/>
            <w:tcBorders>
              <w:top w:val="double" w:sz="4" w:space="0" w:color="auto"/>
            </w:tcBorders>
            <w:vAlign w:val="bottom"/>
          </w:tcPr>
          <w:p w14:paraId="072F29DA" w14:textId="1D168F63"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2,6</w:t>
            </w:r>
          </w:p>
        </w:tc>
      </w:tr>
      <w:tr w:rsidR="007B26DF" w:rsidRPr="00160362" w14:paraId="08BC60E8" w14:textId="77777777" w:rsidTr="00851EAB">
        <w:trPr>
          <w:trHeight w:val="240"/>
          <w:jc w:val="center"/>
        </w:trPr>
        <w:tc>
          <w:tcPr>
            <w:tcW w:w="3004" w:type="pct"/>
            <w:vAlign w:val="center"/>
          </w:tcPr>
          <w:p w14:paraId="43C22512" w14:textId="77777777" w:rsidR="007B26DF" w:rsidRPr="00160362" w:rsidRDefault="007B26DF" w:rsidP="007B26DF">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lastRenderedPageBreak/>
              <w:t>Электроэнергетика</w:t>
            </w:r>
          </w:p>
        </w:tc>
        <w:tc>
          <w:tcPr>
            <w:tcW w:w="998" w:type="pct"/>
            <w:vAlign w:val="bottom"/>
          </w:tcPr>
          <w:p w14:paraId="0A14EE65" w14:textId="3BB7B5F6"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31,7</w:t>
            </w:r>
          </w:p>
        </w:tc>
        <w:tc>
          <w:tcPr>
            <w:tcW w:w="998" w:type="pct"/>
            <w:vAlign w:val="bottom"/>
          </w:tcPr>
          <w:p w14:paraId="600A5DC6" w14:textId="6CA5157E"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4,3</w:t>
            </w:r>
          </w:p>
        </w:tc>
      </w:tr>
      <w:tr w:rsidR="007B26DF" w:rsidRPr="00160362" w14:paraId="7CED77D3" w14:textId="77777777" w:rsidTr="00851EAB">
        <w:trPr>
          <w:trHeight w:val="240"/>
          <w:jc w:val="center"/>
        </w:trPr>
        <w:tc>
          <w:tcPr>
            <w:tcW w:w="3004" w:type="pct"/>
            <w:tcBorders>
              <w:bottom w:val="single" w:sz="4" w:space="0" w:color="auto"/>
            </w:tcBorders>
            <w:vAlign w:val="center"/>
          </w:tcPr>
          <w:p w14:paraId="3DDE4DF1" w14:textId="77777777" w:rsidR="007B26DF" w:rsidRPr="00160362" w:rsidRDefault="007B26DF" w:rsidP="007B26DF">
            <w:pPr>
              <w:widowControl w:val="0"/>
              <w:spacing w:before="0" w:after="0" w:line="240" w:lineRule="auto"/>
              <w:rPr>
                <w:rFonts w:ascii="Times New Roman" w:hAnsi="Times New Roman" w:cs="Times New Roman"/>
                <w:sz w:val="22"/>
                <w:szCs w:val="22"/>
              </w:rPr>
            </w:pPr>
            <w:r w:rsidRPr="00160362">
              <w:rPr>
                <w:rFonts w:ascii="Times New Roman" w:hAnsi="Times New Roman" w:cs="Times New Roman"/>
                <w:sz w:val="22"/>
                <w:szCs w:val="22"/>
              </w:rPr>
              <w:t>Машиностроение и металлообработка</w:t>
            </w:r>
          </w:p>
        </w:tc>
        <w:tc>
          <w:tcPr>
            <w:tcW w:w="998" w:type="pct"/>
            <w:tcBorders>
              <w:bottom w:val="single" w:sz="4" w:space="0" w:color="auto"/>
            </w:tcBorders>
            <w:vAlign w:val="bottom"/>
          </w:tcPr>
          <w:p w14:paraId="1460F018" w14:textId="0749253B"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0,0</w:t>
            </w:r>
          </w:p>
        </w:tc>
        <w:tc>
          <w:tcPr>
            <w:tcW w:w="998" w:type="pct"/>
            <w:tcBorders>
              <w:bottom w:val="single" w:sz="4" w:space="0" w:color="auto"/>
            </w:tcBorders>
            <w:vAlign w:val="bottom"/>
          </w:tcPr>
          <w:p w14:paraId="65E77E84" w14:textId="78018E07"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1,4</w:t>
            </w:r>
          </w:p>
        </w:tc>
      </w:tr>
      <w:tr w:rsidR="007B26DF" w:rsidRPr="00160362" w14:paraId="143CC165" w14:textId="77777777" w:rsidTr="00851EAB">
        <w:trPr>
          <w:trHeight w:val="240"/>
          <w:jc w:val="center"/>
        </w:trPr>
        <w:tc>
          <w:tcPr>
            <w:tcW w:w="3004" w:type="pct"/>
            <w:tcBorders>
              <w:top w:val="nil"/>
            </w:tcBorders>
            <w:vAlign w:val="center"/>
          </w:tcPr>
          <w:p w14:paraId="3D1ACCBE" w14:textId="77777777" w:rsidR="007B26DF" w:rsidRPr="00160362" w:rsidRDefault="007B26DF" w:rsidP="007B26DF">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Электротехническая промышленность</w:t>
            </w:r>
          </w:p>
        </w:tc>
        <w:tc>
          <w:tcPr>
            <w:tcW w:w="998" w:type="pct"/>
            <w:tcBorders>
              <w:top w:val="nil"/>
            </w:tcBorders>
            <w:vAlign w:val="bottom"/>
          </w:tcPr>
          <w:p w14:paraId="482D6EDD" w14:textId="57819AE4"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1,7</w:t>
            </w:r>
          </w:p>
        </w:tc>
        <w:tc>
          <w:tcPr>
            <w:tcW w:w="998" w:type="pct"/>
            <w:tcBorders>
              <w:top w:val="nil"/>
            </w:tcBorders>
            <w:vAlign w:val="bottom"/>
          </w:tcPr>
          <w:p w14:paraId="1202E5F6" w14:textId="4282AA8C"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13,5</w:t>
            </w:r>
          </w:p>
        </w:tc>
      </w:tr>
      <w:tr w:rsidR="007B26DF" w:rsidRPr="00160362" w14:paraId="572A4BB2" w14:textId="77777777" w:rsidTr="00851EAB">
        <w:trPr>
          <w:trHeight w:val="84"/>
          <w:jc w:val="center"/>
        </w:trPr>
        <w:tc>
          <w:tcPr>
            <w:tcW w:w="3004" w:type="pct"/>
            <w:vAlign w:val="center"/>
          </w:tcPr>
          <w:p w14:paraId="79D40DEA" w14:textId="77777777" w:rsidR="007B26DF" w:rsidRPr="00160362" w:rsidRDefault="007B26DF" w:rsidP="007B26DF">
            <w:pPr>
              <w:widowControl w:val="0"/>
              <w:spacing w:before="0" w:after="0" w:line="240" w:lineRule="auto"/>
              <w:rPr>
                <w:rFonts w:ascii="Times New Roman" w:hAnsi="Times New Roman" w:cs="Times New Roman"/>
                <w:color w:val="000000"/>
                <w:sz w:val="22"/>
                <w:szCs w:val="22"/>
              </w:rPr>
            </w:pPr>
            <w:r w:rsidRPr="00160362">
              <w:rPr>
                <w:rFonts w:ascii="Times New Roman" w:hAnsi="Times New Roman" w:cs="Times New Roman"/>
                <w:color w:val="000000"/>
                <w:sz w:val="22"/>
                <w:szCs w:val="22"/>
              </w:rPr>
              <w:t>Лесная и деревообрабатывающая промышленность</w:t>
            </w:r>
          </w:p>
        </w:tc>
        <w:tc>
          <w:tcPr>
            <w:tcW w:w="998" w:type="pct"/>
            <w:vAlign w:val="bottom"/>
          </w:tcPr>
          <w:p w14:paraId="5726BC1F" w14:textId="024DDF57"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20,0</w:t>
            </w:r>
          </w:p>
        </w:tc>
        <w:tc>
          <w:tcPr>
            <w:tcW w:w="998" w:type="pct"/>
            <w:vAlign w:val="bottom"/>
          </w:tcPr>
          <w:p w14:paraId="040BE3AE" w14:textId="745E2A5E"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0,0</w:t>
            </w:r>
          </w:p>
        </w:tc>
      </w:tr>
      <w:tr w:rsidR="007B26DF" w:rsidRPr="00160362" w14:paraId="2E1FCD77" w14:textId="77777777" w:rsidTr="00851EAB">
        <w:trPr>
          <w:trHeight w:val="158"/>
          <w:jc w:val="center"/>
        </w:trPr>
        <w:tc>
          <w:tcPr>
            <w:tcW w:w="3004" w:type="pct"/>
            <w:vAlign w:val="center"/>
          </w:tcPr>
          <w:p w14:paraId="0CA6E26E" w14:textId="77777777" w:rsidR="007B26DF" w:rsidRPr="00160362" w:rsidRDefault="007B26DF" w:rsidP="007B26DF">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Промышленность строительных материалов</w:t>
            </w:r>
          </w:p>
        </w:tc>
        <w:tc>
          <w:tcPr>
            <w:tcW w:w="998" w:type="pct"/>
            <w:vAlign w:val="bottom"/>
          </w:tcPr>
          <w:p w14:paraId="7949459D" w14:textId="3142F731"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6,3</w:t>
            </w:r>
          </w:p>
        </w:tc>
        <w:tc>
          <w:tcPr>
            <w:tcW w:w="998" w:type="pct"/>
            <w:vAlign w:val="bottom"/>
          </w:tcPr>
          <w:p w14:paraId="0B0085F5" w14:textId="53E1AD17"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1,7</w:t>
            </w:r>
          </w:p>
        </w:tc>
      </w:tr>
      <w:tr w:rsidR="007B26DF" w:rsidRPr="00160362" w14:paraId="7854C3AC" w14:textId="77777777" w:rsidTr="00851EAB">
        <w:trPr>
          <w:trHeight w:val="240"/>
          <w:jc w:val="center"/>
        </w:trPr>
        <w:tc>
          <w:tcPr>
            <w:tcW w:w="3004" w:type="pct"/>
            <w:vAlign w:val="center"/>
          </w:tcPr>
          <w:p w14:paraId="151A1052" w14:textId="77777777" w:rsidR="007B26DF" w:rsidRPr="00160362" w:rsidRDefault="007B26DF" w:rsidP="007B26DF">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Лёгкая промышленность</w:t>
            </w:r>
          </w:p>
        </w:tc>
        <w:tc>
          <w:tcPr>
            <w:tcW w:w="998" w:type="pct"/>
            <w:vAlign w:val="bottom"/>
          </w:tcPr>
          <w:p w14:paraId="23F0D536" w14:textId="6987A5EF"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0,0</w:t>
            </w:r>
          </w:p>
        </w:tc>
        <w:tc>
          <w:tcPr>
            <w:tcW w:w="998" w:type="pct"/>
            <w:vAlign w:val="bottom"/>
          </w:tcPr>
          <w:p w14:paraId="69302DAA" w14:textId="54162FC0"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0,3</w:t>
            </w:r>
          </w:p>
        </w:tc>
      </w:tr>
      <w:tr w:rsidR="007B26DF" w:rsidRPr="00160362" w14:paraId="7C96B809" w14:textId="77777777" w:rsidTr="00851EAB">
        <w:trPr>
          <w:trHeight w:val="240"/>
          <w:jc w:val="center"/>
        </w:trPr>
        <w:tc>
          <w:tcPr>
            <w:tcW w:w="3004" w:type="pct"/>
            <w:vAlign w:val="center"/>
          </w:tcPr>
          <w:p w14:paraId="66E3936B" w14:textId="77777777" w:rsidR="007B26DF" w:rsidRPr="00160362" w:rsidRDefault="007B26DF" w:rsidP="007B26DF">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Пищевая промышленность</w:t>
            </w:r>
          </w:p>
        </w:tc>
        <w:tc>
          <w:tcPr>
            <w:tcW w:w="998" w:type="pct"/>
            <w:vAlign w:val="bottom"/>
          </w:tcPr>
          <w:p w14:paraId="439B6C7A" w14:textId="211378D6"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6,1</w:t>
            </w:r>
          </w:p>
        </w:tc>
        <w:tc>
          <w:tcPr>
            <w:tcW w:w="998" w:type="pct"/>
            <w:vAlign w:val="bottom"/>
          </w:tcPr>
          <w:p w14:paraId="3C9D60C8" w14:textId="0171E842"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6,4</w:t>
            </w:r>
          </w:p>
        </w:tc>
      </w:tr>
      <w:tr w:rsidR="007B26DF" w:rsidRPr="00160362" w14:paraId="5B0B62D6" w14:textId="77777777" w:rsidTr="00851EAB">
        <w:trPr>
          <w:trHeight w:val="132"/>
          <w:jc w:val="center"/>
        </w:trPr>
        <w:tc>
          <w:tcPr>
            <w:tcW w:w="3004" w:type="pct"/>
            <w:vAlign w:val="center"/>
          </w:tcPr>
          <w:p w14:paraId="3D1F3A3D" w14:textId="77777777" w:rsidR="007B26DF" w:rsidRPr="00160362" w:rsidRDefault="007B26DF" w:rsidP="007B26DF">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Полиграфическая промышленность</w:t>
            </w:r>
          </w:p>
        </w:tc>
        <w:tc>
          <w:tcPr>
            <w:tcW w:w="998" w:type="pct"/>
            <w:vAlign w:val="bottom"/>
          </w:tcPr>
          <w:p w14:paraId="720A117F" w14:textId="1FED0861"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0,3</w:t>
            </w:r>
          </w:p>
        </w:tc>
        <w:tc>
          <w:tcPr>
            <w:tcW w:w="998" w:type="pct"/>
            <w:vAlign w:val="bottom"/>
          </w:tcPr>
          <w:p w14:paraId="074E1F17" w14:textId="0B3BE910"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2,1</w:t>
            </w:r>
          </w:p>
        </w:tc>
      </w:tr>
      <w:tr w:rsidR="007B26DF" w:rsidRPr="00160362" w14:paraId="76AF4A12" w14:textId="77777777" w:rsidTr="00851EAB">
        <w:trPr>
          <w:trHeight w:val="62"/>
          <w:jc w:val="center"/>
        </w:trPr>
        <w:tc>
          <w:tcPr>
            <w:tcW w:w="3004" w:type="pct"/>
            <w:shd w:val="clear" w:color="auto" w:fill="E0E0E0"/>
            <w:vAlign w:val="center"/>
          </w:tcPr>
          <w:p w14:paraId="5EDB8F65" w14:textId="77777777" w:rsidR="007B26DF" w:rsidRPr="00160362" w:rsidRDefault="007B26DF" w:rsidP="007B26DF">
            <w:pPr>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t>Всего по промышленности</w:t>
            </w:r>
          </w:p>
        </w:tc>
        <w:tc>
          <w:tcPr>
            <w:tcW w:w="998" w:type="pct"/>
            <w:shd w:val="clear" w:color="auto" w:fill="E0E0E0"/>
            <w:vAlign w:val="bottom"/>
          </w:tcPr>
          <w:p w14:paraId="281905DC" w14:textId="12BA7EA7"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3,2</w:t>
            </w:r>
          </w:p>
        </w:tc>
        <w:tc>
          <w:tcPr>
            <w:tcW w:w="998" w:type="pct"/>
            <w:shd w:val="clear" w:color="auto" w:fill="E0E0E0"/>
            <w:vAlign w:val="bottom"/>
          </w:tcPr>
          <w:p w14:paraId="63029F8A" w14:textId="758B4BFC" w:rsidR="007B26DF" w:rsidRPr="001B3050" w:rsidRDefault="007B26DF" w:rsidP="007B26DF">
            <w:pPr>
              <w:spacing w:before="0" w:after="0" w:line="240" w:lineRule="auto"/>
              <w:ind w:right="680"/>
              <w:jc w:val="right"/>
              <w:rPr>
                <w:rFonts w:ascii="Times New Roman" w:hAnsi="Times New Roman" w:cs="Times New Roman"/>
                <w:color w:val="000000"/>
                <w:sz w:val="22"/>
                <w:szCs w:val="22"/>
              </w:rPr>
            </w:pPr>
            <w:r w:rsidRPr="001B3050">
              <w:rPr>
                <w:rFonts w:ascii="Times New Roman" w:hAnsi="Times New Roman" w:cs="Times New Roman"/>
                <w:color w:val="000000"/>
                <w:sz w:val="22"/>
                <w:szCs w:val="22"/>
              </w:rPr>
              <w:t>5,0</w:t>
            </w:r>
          </w:p>
        </w:tc>
      </w:tr>
    </w:tbl>
    <w:p w14:paraId="3DB985AE" w14:textId="77777777" w:rsidR="000601A7" w:rsidRPr="00160362" w:rsidRDefault="000601A7" w:rsidP="008A651D">
      <w:pPr>
        <w:widowControl w:val="0"/>
        <w:spacing w:before="0" w:after="0" w:line="240" w:lineRule="auto"/>
        <w:ind w:firstLine="425"/>
        <w:jc w:val="both"/>
        <w:outlineLvl w:val="0"/>
        <w:rPr>
          <w:rFonts w:ascii="Times New Roman" w:hAnsi="Times New Roman" w:cs="Times New Roman"/>
          <w:b/>
          <w:i/>
          <w:sz w:val="2"/>
          <w:szCs w:val="2"/>
        </w:rPr>
      </w:pPr>
    </w:p>
    <w:p w14:paraId="027E8C67" w14:textId="151E325B" w:rsidR="002B5F1D" w:rsidRPr="00160362" w:rsidRDefault="007B26DF" w:rsidP="00594F92">
      <w:pPr>
        <w:widowControl w:val="0"/>
        <w:spacing w:before="120" w:after="0" w:line="240" w:lineRule="auto"/>
        <w:ind w:firstLine="425"/>
        <w:jc w:val="both"/>
        <w:outlineLvl w:val="0"/>
        <w:rPr>
          <w:rFonts w:ascii="Times New Roman" w:hAnsi="Times New Roman" w:cs="Times New Roman"/>
          <w:sz w:val="24"/>
          <w:szCs w:val="24"/>
        </w:rPr>
      </w:pPr>
      <w:r w:rsidRPr="00160362">
        <w:rPr>
          <w:rFonts w:ascii="Times New Roman" w:hAnsi="Times New Roman" w:cs="Times New Roman"/>
          <w:sz w:val="24"/>
          <w:szCs w:val="24"/>
        </w:rPr>
        <w:t xml:space="preserve">Увеличение внутренних цен отмечалось на продукцию большинства отраслей промышленности. Базис повышательной динамики, ввиду удорожания обмоточных проводов (+17,9%), был сформирован в электротехнической отрасли (+13,5%). Существенным ростом отпускных цен также характеризовались товары пищевой промышленности (+6,4%), </w:t>
      </w:r>
      <w:r w:rsidRPr="00433BAA">
        <w:rPr>
          <w:rFonts w:ascii="Times New Roman" w:hAnsi="Times New Roman" w:cs="Times New Roman"/>
          <w:sz w:val="24"/>
          <w:szCs w:val="24"/>
        </w:rPr>
        <w:t xml:space="preserve">что было связано с увеличением стоимости молока и хлебобулочных изделий. </w:t>
      </w:r>
      <w:r w:rsidR="00F001D9">
        <w:rPr>
          <w:rFonts w:ascii="Times New Roman" w:hAnsi="Times New Roman" w:cs="Times New Roman"/>
          <w:sz w:val="24"/>
          <w:szCs w:val="24"/>
        </w:rPr>
        <w:t>Изменение ценовой конъюнктуры</w:t>
      </w:r>
      <w:r w:rsidRPr="00433BAA">
        <w:rPr>
          <w:rFonts w:ascii="Times New Roman" w:hAnsi="Times New Roman" w:cs="Times New Roman"/>
          <w:sz w:val="24"/>
          <w:szCs w:val="24"/>
        </w:rPr>
        <w:t xml:space="preserve"> на мировом рынке </w:t>
      </w:r>
      <w:r w:rsidR="00F001D9">
        <w:rPr>
          <w:rFonts w:ascii="Times New Roman" w:hAnsi="Times New Roman" w:cs="Times New Roman"/>
          <w:sz w:val="24"/>
          <w:szCs w:val="24"/>
        </w:rPr>
        <w:t xml:space="preserve">металлов </w:t>
      </w:r>
      <w:r w:rsidRPr="00433BAA">
        <w:rPr>
          <w:rFonts w:ascii="Times New Roman" w:hAnsi="Times New Roman" w:cs="Times New Roman"/>
          <w:sz w:val="24"/>
          <w:szCs w:val="24"/>
        </w:rPr>
        <w:t>определил</w:t>
      </w:r>
      <w:r w:rsidR="00F001D9">
        <w:rPr>
          <w:rFonts w:ascii="Times New Roman" w:hAnsi="Times New Roman" w:cs="Times New Roman"/>
          <w:sz w:val="24"/>
          <w:szCs w:val="24"/>
        </w:rPr>
        <w:t>о</w:t>
      </w:r>
      <w:r w:rsidRPr="00433BAA">
        <w:rPr>
          <w:rFonts w:ascii="Times New Roman" w:hAnsi="Times New Roman" w:cs="Times New Roman"/>
          <w:sz w:val="24"/>
          <w:szCs w:val="24"/>
        </w:rPr>
        <w:t xml:space="preserve"> удорожание </w:t>
      </w:r>
      <w:r w:rsidR="00594F92" w:rsidRPr="00433BAA">
        <w:rPr>
          <w:rFonts w:ascii="Times New Roman" w:hAnsi="Times New Roman" w:cs="Times New Roman"/>
          <w:sz w:val="24"/>
          <w:szCs w:val="24"/>
        </w:rPr>
        <w:t>продукции</w:t>
      </w:r>
      <w:r w:rsidRPr="00433BAA">
        <w:rPr>
          <w:rFonts w:ascii="Times New Roman" w:hAnsi="Times New Roman" w:cs="Times New Roman"/>
          <w:sz w:val="24"/>
          <w:szCs w:val="24"/>
        </w:rPr>
        <w:t xml:space="preserve"> чёрной металлургии </w:t>
      </w:r>
      <w:r w:rsidR="00433BAA" w:rsidRPr="00433BAA">
        <w:rPr>
          <w:rFonts w:ascii="Times New Roman" w:hAnsi="Times New Roman" w:cs="Times New Roman"/>
          <w:sz w:val="24"/>
          <w:szCs w:val="24"/>
        </w:rPr>
        <w:t xml:space="preserve">на внутреннем рынке </w:t>
      </w:r>
      <w:r w:rsidRPr="00433BAA">
        <w:rPr>
          <w:rFonts w:ascii="Times New Roman" w:hAnsi="Times New Roman" w:cs="Times New Roman"/>
          <w:sz w:val="24"/>
          <w:szCs w:val="24"/>
        </w:rPr>
        <w:t>(+2,6%).</w:t>
      </w:r>
      <w:r w:rsidR="00942404" w:rsidRPr="00433BAA">
        <w:rPr>
          <w:rFonts w:ascii="Times New Roman" w:hAnsi="Times New Roman" w:cs="Times New Roman"/>
          <w:sz w:val="24"/>
          <w:szCs w:val="24"/>
        </w:rPr>
        <w:t xml:space="preserve"> </w:t>
      </w:r>
      <w:r w:rsidRPr="00433BAA">
        <w:rPr>
          <w:rFonts w:ascii="Times New Roman" w:hAnsi="Times New Roman" w:cs="Times New Roman"/>
          <w:sz w:val="24"/>
          <w:szCs w:val="24"/>
        </w:rPr>
        <w:t>Пересмотр отпускных цен в большую сторону</w:t>
      </w:r>
      <w:r w:rsidRPr="00160362">
        <w:rPr>
          <w:rFonts w:ascii="Times New Roman" w:hAnsi="Times New Roman" w:cs="Times New Roman"/>
          <w:sz w:val="24"/>
          <w:szCs w:val="24"/>
        </w:rPr>
        <w:t xml:space="preserve"> также был зафиксирован в электроэнергетике (+4,3%), полиграфической (+2,1%), машиностроительной (+1,4%) и лёгкой (+0,3%) промышленностях. Рост цен на строительные материалы сложился на уровне +1,7%, что в значительной степени определялось увеличением стоимости кирпича (+5,9%).</w:t>
      </w:r>
      <w:r w:rsidR="00594F92">
        <w:rPr>
          <w:rFonts w:ascii="Times New Roman" w:hAnsi="Times New Roman" w:cs="Times New Roman"/>
          <w:sz w:val="24"/>
          <w:szCs w:val="24"/>
        </w:rPr>
        <w:t xml:space="preserve"> </w:t>
      </w:r>
      <w:r w:rsidRPr="00160362">
        <w:rPr>
          <w:rFonts w:ascii="Times New Roman" w:hAnsi="Times New Roman" w:cs="Times New Roman"/>
          <w:sz w:val="24"/>
          <w:szCs w:val="24"/>
        </w:rPr>
        <w:t>В лесной и деревообрабатывающей промышленности уровень отпускных цен по итогам года не изменился.</w:t>
      </w:r>
    </w:p>
    <w:p w14:paraId="09D91E93" w14:textId="77777777" w:rsidR="007B26DF" w:rsidRPr="00160362" w:rsidRDefault="007B26DF" w:rsidP="007B26DF">
      <w:pPr>
        <w:widowControl w:val="0"/>
        <w:spacing w:before="0" w:after="0" w:line="240" w:lineRule="auto"/>
        <w:ind w:firstLine="425"/>
        <w:jc w:val="both"/>
        <w:outlineLvl w:val="0"/>
        <w:rPr>
          <w:rFonts w:ascii="Times New Roman" w:hAnsi="Times New Roman" w:cs="Times New Roman"/>
          <w:b/>
          <w:i/>
          <w:sz w:val="24"/>
          <w:szCs w:val="24"/>
        </w:rPr>
      </w:pPr>
    </w:p>
    <w:p w14:paraId="4BDD057D" w14:textId="77777777" w:rsidR="00083ECC" w:rsidRPr="00160362" w:rsidRDefault="00083ECC" w:rsidP="00822F2A">
      <w:pPr>
        <w:pStyle w:val="2"/>
        <w:spacing w:before="0"/>
        <w:jc w:val="center"/>
        <w:rPr>
          <w:b/>
          <w:noProof/>
        </w:rPr>
      </w:pPr>
      <w:r w:rsidRPr="00160362">
        <w:rPr>
          <w:b/>
          <w:noProof/>
        </w:rPr>
        <w:t>Социальная сфера</w:t>
      </w:r>
    </w:p>
    <w:p w14:paraId="48110504" w14:textId="77777777" w:rsidR="005F4E3E" w:rsidRPr="00160362" w:rsidRDefault="005F4E3E" w:rsidP="005F4E3E">
      <w:pPr>
        <w:widowControl w:val="0"/>
        <w:shd w:val="clear" w:color="auto" w:fill="FDFEFF"/>
        <w:spacing w:before="0" w:after="0" w:line="240" w:lineRule="auto"/>
        <w:ind w:firstLine="425"/>
        <w:jc w:val="both"/>
        <w:rPr>
          <w:rFonts w:ascii="Times New Roman" w:hAnsi="Times New Roman" w:cs="Times New Roman"/>
          <w:color w:val="000000"/>
          <w:sz w:val="16"/>
          <w:szCs w:val="16"/>
        </w:rPr>
      </w:pPr>
    </w:p>
    <w:p w14:paraId="225F7707" w14:textId="77777777" w:rsidR="00AE5514" w:rsidRPr="00AE5514" w:rsidRDefault="00AE5514" w:rsidP="00AE5514">
      <w:pPr>
        <w:widowControl w:val="0"/>
        <w:shd w:val="clear" w:color="auto" w:fill="FDFEFF"/>
        <w:spacing w:before="0" w:after="0" w:line="240" w:lineRule="auto"/>
        <w:ind w:firstLine="425"/>
        <w:jc w:val="both"/>
        <w:rPr>
          <w:rFonts w:ascii="Times New Roman" w:hAnsi="Times New Roman" w:cs="Times New Roman"/>
          <w:sz w:val="24"/>
          <w:szCs w:val="22"/>
        </w:rPr>
      </w:pPr>
      <w:r w:rsidRPr="00AE5514">
        <w:rPr>
          <w:rFonts w:ascii="Times New Roman" w:hAnsi="Times New Roman" w:cs="Times New Roman"/>
          <w:sz w:val="24"/>
          <w:szCs w:val="22"/>
        </w:rPr>
        <w:t xml:space="preserve">Несмотря на сложную экономическую ситуацию, предпринятые меры по поддержке граждан и бизнеса не позволили снизить уровень жизни населения. Так, среднемесячная заработная плата одного работника (без силовых структур и таможенных органов) за 2020 год составила 4 858,0 руб., что в номинальном выражении на 5,4% выше базисного значения, а с учётом индекса-дефлятора – на 2,3%. На фоне более умеренного роста прожиточного минимума трудоспособного населения (+1,5%, до 1 655,7 руб.) покупательная способность заработной платы выросла и сложилась на уровне 2,93 расчётной величины против 2,82 годом ранее. </w:t>
      </w:r>
    </w:p>
    <w:p w14:paraId="43661851" w14:textId="0BBD710B" w:rsidR="00AE5514" w:rsidRPr="00AE5514" w:rsidRDefault="00AE5514" w:rsidP="00AE5514">
      <w:pPr>
        <w:widowControl w:val="0"/>
        <w:shd w:val="clear" w:color="auto" w:fill="FDFEFF"/>
        <w:spacing w:before="0" w:after="0" w:line="240" w:lineRule="auto"/>
        <w:ind w:firstLine="425"/>
        <w:jc w:val="both"/>
        <w:rPr>
          <w:rFonts w:ascii="Times New Roman" w:hAnsi="Times New Roman" w:cs="Times New Roman"/>
          <w:sz w:val="24"/>
          <w:szCs w:val="22"/>
        </w:rPr>
      </w:pPr>
      <w:r w:rsidRPr="00AE5514">
        <w:rPr>
          <w:rFonts w:ascii="Times New Roman" w:hAnsi="Times New Roman" w:cs="Times New Roman"/>
          <w:sz w:val="24"/>
          <w:szCs w:val="22"/>
        </w:rPr>
        <w:t xml:space="preserve">Оплата труда работающих на крупных предприятиях в среднем составила 4 962,0 руб., увеличившись на 5,4%. В секторе материального производства её величина сложилась на уровне 5 840,0 руб. (+2,3%), в непроизводственной сфере – 4 055,0 руб. (+10,0%), в том числе в бюджетном секторе – 3 515,0 </w:t>
      </w:r>
      <w:r w:rsidR="00C379B4">
        <w:rPr>
          <w:rFonts w:ascii="Times New Roman" w:hAnsi="Times New Roman" w:cs="Times New Roman"/>
          <w:sz w:val="24"/>
          <w:szCs w:val="22"/>
        </w:rPr>
        <w:t>руб. (+10,5%). Динамика последней</w:t>
      </w:r>
      <w:r w:rsidRPr="00AE5514">
        <w:rPr>
          <w:rFonts w:ascii="Times New Roman" w:hAnsi="Times New Roman" w:cs="Times New Roman"/>
          <w:sz w:val="24"/>
          <w:szCs w:val="22"/>
        </w:rPr>
        <w:t xml:space="preserve"> была обеспечена, в частности, ростом</w:t>
      </w:r>
      <w:r w:rsidRPr="00AE5514">
        <w:rPr>
          <w:rFonts w:ascii="Times New Roman" w:hAnsi="Times New Roman" w:cs="Times New Roman"/>
          <w:color w:val="000000"/>
          <w:sz w:val="24"/>
          <w:szCs w:val="22"/>
        </w:rPr>
        <w:t xml:space="preserve"> практически на четверть уровня заработной платы медицинского персонала ввиду установления надбавок работникам здравоохранения в период пандемии коронавирусной инфекции.</w:t>
      </w:r>
    </w:p>
    <w:p w14:paraId="5A80100C" w14:textId="72CAC842" w:rsidR="00AE5514" w:rsidRPr="00AE5514" w:rsidRDefault="00AE5514" w:rsidP="00AE5514">
      <w:pPr>
        <w:autoSpaceDE w:val="0"/>
        <w:autoSpaceDN w:val="0"/>
        <w:adjustRightInd w:val="0"/>
        <w:spacing w:before="0" w:after="0" w:line="240" w:lineRule="auto"/>
        <w:ind w:firstLine="425"/>
        <w:jc w:val="both"/>
        <w:rPr>
          <w:rFonts w:ascii="Times New Roman" w:hAnsi="Times New Roman" w:cs="Times New Roman"/>
          <w:color w:val="000000"/>
          <w:sz w:val="24"/>
          <w:szCs w:val="22"/>
        </w:rPr>
      </w:pPr>
      <w:r w:rsidRPr="00AE5514">
        <w:rPr>
          <w:rFonts w:ascii="Times New Roman" w:hAnsi="Times New Roman" w:cs="Times New Roman"/>
          <w:sz w:val="24"/>
          <w:szCs w:val="22"/>
        </w:rPr>
        <w:t>Задолженность по выплате заработной платы в бюджетном секторе на конец 2020 года отсутствовала, в то время как в других сферах экономики</w:t>
      </w:r>
      <w:r w:rsidRPr="00AE5514">
        <w:rPr>
          <w:rStyle w:val="ae"/>
          <w:rFonts w:ascii="Times New Roman" w:hAnsi="Times New Roman"/>
          <w:color w:val="000000"/>
          <w:sz w:val="24"/>
          <w:szCs w:val="22"/>
        </w:rPr>
        <w:footnoteReference w:id="9"/>
      </w:r>
      <w:r w:rsidRPr="00AE5514">
        <w:rPr>
          <w:rFonts w:ascii="Times New Roman" w:hAnsi="Times New Roman" w:cs="Times New Roman"/>
          <w:sz w:val="24"/>
          <w:szCs w:val="22"/>
        </w:rPr>
        <w:t xml:space="preserve"> она осталась непогашенной в пре</w:t>
      </w:r>
      <w:r w:rsidR="00F436D5">
        <w:rPr>
          <w:rFonts w:ascii="Times New Roman" w:hAnsi="Times New Roman" w:cs="Times New Roman"/>
          <w:sz w:val="24"/>
          <w:szCs w:val="22"/>
        </w:rPr>
        <w:t>делах 21,1 млн руб</w:t>
      </w:r>
      <w:r w:rsidRPr="00AE5514">
        <w:rPr>
          <w:rFonts w:ascii="Times New Roman" w:hAnsi="Times New Roman" w:cs="Times New Roman"/>
          <w:sz w:val="24"/>
          <w:szCs w:val="22"/>
        </w:rPr>
        <w:t xml:space="preserve">. </w:t>
      </w:r>
      <w:r w:rsidRPr="00AE5514">
        <w:rPr>
          <w:rFonts w:ascii="Times New Roman" w:hAnsi="Times New Roman" w:cs="Times New Roman"/>
          <w:color w:val="000000"/>
          <w:sz w:val="24"/>
          <w:szCs w:val="22"/>
        </w:rPr>
        <w:t xml:space="preserve">Практически 90% данной суммы составляют обязательства перед работниками предприятий промышленности, порядка 8% – автомобильного транспорта. Совокупная задолженность сложилась на отметке 5,1% среднемесячного фонда оплаты труда. Не допустить более существенного накопления задолженности позволили совместные меры государства и банков по обеспечению возможности льготного кредитования организаций на цели выплаты заработной платы в период действия чрезвычайного положения в республике.  </w:t>
      </w:r>
    </w:p>
    <w:p w14:paraId="7DF489FA" w14:textId="6C1F7C09" w:rsidR="00AE5514" w:rsidRPr="00AE5514" w:rsidRDefault="00AE5514" w:rsidP="00AE5514">
      <w:pPr>
        <w:shd w:val="clear" w:color="auto" w:fill="FDFEFF"/>
        <w:spacing w:before="0" w:after="0" w:line="240" w:lineRule="auto"/>
        <w:ind w:firstLine="425"/>
        <w:jc w:val="both"/>
        <w:rPr>
          <w:rFonts w:ascii="Times New Roman" w:hAnsi="Times New Roman" w:cs="Times New Roman"/>
          <w:color w:val="000000"/>
          <w:sz w:val="24"/>
          <w:szCs w:val="22"/>
        </w:rPr>
      </w:pPr>
      <w:r w:rsidRPr="00AE5514">
        <w:rPr>
          <w:rFonts w:ascii="Times New Roman" w:hAnsi="Times New Roman" w:cs="Times New Roman"/>
          <w:color w:val="000000"/>
          <w:sz w:val="24"/>
          <w:szCs w:val="22"/>
        </w:rPr>
        <w:lastRenderedPageBreak/>
        <w:t>Численность работников списочного состава организаций во всех отраслях экономики</w:t>
      </w:r>
      <w:r w:rsidRPr="00AE5514">
        <w:rPr>
          <w:rFonts w:ascii="Times New Roman" w:hAnsi="Times New Roman" w:cs="Times New Roman"/>
          <w:color w:val="000000"/>
          <w:sz w:val="24"/>
          <w:szCs w:val="22"/>
          <w:vertAlign w:val="superscript"/>
        </w:rPr>
        <w:t>1</w:t>
      </w:r>
      <w:r w:rsidR="000905A1">
        <w:rPr>
          <w:rFonts w:ascii="Times New Roman" w:hAnsi="Times New Roman" w:cs="Times New Roman"/>
          <w:color w:val="000000"/>
          <w:sz w:val="24"/>
          <w:szCs w:val="22"/>
          <w:vertAlign w:val="superscript"/>
        </w:rPr>
        <w:t>0</w:t>
      </w:r>
      <w:r w:rsidRPr="00AE5514">
        <w:rPr>
          <w:rFonts w:ascii="Times New Roman" w:hAnsi="Times New Roman" w:cs="Times New Roman"/>
          <w:color w:val="000000"/>
          <w:sz w:val="24"/>
          <w:szCs w:val="22"/>
        </w:rPr>
        <w:t xml:space="preserve"> на 1 января 2021 года составила 93,0 тыс. человек и по сравнению с началом 2020 года уменьшилась на 0,7%. </w:t>
      </w:r>
    </w:p>
    <w:p w14:paraId="295E320F" w14:textId="32383DC8" w:rsidR="00AE5514" w:rsidRPr="00AE5514" w:rsidRDefault="00AE5514" w:rsidP="00AE5514">
      <w:pPr>
        <w:spacing w:before="0" w:after="0" w:line="240" w:lineRule="auto"/>
        <w:ind w:firstLine="425"/>
        <w:jc w:val="both"/>
        <w:rPr>
          <w:rFonts w:ascii="Times New Roman" w:hAnsi="Times New Roman" w:cs="Times New Roman"/>
          <w:color w:val="000000"/>
          <w:sz w:val="24"/>
          <w:szCs w:val="22"/>
        </w:rPr>
      </w:pPr>
      <w:r w:rsidRPr="00AE5514">
        <w:rPr>
          <w:rFonts w:ascii="Times New Roman" w:hAnsi="Times New Roman" w:cs="Times New Roman"/>
          <w:color w:val="000000"/>
          <w:sz w:val="24"/>
          <w:szCs w:val="22"/>
        </w:rPr>
        <w:t xml:space="preserve">С рядом проблем, связанных с падением спроса и выручки, необходимостью приостановки деятельности из-за ограничительных мер, столкнулись индивидуальные предприниматели. Наиболее пострадавшими от введения карантинных ограничений стали сферы услуг, торговли и общепита. С целью поддержки предпринимателей, деятельность которых была приостановлена в период чрезвычайного положения, </w:t>
      </w:r>
      <w:r w:rsidR="00C379B4">
        <w:rPr>
          <w:rFonts w:ascii="Times New Roman" w:hAnsi="Times New Roman" w:cs="Times New Roman"/>
          <w:color w:val="000000"/>
          <w:sz w:val="24"/>
          <w:szCs w:val="22"/>
        </w:rPr>
        <w:t>государством</w:t>
      </w:r>
      <w:r w:rsidRPr="00AE5514">
        <w:rPr>
          <w:rFonts w:ascii="Times New Roman" w:hAnsi="Times New Roman" w:cs="Times New Roman"/>
          <w:color w:val="000000"/>
          <w:sz w:val="24"/>
          <w:szCs w:val="22"/>
        </w:rPr>
        <w:t xml:space="preserve"> была оказана помощь в виде выплат пособий по временной безработице (в случае отсутствия иных источников дохода). Размер пособия рассчитывался исходя из суммы 1 647 рублей за полный месяц простоя.</w:t>
      </w:r>
    </w:p>
    <w:p w14:paraId="1DB33534" w14:textId="22B99356" w:rsidR="00AE5514" w:rsidRPr="00AE5514" w:rsidRDefault="00AE5514" w:rsidP="00AE5514">
      <w:pPr>
        <w:shd w:val="clear" w:color="auto" w:fill="FDFEFF"/>
        <w:spacing w:before="0" w:after="0" w:line="240" w:lineRule="auto"/>
        <w:ind w:firstLine="425"/>
        <w:jc w:val="both"/>
        <w:rPr>
          <w:rFonts w:ascii="Times New Roman" w:eastAsia="Calibri" w:hAnsi="Times New Roman" w:cs="Times New Roman"/>
          <w:sz w:val="24"/>
          <w:szCs w:val="22"/>
        </w:rPr>
      </w:pPr>
      <w:r w:rsidRPr="00AE5514">
        <w:rPr>
          <w:rFonts w:ascii="Times New Roman" w:hAnsi="Times New Roman" w:cs="Times New Roman"/>
          <w:color w:val="000000"/>
          <w:sz w:val="24"/>
          <w:szCs w:val="22"/>
        </w:rPr>
        <w:t xml:space="preserve">Число граждан, зарегистрированных в органах социального страхования как не занятые трудовой деятельностью, возросло по отношению к показателю на 1 января 2020 года на 9,6%, до 3 339 человек. В совокупности с падением количества вакансий в кризисный период </w:t>
      </w:r>
      <w:r w:rsidR="00F36512">
        <w:rPr>
          <w:rFonts w:ascii="Times New Roman" w:hAnsi="Times New Roman" w:cs="Times New Roman"/>
          <w:color w:val="000000"/>
          <w:sz w:val="24"/>
          <w:szCs w:val="22"/>
        </w:rPr>
        <w:br/>
      </w:r>
      <w:r w:rsidRPr="00AE5514">
        <w:rPr>
          <w:rFonts w:ascii="Times New Roman" w:eastAsia="Calibri" w:hAnsi="Times New Roman" w:cs="Times New Roman"/>
          <w:sz w:val="24"/>
          <w:szCs w:val="22"/>
        </w:rPr>
        <w:t>(с 2 814 человек до 2 143) это</w:t>
      </w:r>
      <w:r w:rsidRPr="00AE5514">
        <w:rPr>
          <w:rFonts w:ascii="Times New Roman" w:hAnsi="Times New Roman" w:cs="Times New Roman"/>
          <w:color w:val="000000"/>
          <w:sz w:val="24"/>
          <w:szCs w:val="22"/>
        </w:rPr>
        <w:t xml:space="preserve"> </w:t>
      </w:r>
      <w:r w:rsidRPr="00AE5514">
        <w:rPr>
          <w:rFonts w:ascii="Times New Roman" w:eastAsia="Calibri" w:hAnsi="Times New Roman" w:cs="Times New Roman"/>
          <w:sz w:val="24"/>
          <w:szCs w:val="22"/>
        </w:rPr>
        <w:t>выразилось в росте коэффициента напряжённости</w:t>
      </w:r>
      <w:r w:rsidRPr="00AE5514">
        <w:rPr>
          <w:rFonts w:ascii="Times New Roman" w:eastAsia="Calibri" w:hAnsi="Times New Roman" w:cs="Times New Roman"/>
          <w:sz w:val="24"/>
          <w:szCs w:val="22"/>
          <w:vertAlign w:val="superscript"/>
        </w:rPr>
        <w:footnoteReference w:id="10"/>
      </w:r>
      <w:r w:rsidRPr="00AE5514">
        <w:rPr>
          <w:rFonts w:ascii="Times New Roman" w:eastAsia="Calibri" w:hAnsi="Times New Roman" w:cs="Times New Roman"/>
          <w:sz w:val="24"/>
          <w:szCs w:val="22"/>
        </w:rPr>
        <w:t xml:space="preserve"> с 1,08 до 1,56</w:t>
      </w:r>
      <w:r w:rsidRPr="00AE5514">
        <w:rPr>
          <w:rFonts w:ascii="Times New Roman" w:hAnsi="Times New Roman" w:cs="Times New Roman"/>
          <w:sz w:val="24"/>
          <w:szCs w:val="22"/>
        </w:rPr>
        <w:t xml:space="preserve">. </w:t>
      </w:r>
      <w:r w:rsidRPr="00AE5514">
        <w:rPr>
          <w:rFonts w:ascii="Times New Roman" w:eastAsia="Calibri" w:hAnsi="Times New Roman" w:cs="Times New Roman"/>
          <w:spacing w:val="-4"/>
          <w:sz w:val="24"/>
          <w:szCs w:val="22"/>
        </w:rPr>
        <w:t>С</w:t>
      </w:r>
      <w:r w:rsidRPr="00AE5514">
        <w:rPr>
          <w:rFonts w:ascii="Times New Roman" w:eastAsia="Calibri" w:hAnsi="Times New Roman" w:cs="Times New Roman"/>
          <w:sz w:val="24"/>
          <w:szCs w:val="22"/>
        </w:rPr>
        <w:t>редний размер пособия по безработице составил 415,3 руб., или 27,0% от величины прожиточного минимума в среднем на душу населения.</w:t>
      </w:r>
    </w:p>
    <w:p w14:paraId="7F0CD7DD" w14:textId="72375F3B" w:rsidR="00AE5514" w:rsidRDefault="00AE5514" w:rsidP="00AE5514">
      <w:pPr>
        <w:widowControl w:val="0"/>
        <w:spacing w:before="0" w:after="0" w:line="240" w:lineRule="auto"/>
        <w:ind w:firstLine="425"/>
        <w:jc w:val="both"/>
        <w:rPr>
          <w:rFonts w:ascii="Times New Roman" w:eastAsia="Calibri" w:hAnsi="Times New Roman" w:cs="Times New Roman"/>
          <w:sz w:val="24"/>
          <w:szCs w:val="24"/>
        </w:rPr>
      </w:pPr>
      <w:r w:rsidRPr="00AE5514">
        <w:rPr>
          <w:rFonts w:ascii="Times New Roman" w:eastAsia="Calibri" w:hAnsi="Times New Roman" w:cs="Times New Roman"/>
          <w:sz w:val="24"/>
          <w:szCs w:val="24"/>
        </w:rPr>
        <w:t>Средний размер назначенных пенсий</w:t>
      </w:r>
      <w:r w:rsidRPr="00AE5514">
        <w:rPr>
          <w:rStyle w:val="ae"/>
          <w:rFonts w:ascii="Times New Roman" w:hAnsi="Times New Roman"/>
          <w:color w:val="000000"/>
          <w:sz w:val="24"/>
          <w:szCs w:val="24"/>
        </w:rPr>
        <w:footnoteReference w:id="11"/>
      </w:r>
      <w:r w:rsidRPr="00AE5514">
        <w:rPr>
          <w:rFonts w:ascii="Times New Roman" w:hAnsi="Times New Roman" w:cs="Times New Roman"/>
          <w:sz w:val="24"/>
          <w:szCs w:val="24"/>
        </w:rPr>
        <w:t xml:space="preserve"> </w:t>
      </w:r>
      <w:r w:rsidRPr="00AE5514">
        <w:rPr>
          <w:rFonts w:ascii="Times New Roman" w:hAnsi="Times New Roman" w:cs="Times New Roman"/>
          <w:color w:val="000000"/>
          <w:sz w:val="24"/>
          <w:szCs w:val="24"/>
        </w:rPr>
        <w:t>по итогам 2020 года составил 1 383,3 руб.,</w:t>
      </w:r>
      <w:r w:rsidRPr="00AE5514">
        <w:rPr>
          <w:rFonts w:ascii="Times New Roman" w:hAnsi="Times New Roman" w:cs="Times New Roman"/>
          <w:color w:val="000000"/>
          <w:sz w:val="24"/>
          <w:szCs w:val="24"/>
        </w:rPr>
        <w:br/>
        <w:t>трудовых – 1 410,3 руб. Совокупный объём пенсий с надбавками, повышениями, дополнительными выплатами сложился на уровне 1 597,3 млн руб. Дополнительно уровень материального обеспечения пенсионеров поддерживался выплатами из средств гуманитарной помощи Российской Федерации (150 руб. в месяц), что позволило увеличить получаемую пенсионером сумму в среднем до 1 540 руб. в месяц и покрыть 1,18 набора минимальных необходимых благ (прожиточного минимума пенсионера).</w:t>
      </w:r>
      <w:r w:rsidRPr="00AE5514">
        <w:rPr>
          <w:rFonts w:ascii="Times New Roman" w:eastAsia="Calibri" w:hAnsi="Times New Roman" w:cs="Times New Roman"/>
          <w:sz w:val="24"/>
          <w:szCs w:val="24"/>
        </w:rPr>
        <w:t xml:space="preserve"> </w:t>
      </w:r>
    </w:p>
    <w:p w14:paraId="72A5AF9F" w14:textId="29E4EBFA" w:rsidR="00CB007F" w:rsidRPr="00160362" w:rsidRDefault="00D831B0" w:rsidP="00CB007F">
      <w:pPr>
        <w:widowControl w:val="0"/>
        <w:spacing w:before="0" w:after="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Кризисная ситуация </w:t>
      </w:r>
      <w:r w:rsidR="004524C6">
        <w:rPr>
          <w:rFonts w:ascii="Times New Roman" w:hAnsi="Times New Roman" w:cs="Times New Roman"/>
          <w:color w:val="000000"/>
          <w:sz w:val="24"/>
          <w:szCs w:val="24"/>
        </w:rPr>
        <w:t xml:space="preserve">в экономике, неопределённость периода окончания пандемии и возврата к прежним условиям жизни </w:t>
      </w:r>
      <w:r>
        <w:rPr>
          <w:rFonts w:ascii="Times New Roman" w:hAnsi="Times New Roman" w:cs="Times New Roman"/>
          <w:color w:val="000000"/>
          <w:sz w:val="24"/>
          <w:szCs w:val="24"/>
        </w:rPr>
        <w:t>обусловил</w:t>
      </w:r>
      <w:r w:rsidR="004524C6">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сокращение п</w:t>
      </w:r>
      <w:r w:rsidR="00CB007F" w:rsidRPr="00160362">
        <w:rPr>
          <w:rFonts w:ascii="Times New Roman" w:hAnsi="Times New Roman" w:cs="Times New Roman"/>
          <w:color w:val="000000"/>
          <w:sz w:val="24"/>
          <w:szCs w:val="24"/>
        </w:rPr>
        <w:t>отребительск</w:t>
      </w:r>
      <w:r>
        <w:rPr>
          <w:rFonts w:ascii="Times New Roman" w:hAnsi="Times New Roman" w:cs="Times New Roman"/>
          <w:color w:val="000000"/>
          <w:sz w:val="24"/>
          <w:szCs w:val="24"/>
        </w:rPr>
        <w:t>ого</w:t>
      </w:r>
      <w:r w:rsidR="00CB007F" w:rsidRPr="00160362">
        <w:rPr>
          <w:rFonts w:ascii="Times New Roman" w:hAnsi="Times New Roman" w:cs="Times New Roman"/>
          <w:color w:val="000000"/>
          <w:sz w:val="24"/>
          <w:szCs w:val="24"/>
        </w:rPr>
        <w:t xml:space="preserve"> спрос</w:t>
      </w:r>
      <w:r>
        <w:rPr>
          <w:rFonts w:ascii="Times New Roman" w:hAnsi="Times New Roman" w:cs="Times New Roman"/>
          <w:color w:val="000000"/>
          <w:sz w:val="24"/>
          <w:szCs w:val="24"/>
        </w:rPr>
        <w:t>а и переход к сберегательной модели поведения</w:t>
      </w:r>
      <w:r w:rsidR="00CB007F" w:rsidRPr="00160362">
        <w:rPr>
          <w:rFonts w:ascii="Times New Roman" w:hAnsi="Times New Roman" w:cs="Times New Roman"/>
          <w:color w:val="000000"/>
          <w:sz w:val="24"/>
          <w:szCs w:val="24"/>
        </w:rPr>
        <w:t xml:space="preserve">. На приобретение товаров на территории республики гражданами было потрачено 7 897,4 млн руб., что на 2,3% меньше, чем в </w:t>
      </w:r>
      <w:r w:rsidR="000F3426">
        <w:rPr>
          <w:rFonts w:ascii="Times New Roman" w:hAnsi="Times New Roman" w:cs="Times New Roman"/>
          <w:color w:val="000000"/>
          <w:sz w:val="24"/>
          <w:szCs w:val="24"/>
        </w:rPr>
        <w:br/>
      </w:r>
      <w:r w:rsidR="00CB007F" w:rsidRPr="00160362">
        <w:rPr>
          <w:rFonts w:ascii="Times New Roman" w:hAnsi="Times New Roman" w:cs="Times New Roman"/>
          <w:color w:val="000000"/>
          <w:sz w:val="24"/>
          <w:szCs w:val="24"/>
        </w:rPr>
        <w:t xml:space="preserve">2019 году. На оплату услуг населением республики было израсходовано 2 103,0 млн руб., что на 11,9% меньше, чем годом ранее. </w:t>
      </w:r>
    </w:p>
    <w:p w14:paraId="5640390E" w14:textId="77777777" w:rsidR="00ED165B" w:rsidRDefault="00ED165B" w:rsidP="00293C22">
      <w:pPr>
        <w:pStyle w:val="a7"/>
        <w:tabs>
          <w:tab w:val="left" w:pos="900"/>
        </w:tabs>
        <w:spacing w:before="0" w:after="0" w:line="240" w:lineRule="auto"/>
        <w:jc w:val="both"/>
        <w:rPr>
          <w:rFonts w:ascii="Times New Roman" w:hAnsi="Times New Roman" w:cs="Times New Roman"/>
          <w:color w:val="000000"/>
          <w:sz w:val="24"/>
          <w:szCs w:val="24"/>
        </w:rPr>
      </w:pPr>
    </w:p>
    <w:p w14:paraId="5F7729C1" w14:textId="649027FA" w:rsidR="00715F41" w:rsidRPr="00071AA5" w:rsidRDefault="00715F41" w:rsidP="00822F2A">
      <w:pPr>
        <w:pStyle w:val="1"/>
        <w:widowControl w:val="0"/>
        <w:numPr>
          <w:ilvl w:val="1"/>
          <w:numId w:val="1"/>
        </w:numPr>
        <w:jc w:val="center"/>
        <w:rPr>
          <w:rFonts w:ascii="Times New Roman" w:hAnsi="Times New Roman" w:cs="Times New Roman"/>
          <w:b/>
          <w:bCs/>
          <w:noProof/>
          <w:sz w:val="24"/>
          <w:szCs w:val="24"/>
        </w:rPr>
      </w:pPr>
      <w:r w:rsidRPr="004D7D79">
        <w:rPr>
          <w:b/>
          <w:bCs/>
          <w:noProof/>
          <w:sz w:val="24"/>
          <w:szCs w:val="24"/>
        </w:rPr>
        <w:t>ПЛАТЁЖНЫЙ БАЛАНС</w:t>
      </w:r>
      <w:r w:rsidR="00192506" w:rsidRPr="004D7D79">
        <w:rPr>
          <w:b/>
          <w:bCs/>
          <w:noProof/>
          <w:sz w:val="24"/>
          <w:szCs w:val="24"/>
        </w:rPr>
        <w:t xml:space="preserve"> </w:t>
      </w:r>
      <w:r w:rsidR="00826C7A" w:rsidRPr="00826C7A">
        <w:rPr>
          <w:b/>
          <w:bCs/>
          <w:noProof/>
          <w:sz w:val="24"/>
          <w:szCs w:val="24"/>
        </w:rPr>
        <w:t>Приднестровской Молдавской Республики</w:t>
      </w:r>
    </w:p>
    <w:p w14:paraId="39DE359E" w14:textId="38224D92" w:rsidR="00BC65CF" w:rsidRPr="00BC65CF" w:rsidRDefault="00BC65CF" w:rsidP="000B6975">
      <w:pPr>
        <w:pStyle w:val="af7"/>
        <w:spacing w:before="0" w:after="0" w:line="240" w:lineRule="auto"/>
        <w:ind w:left="0" w:firstLine="425"/>
        <w:jc w:val="both"/>
        <w:rPr>
          <w:rFonts w:ascii="Times New Roman" w:hAnsi="Times New Roman" w:cs="Times New Roman"/>
          <w:sz w:val="24"/>
          <w:szCs w:val="24"/>
          <w:highlight w:val="cyan"/>
        </w:rPr>
      </w:pPr>
    </w:p>
    <w:p w14:paraId="7989C5EC" w14:textId="14057C3F" w:rsidR="00D7297C" w:rsidRPr="00160362" w:rsidRDefault="003C2DDA" w:rsidP="003C2DDA">
      <w:pPr>
        <w:pStyle w:val="af7"/>
        <w:spacing w:before="0" w:after="0" w:line="240" w:lineRule="auto"/>
        <w:ind w:left="0"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Сальдо </w:t>
      </w:r>
      <w:r w:rsidR="000B6975" w:rsidRPr="00160362">
        <w:rPr>
          <w:rFonts w:ascii="Times New Roman" w:hAnsi="Times New Roman" w:cs="Times New Roman"/>
          <w:sz w:val="24"/>
          <w:szCs w:val="24"/>
        </w:rPr>
        <w:t xml:space="preserve">счёта текущих операций </w:t>
      </w:r>
      <w:r w:rsidR="00AB7D93" w:rsidRPr="00160362">
        <w:rPr>
          <w:rFonts w:ascii="Times New Roman" w:hAnsi="Times New Roman" w:cs="Times New Roman"/>
          <w:sz w:val="24"/>
          <w:szCs w:val="24"/>
        </w:rPr>
        <w:t xml:space="preserve">платёжного баланса </w:t>
      </w:r>
      <w:r w:rsidR="00160362">
        <w:rPr>
          <w:rFonts w:ascii="Times New Roman" w:hAnsi="Times New Roman" w:cs="Times New Roman"/>
          <w:sz w:val="24"/>
          <w:szCs w:val="24"/>
        </w:rPr>
        <w:t>П</w:t>
      </w:r>
      <w:r w:rsidR="00AB7D93" w:rsidRPr="00160362">
        <w:rPr>
          <w:rFonts w:ascii="Times New Roman" w:hAnsi="Times New Roman" w:cs="Times New Roman"/>
          <w:sz w:val="24"/>
          <w:szCs w:val="24"/>
        </w:rPr>
        <w:t xml:space="preserve">риднестровской Молдавской Республики </w:t>
      </w:r>
      <w:r w:rsidR="000B6975" w:rsidRPr="00160362">
        <w:rPr>
          <w:rFonts w:ascii="Times New Roman" w:hAnsi="Times New Roman" w:cs="Times New Roman"/>
          <w:sz w:val="24"/>
          <w:szCs w:val="24"/>
        </w:rPr>
        <w:t xml:space="preserve">по итогам 2020 года </w:t>
      </w:r>
      <w:r w:rsidR="0039634F" w:rsidRPr="00160362">
        <w:rPr>
          <w:rFonts w:ascii="Times New Roman" w:hAnsi="Times New Roman" w:cs="Times New Roman"/>
          <w:sz w:val="24"/>
          <w:szCs w:val="24"/>
        </w:rPr>
        <w:t xml:space="preserve">составило -15,7 млн долл., что на </w:t>
      </w:r>
      <w:r w:rsidR="000B6975" w:rsidRPr="00160362">
        <w:rPr>
          <w:rFonts w:ascii="Times New Roman" w:hAnsi="Times New Roman" w:cs="Times New Roman"/>
          <w:sz w:val="24"/>
          <w:szCs w:val="24"/>
        </w:rPr>
        <w:t xml:space="preserve">25,6% </w:t>
      </w:r>
      <w:r w:rsidR="0039634F" w:rsidRPr="00160362">
        <w:rPr>
          <w:rFonts w:ascii="Times New Roman" w:hAnsi="Times New Roman" w:cs="Times New Roman"/>
          <w:sz w:val="24"/>
          <w:szCs w:val="24"/>
        </w:rPr>
        <w:t xml:space="preserve">больше </w:t>
      </w:r>
      <w:r w:rsidR="000B6975" w:rsidRPr="00160362">
        <w:rPr>
          <w:rFonts w:ascii="Times New Roman" w:hAnsi="Times New Roman" w:cs="Times New Roman"/>
          <w:sz w:val="24"/>
          <w:szCs w:val="24"/>
        </w:rPr>
        <w:t>показателя 2019 года</w:t>
      </w:r>
      <w:r w:rsidR="00BB1DD2" w:rsidRPr="00160362">
        <w:rPr>
          <w:rFonts w:ascii="Times New Roman" w:hAnsi="Times New Roman" w:cs="Times New Roman"/>
          <w:sz w:val="24"/>
          <w:szCs w:val="24"/>
        </w:rPr>
        <w:t xml:space="preserve"> (табл. 1.5)</w:t>
      </w:r>
      <w:r w:rsidR="000B6975" w:rsidRPr="00160362">
        <w:rPr>
          <w:rFonts w:ascii="Times New Roman" w:hAnsi="Times New Roman" w:cs="Times New Roman"/>
          <w:sz w:val="24"/>
          <w:szCs w:val="24"/>
        </w:rPr>
        <w:t>.</w:t>
      </w:r>
      <w:r w:rsidR="0039634F" w:rsidRPr="00160362">
        <w:rPr>
          <w:rFonts w:ascii="Times New Roman" w:hAnsi="Times New Roman" w:cs="Times New Roman"/>
          <w:sz w:val="24"/>
          <w:szCs w:val="24"/>
        </w:rPr>
        <w:t xml:space="preserve"> </w:t>
      </w:r>
      <w:r>
        <w:rPr>
          <w:rFonts w:ascii="Times New Roman" w:hAnsi="Times New Roman" w:cs="Times New Roman"/>
          <w:sz w:val="24"/>
          <w:szCs w:val="24"/>
        </w:rPr>
        <w:t>Основными факторами его динамики выступили</w:t>
      </w:r>
      <w:r w:rsidRPr="00160362">
        <w:rPr>
          <w:rFonts w:ascii="Times New Roman" w:hAnsi="Times New Roman" w:cs="Times New Roman"/>
          <w:sz w:val="24"/>
          <w:szCs w:val="24"/>
        </w:rPr>
        <w:t xml:space="preserve"> сжат</w:t>
      </w:r>
      <w:r>
        <w:rPr>
          <w:rFonts w:ascii="Times New Roman" w:hAnsi="Times New Roman" w:cs="Times New Roman"/>
          <w:sz w:val="24"/>
          <w:szCs w:val="24"/>
        </w:rPr>
        <w:t>ие</w:t>
      </w:r>
      <w:r w:rsidRPr="00160362">
        <w:rPr>
          <w:rFonts w:ascii="Times New Roman" w:hAnsi="Times New Roman" w:cs="Times New Roman"/>
          <w:sz w:val="24"/>
          <w:szCs w:val="24"/>
        </w:rPr>
        <w:t xml:space="preserve"> внешнего и внутреннего спроса, плох</w:t>
      </w:r>
      <w:r>
        <w:rPr>
          <w:rFonts w:ascii="Times New Roman" w:hAnsi="Times New Roman" w:cs="Times New Roman"/>
          <w:sz w:val="24"/>
          <w:szCs w:val="24"/>
        </w:rPr>
        <w:t>ая</w:t>
      </w:r>
      <w:r w:rsidRPr="00160362">
        <w:rPr>
          <w:rFonts w:ascii="Times New Roman" w:hAnsi="Times New Roman" w:cs="Times New Roman"/>
          <w:sz w:val="24"/>
          <w:szCs w:val="24"/>
        </w:rPr>
        <w:t xml:space="preserve"> урожайност</w:t>
      </w:r>
      <w:r>
        <w:rPr>
          <w:rFonts w:ascii="Times New Roman" w:hAnsi="Times New Roman" w:cs="Times New Roman"/>
          <w:sz w:val="24"/>
          <w:szCs w:val="24"/>
        </w:rPr>
        <w:t>ь</w:t>
      </w:r>
      <w:r w:rsidRPr="00160362">
        <w:rPr>
          <w:rFonts w:ascii="Times New Roman" w:hAnsi="Times New Roman" w:cs="Times New Roman"/>
          <w:sz w:val="24"/>
          <w:szCs w:val="24"/>
        </w:rPr>
        <w:t xml:space="preserve">, </w:t>
      </w:r>
      <w:r>
        <w:rPr>
          <w:rFonts w:ascii="Times New Roman" w:hAnsi="Times New Roman" w:cs="Times New Roman"/>
          <w:sz w:val="24"/>
          <w:szCs w:val="24"/>
        </w:rPr>
        <w:t>изменение</w:t>
      </w:r>
      <w:r w:rsidRPr="00160362">
        <w:rPr>
          <w:rFonts w:ascii="Times New Roman" w:hAnsi="Times New Roman" w:cs="Times New Roman"/>
          <w:sz w:val="24"/>
          <w:szCs w:val="24"/>
        </w:rPr>
        <w:t xml:space="preserve"> стоимости топливно-энергетических товаров и </w:t>
      </w:r>
      <w:r>
        <w:rPr>
          <w:rFonts w:ascii="Times New Roman" w:hAnsi="Times New Roman" w:cs="Times New Roman"/>
          <w:sz w:val="24"/>
          <w:szCs w:val="24"/>
        </w:rPr>
        <w:t>продукции чёрной металлургии.</w:t>
      </w:r>
    </w:p>
    <w:p w14:paraId="24BCBC86" w14:textId="2A5D6640" w:rsidR="001360C0" w:rsidRPr="00160362" w:rsidRDefault="001360C0" w:rsidP="00683E52">
      <w:pPr>
        <w:widowControl w:val="0"/>
        <w:autoSpaceDE w:val="0"/>
        <w:autoSpaceDN w:val="0"/>
        <w:adjustRightInd w:val="0"/>
        <w:spacing w:before="120" w:after="120" w:line="240" w:lineRule="auto"/>
        <w:ind w:firstLine="425"/>
        <w:jc w:val="right"/>
        <w:rPr>
          <w:rFonts w:ascii="Times New Roman" w:hAnsi="Times New Roman" w:cs="Times New Roman"/>
          <w:b/>
          <w:i/>
          <w:color w:val="000000"/>
          <w:sz w:val="24"/>
          <w:szCs w:val="24"/>
        </w:rPr>
      </w:pPr>
      <w:r w:rsidRPr="00160362">
        <w:rPr>
          <w:rFonts w:ascii="Times New Roman" w:hAnsi="Times New Roman" w:cs="Times New Roman"/>
          <w:b/>
          <w:i/>
          <w:color w:val="000000"/>
          <w:sz w:val="24"/>
          <w:szCs w:val="24"/>
        </w:rPr>
        <w:t>Таблица 1.5</w:t>
      </w:r>
    </w:p>
    <w:p w14:paraId="77991F9E" w14:textId="4764C8BB" w:rsidR="00ED41EE" w:rsidRPr="00160362" w:rsidRDefault="001360C0" w:rsidP="00826C7A">
      <w:pPr>
        <w:spacing w:after="60"/>
        <w:jc w:val="center"/>
        <w:rPr>
          <w:rFonts w:ascii="Times New Roman" w:hAnsi="Times New Roman" w:cs="Times New Roman"/>
          <w:b/>
          <w:i/>
          <w:color w:val="000000"/>
          <w:sz w:val="24"/>
          <w:szCs w:val="24"/>
        </w:rPr>
      </w:pPr>
      <w:r w:rsidRPr="00160362">
        <w:rPr>
          <w:rFonts w:ascii="Times New Roman" w:hAnsi="Times New Roman" w:cs="Times New Roman"/>
          <w:b/>
          <w:i/>
          <w:sz w:val="24"/>
          <w:szCs w:val="24"/>
        </w:rPr>
        <w:t xml:space="preserve">Платёжный баланс </w:t>
      </w:r>
      <w:r w:rsidR="00826C7A" w:rsidRPr="00826C7A">
        <w:rPr>
          <w:rFonts w:ascii="Times New Roman" w:hAnsi="Times New Roman" w:cs="Times New Roman"/>
          <w:b/>
          <w:i/>
          <w:sz w:val="24"/>
          <w:szCs w:val="24"/>
        </w:rPr>
        <w:t xml:space="preserve">Приднестровской Молдавской Республики </w:t>
      </w:r>
      <w:r w:rsidR="00C379B4">
        <w:rPr>
          <w:rFonts w:ascii="Times New Roman" w:hAnsi="Times New Roman" w:cs="Times New Roman"/>
          <w:b/>
          <w:i/>
          <w:sz w:val="24"/>
          <w:szCs w:val="24"/>
        </w:rPr>
        <w:br/>
      </w:r>
      <w:r w:rsidRPr="00160362">
        <w:rPr>
          <w:rFonts w:ascii="Times New Roman" w:hAnsi="Times New Roman" w:cs="Times New Roman"/>
          <w:b/>
          <w:i/>
          <w:sz w:val="24"/>
          <w:szCs w:val="24"/>
        </w:rPr>
        <w:t>(сальдо</w:t>
      </w:r>
      <w:r w:rsidR="001442F8">
        <w:rPr>
          <w:rFonts w:ascii="Times New Roman" w:hAnsi="Times New Roman" w:cs="Times New Roman"/>
          <w:b/>
          <w:i/>
          <w:sz w:val="24"/>
          <w:szCs w:val="24"/>
        </w:rPr>
        <w:t>, РПБ6</w:t>
      </w:r>
      <w:r w:rsidRPr="00160362">
        <w:rPr>
          <w:rFonts w:ascii="Times New Roman" w:hAnsi="Times New Roman" w:cs="Times New Roman"/>
          <w:b/>
          <w:i/>
          <w:sz w:val="24"/>
          <w:szCs w:val="24"/>
        </w:rPr>
        <w:t>)</w:t>
      </w:r>
      <w:r w:rsidRPr="00160362">
        <w:rPr>
          <w:rStyle w:val="ae"/>
          <w:rFonts w:ascii="Times New Roman" w:hAnsi="Times New Roman"/>
          <w:b/>
          <w:i/>
          <w:color w:val="000000"/>
          <w:sz w:val="24"/>
          <w:szCs w:val="24"/>
        </w:rPr>
        <w:footnoteReference w:id="12"/>
      </w:r>
      <w:r w:rsidR="00D7297C" w:rsidRPr="00160362">
        <w:rPr>
          <w:rFonts w:ascii="Times New Roman" w:hAnsi="Times New Roman" w:cs="Times New Roman"/>
          <w:b/>
          <w:i/>
          <w:sz w:val="24"/>
          <w:szCs w:val="24"/>
        </w:rPr>
        <w:t>,</w:t>
      </w:r>
      <w:r w:rsidR="00C379B4">
        <w:rPr>
          <w:rFonts w:ascii="Times New Roman" w:hAnsi="Times New Roman" w:cs="Times New Roman"/>
          <w:b/>
          <w:i/>
          <w:sz w:val="24"/>
          <w:szCs w:val="24"/>
        </w:rPr>
        <w:t xml:space="preserve"> </w:t>
      </w:r>
      <w:r w:rsidRPr="00160362">
        <w:rPr>
          <w:rFonts w:ascii="Times New Roman" w:hAnsi="Times New Roman" w:cs="Times New Roman"/>
          <w:b/>
          <w:i/>
          <w:color w:val="000000"/>
          <w:sz w:val="24"/>
          <w:szCs w:val="24"/>
        </w:rPr>
        <w:t>млн долл.</w:t>
      </w:r>
    </w:p>
    <w:tbl>
      <w:tblPr>
        <w:tblW w:w="962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3"/>
        <w:gridCol w:w="1644"/>
        <w:gridCol w:w="1644"/>
        <w:gridCol w:w="1645"/>
      </w:tblGrid>
      <w:tr w:rsidR="001360C0" w:rsidRPr="00160362" w14:paraId="058302F0" w14:textId="77777777" w:rsidTr="00AC0FC7">
        <w:trPr>
          <w:trHeight w:val="270"/>
        </w:trPr>
        <w:tc>
          <w:tcPr>
            <w:tcW w:w="4693" w:type="dxa"/>
            <w:tcBorders>
              <w:bottom w:val="double" w:sz="4" w:space="0" w:color="auto"/>
            </w:tcBorders>
            <w:shd w:val="clear" w:color="auto" w:fill="CCCCCC"/>
            <w:vAlign w:val="center"/>
          </w:tcPr>
          <w:p w14:paraId="7AD431A0" w14:textId="77777777" w:rsidR="001360C0" w:rsidRPr="00160362" w:rsidRDefault="001360C0" w:rsidP="008A651D">
            <w:pPr>
              <w:pStyle w:val="aa"/>
              <w:widowControl w:val="0"/>
              <w:spacing w:before="0" w:after="0" w:line="240" w:lineRule="auto"/>
              <w:ind w:left="-142"/>
              <w:jc w:val="center"/>
              <w:rPr>
                <w:rFonts w:ascii="Times New Roman" w:hAnsi="Times New Roman" w:cs="Times New Roman"/>
                <w:sz w:val="22"/>
                <w:szCs w:val="22"/>
              </w:rPr>
            </w:pPr>
          </w:p>
        </w:tc>
        <w:tc>
          <w:tcPr>
            <w:tcW w:w="1644" w:type="dxa"/>
            <w:tcBorders>
              <w:bottom w:val="double" w:sz="4" w:space="0" w:color="auto"/>
            </w:tcBorders>
            <w:shd w:val="clear" w:color="auto" w:fill="CCCCCC"/>
            <w:vAlign w:val="center"/>
          </w:tcPr>
          <w:p w14:paraId="3980AF47" w14:textId="52936A1D" w:rsidR="001360C0" w:rsidRPr="00160362" w:rsidRDefault="001360C0" w:rsidP="008C3B45">
            <w:pPr>
              <w:pStyle w:val="aa"/>
              <w:spacing w:before="0" w:after="0" w:line="240" w:lineRule="auto"/>
              <w:ind w:left="-108" w:right="-78"/>
              <w:jc w:val="center"/>
              <w:rPr>
                <w:rFonts w:ascii="Times New Roman" w:hAnsi="Times New Roman" w:cs="Times New Roman"/>
                <w:color w:val="000000"/>
                <w:sz w:val="22"/>
                <w:szCs w:val="22"/>
              </w:rPr>
            </w:pPr>
            <w:r w:rsidRPr="00160362">
              <w:rPr>
                <w:rFonts w:ascii="Times New Roman" w:hAnsi="Times New Roman" w:cs="Times New Roman"/>
                <w:color w:val="000000"/>
                <w:sz w:val="22"/>
                <w:szCs w:val="22"/>
              </w:rPr>
              <w:t>201</w:t>
            </w:r>
            <w:r w:rsidR="008C3B45" w:rsidRPr="00160362">
              <w:rPr>
                <w:rFonts w:ascii="Times New Roman" w:hAnsi="Times New Roman" w:cs="Times New Roman"/>
                <w:color w:val="000000"/>
                <w:sz w:val="22"/>
                <w:szCs w:val="22"/>
              </w:rPr>
              <w:t>8</w:t>
            </w:r>
            <w:r w:rsidRPr="00160362">
              <w:rPr>
                <w:rFonts w:ascii="Times New Roman" w:hAnsi="Times New Roman" w:cs="Times New Roman"/>
                <w:color w:val="000000"/>
                <w:sz w:val="22"/>
                <w:szCs w:val="22"/>
              </w:rPr>
              <w:t xml:space="preserve"> год</w:t>
            </w:r>
          </w:p>
        </w:tc>
        <w:tc>
          <w:tcPr>
            <w:tcW w:w="1644" w:type="dxa"/>
            <w:tcBorders>
              <w:bottom w:val="double" w:sz="4" w:space="0" w:color="auto"/>
            </w:tcBorders>
            <w:shd w:val="clear" w:color="auto" w:fill="CCCCCC"/>
            <w:vAlign w:val="center"/>
          </w:tcPr>
          <w:p w14:paraId="18D0FCDB" w14:textId="37F2FB5D" w:rsidR="001360C0" w:rsidRPr="00160362" w:rsidRDefault="001360C0" w:rsidP="008C3B45">
            <w:pPr>
              <w:pStyle w:val="aa"/>
              <w:spacing w:before="0" w:after="0" w:line="240" w:lineRule="auto"/>
              <w:ind w:left="-108" w:right="-78"/>
              <w:jc w:val="center"/>
              <w:rPr>
                <w:rFonts w:ascii="Times New Roman" w:hAnsi="Times New Roman" w:cs="Times New Roman"/>
                <w:color w:val="000000"/>
                <w:sz w:val="22"/>
                <w:szCs w:val="22"/>
              </w:rPr>
            </w:pPr>
            <w:r w:rsidRPr="00160362">
              <w:rPr>
                <w:rFonts w:ascii="Times New Roman" w:hAnsi="Times New Roman" w:cs="Times New Roman"/>
                <w:color w:val="000000"/>
                <w:sz w:val="22"/>
                <w:szCs w:val="22"/>
              </w:rPr>
              <w:t>201</w:t>
            </w:r>
            <w:r w:rsidR="008C3B45" w:rsidRPr="00160362">
              <w:rPr>
                <w:rFonts w:ascii="Times New Roman" w:hAnsi="Times New Roman" w:cs="Times New Roman"/>
                <w:color w:val="000000"/>
                <w:sz w:val="22"/>
                <w:szCs w:val="22"/>
              </w:rPr>
              <w:t>9</w:t>
            </w:r>
            <w:r w:rsidRPr="00160362">
              <w:rPr>
                <w:rFonts w:ascii="Times New Roman" w:hAnsi="Times New Roman" w:cs="Times New Roman"/>
                <w:color w:val="000000"/>
                <w:sz w:val="22"/>
                <w:szCs w:val="22"/>
              </w:rPr>
              <w:t xml:space="preserve"> год</w:t>
            </w:r>
          </w:p>
        </w:tc>
        <w:tc>
          <w:tcPr>
            <w:tcW w:w="1645" w:type="dxa"/>
            <w:tcBorders>
              <w:bottom w:val="double" w:sz="4" w:space="0" w:color="auto"/>
            </w:tcBorders>
            <w:shd w:val="clear" w:color="auto" w:fill="CCCCCC"/>
            <w:vAlign w:val="center"/>
          </w:tcPr>
          <w:p w14:paraId="24810AAB" w14:textId="4937E3B7" w:rsidR="001360C0" w:rsidRPr="00160362" w:rsidRDefault="001360C0" w:rsidP="008C3B45">
            <w:pPr>
              <w:pStyle w:val="aa"/>
              <w:spacing w:before="0" w:after="0" w:line="240" w:lineRule="auto"/>
              <w:ind w:left="-108" w:right="-78"/>
              <w:jc w:val="center"/>
              <w:rPr>
                <w:rFonts w:ascii="Times New Roman" w:hAnsi="Times New Roman" w:cs="Times New Roman"/>
                <w:color w:val="000000"/>
                <w:sz w:val="22"/>
                <w:szCs w:val="22"/>
              </w:rPr>
            </w:pPr>
            <w:r w:rsidRPr="00160362">
              <w:rPr>
                <w:rFonts w:ascii="Times New Roman" w:hAnsi="Times New Roman" w:cs="Times New Roman"/>
                <w:color w:val="000000"/>
                <w:sz w:val="22"/>
                <w:szCs w:val="22"/>
              </w:rPr>
              <w:t>20</w:t>
            </w:r>
            <w:r w:rsidR="008C3B45" w:rsidRPr="00160362">
              <w:rPr>
                <w:rFonts w:ascii="Times New Roman" w:hAnsi="Times New Roman" w:cs="Times New Roman"/>
                <w:color w:val="000000"/>
                <w:sz w:val="22"/>
                <w:szCs w:val="22"/>
              </w:rPr>
              <w:t>20</w:t>
            </w:r>
            <w:r w:rsidRPr="00160362">
              <w:rPr>
                <w:rFonts w:ascii="Times New Roman" w:hAnsi="Times New Roman" w:cs="Times New Roman"/>
                <w:color w:val="000000"/>
                <w:sz w:val="22"/>
                <w:szCs w:val="22"/>
              </w:rPr>
              <w:t xml:space="preserve"> год</w:t>
            </w:r>
          </w:p>
        </w:tc>
      </w:tr>
      <w:tr w:rsidR="001360C0" w:rsidRPr="00160362" w14:paraId="420E34FF" w14:textId="77777777" w:rsidTr="00AC0FC7">
        <w:trPr>
          <w:trHeight w:val="372"/>
        </w:trPr>
        <w:tc>
          <w:tcPr>
            <w:tcW w:w="4693" w:type="dxa"/>
            <w:tcBorders>
              <w:top w:val="double" w:sz="4" w:space="0" w:color="auto"/>
              <w:bottom w:val="single" w:sz="4" w:space="0" w:color="auto"/>
            </w:tcBorders>
            <w:shd w:val="clear" w:color="auto" w:fill="E0E0E0"/>
            <w:vAlign w:val="center"/>
          </w:tcPr>
          <w:p w14:paraId="0E14693D" w14:textId="77777777" w:rsidR="001360C0" w:rsidRPr="00160362" w:rsidRDefault="001360C0" w:rsidP="00D7297C">
            <w:pPr>
              <w:pStyle w:val="a7"/>
              <w:widowControl w:val="0"/>
              <w:spacing w:before="0" w:after="0" w:line="240" w:lineRule="auto"/>
              <w:jc w:val="both"/>
              <w:rPr>
                <w:rFonts w:ascii="Times New Roman" w:hAnsi="Times New Roman" w:cs="Times New Roman"/>
                <w:sz w:val="22"/>
                <w:szCs w:val="22"/>
              </w:rPr>
            </w:pPr>
            <w:r w:rsidRPr="00160362">
              <w:rPr>
                <w:rFonts w:ascii="Times New Roman" w:hAnsi="Times New Roman" w:cs="Times New Roman"/>
                <w:sz w:val="22"/>
                <w:szCs w:val="22"/>
              </w:rPr>
              <w:lastRenderedPageBreak/>
              <w:t>1. СЧ</w:t>
            </w:r>
            <w:r w:rsidR="00D7297C" w:rsidRPr="00160362">
              <w:rPr>
                <w:rFonts w:ascii="Times New Roman" w:hAnsi="Times New Roman" w:cs="Times New Roman"/>
                <w:sz w:val="22"/>
                <w:szCs w:val="22"/>
              </w:rPr>
              <w:t>Ё</w:t>
            </w:r>
            <w:r w:rsidRPr="00160362">
              <w:rPr>
                <w:rFonts w:ascii="Times New Roman" w:hAnsi="Times New Roman" w:cs="Times New Roman"/>
                <w:sz w:val="22"/>
                <w:szCs w:val="22"/>
              </w:rPr>
              <w:t>Т ТЕКУЩИХ ОПЕРАЦИЙ</w:t>
            </w:r>
          </w:p>
        </w:tc>
        <w:tc>
          <w:tcPr>
            <w:tcW w:w="1644" w:type="dxa"/>
            <w:tcBorders>
              <w:top w:val="double" w:sz="4" w:space="0" w:color="auto"/>
              <w:bottom w:val="single" w:sz="4" w:space="0" w:color="auto"/>
            </w:tcBorders>
            <w:shd w:val="clear" w:color="auto" w:fill="E0E0E0"/>
            <w:vAlign w:val="center"/>
          </w:tcPr>
          <w:p w14:paraId="4015F78B" w14:textId="04FE821E" w:rsidR="001360C0" w:rsidRPr="00682E4B" w:rsidRDefault="00682E4B" w:rsidP="008A651D">
            <w:pPr>
              <w:widowControl w:val="0"/>
              <w:tabs>
                <w:tab w:val="left" w:pos="1992"/>
              </w:tabs>
              <w:spacing w:before="0" w:after="0" w:line="240" w:lineRule="auto"/>
              <w:ind w:right="447"/>
              <w:jc w:val="right"/>
              <w:rPr>
                <w:rFonts w:ascii="Times New Roman" w:hAnsi="Times New Roman" w:cs="Times New Roman"/>
                <w:sz w:val="22"/>
                <w:szCs w:val="22"/>
                <w:lang w:val="en-US"/>
              </w:rPr>
            </w:pPr>
            <w:r>
              <w:rPr>
                <w:rFonts w:ascii="Times New Roman" w:hAnsi="Times New Roman" w:cs="Times New Roman"/>
                <w:sz w:val="22"/>
                <w:szCs w:val="22"/>
                <w:lang w:val="en-US"/>
              </w:rPr>
              <w:t>-44</w:t>
            </w:r>
            <w:r>
              <w:rPr>
                <w:rFonts w:ascii="Times New Roman" w:hAnsi="Times New Roman" w:cs="Times New Roman"/>
                <w:sz w:val="22"/>
                <w:szCs w:val="22"/>
              </w:rPr>
              <w:t>,</w:t>
            </w:r>
            <w:r>
              <w:rPr>
                <w:rFonts w:ascii="Times New Roman" w:hAnsi="Times New Roman" w:cs="Times New Roman"/>
                <w:sz w:val="22"/>
                <w:szCs w:val="22"/>
                <w:lang w:val="en-US"/>
              </w:rPr>
              <w:t>3</w:t>
            </w:r>
          </w:p>
        </w:tc>
        <w:tc>
          <w:tcPr>
            <w:tcW w:w="1644" w:type="dxa"/>
            <w:tcBorders>
              <w:top w:val="double" w:sz="4" w:space="0" w:color="auto"/>
              <w:bottom w:val="single" w:sz="4" w:space="0" w:color="auto"/>
            </w:tcBorders>
            <w:shd w:val="clear" w:color="auto" w:fill="E0E0E0"/>
            <w:vAlign w:val="center"/>
          </w:tcPr>
          <w:p w14:paraId="25C653AF" w14:textId="4A56AF12" w:rsidR="001360C0" w:rsidRPr="00160362" w:rsidRDefault="00682E4B"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-12,5</w:t>
            </w:r>
          </w:p>
        </w:tc>
        <w:tc>
          <w:tcPr>
            <w:tcW w:w="1645" w:type="dxa"/>
            <w:tcBorders>
              <w:top w:val="double" w:sz="4" w:space="0" w:color="auto"/>
              <w:bottom w:val="single" w:sz="4" w:space="0" w:color="auto"/>
            </w:tcBorders>
            <w:shd w:val="clear" w:color="auto" w:fill="E0E0E0"/>
            <w:vAlign w:val="center"/>
          </w:tcPr>
          <w:p w14:paraId="44851F4A" w14:textId="56DE89D2" w:rsidR="001360C0" w:rsidRPr="00160362" w:rsidRDefault="00682E4B"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-15,7</w:t>
            </w:r>
          </w:p>
        </w:tc>
      </w:tr>
      <w:tr w:rsidR="001360C0" w:rsidRPr="00160362" w14:paraId="620624AF" w14:textId="77777777" w:rsidTr="00AC0FC7">
        <w:trPr>
          <w:trHeight w:val="378"/>
        </w:trPr>
        <w:tc>
          <w:tcPr>
            <w:tcW w:w="4693" w:type="dxa"/>
            <w:tcBorders>
              <w:bottom w:val="single" w:sz="4" w:space="0" w:color="auto"/>
            </w:tcBorders>
            <w:shd w:val="clear" w:color="auto" w:fill="D9D9D9"/>
            <w:vAlign w:val="center"/>
          </w:tcPr>
          <w:p w14:paraId="3613EFAE" w14:textId="77777777" w:rsidR="001360C0" w:rsidRPr="00160362" w:rsidRDefault="001360C0" w:rsidP="008A651D">
            <w:pPr>
              <w:pStyle w:val="artx"/>
              <w:widowControl w:val="0"/>
              <w:spacing w:before="0" w:after="0" w:line="240" w:lineRule="auto"/>
              <w:ind w:firstLine="102"/>
              <w:rPr>
                <w:rFonts w:ascii="Times New Roman" w:hAnsi="Times New Roman" w:cs="Times New Roman"/>
                <w:color w:val="auto"/>
                <w:sz w:val="22"/>
                <w:szCs w:val="22"/>
              </w:rPr>
            </w:pPr>
            <w:r w:rsidRPr="00160362">
              <w:rPr>
                <w:rFonts w:ascii="Times New Roman" w:hAnsi="Times New Roman" w:cs="Times New Roman"/>
                <w:color w:val="auto"/>
                <w:sz w:val="22"/>
                <w:szCs w:val="22"/>
              </w:rPr>
              <w:t>Товары и услуги</w:t>
            </w:r>
          </w:p>
        </w:tc>
        <w:tc>
          <w:tcPr>
            <w:tcW w:w="1644" w:type="dxa"/>
            <w:tcBorders>
              <w:bottom w:val="single" w:sz="4" w:space="0" w:color="auto"/>
            </w:tcBorders>
            <w:shd w:val="clear" w:color="auto" w:fill="D9D9D9"/>
            <w:vAlign w:val="center"/>
          </w:tcPr>
          <w:p w14:paraId="35DEC645" w14:textId="01EC2F48" w:rsidR="001360C0" w:rsidRPr="00160362" w:rsidRDefault="00682E4B"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-551,9</w:t>
            </w:r>
          </w:p>
        </w:tc>
        <w:tc>
          <w:tcPr>
            <w:tcW w:w="1644" w:type="dxa"/>
            <w:tcBorders>
              <w:bottom w:val="single" w:sz="4" w:space="0" w:color="auto"/>
            </w:tcBorders>
            <w:shd w:val="clear" w:color="auto" w:fill="D9D9D9"/>
            <w:vAlign w:val="center"/>
          </w:tcPr>
          <w:p w14:paraId="3E6919A9" w14:textId="07ACC0B6" w:rsidR="001360C0" w:rsidRPr="00160362" w:rsidRDefault="00682E4B"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-597,6</w:t>
            </w:r>
          </w:p>
        </w:tc>
        <w:tc>
          <w:tcPr>
            <w:tcW w:w="1645" w:type="dxa"/>
            <w:tcBorders>
              <w:bottom w:val="single" w:sz="4" w:space="0" w:color="auto"/>
            </w:tcBorders>
            <w:shd w:val="clear" w:color="auto" w:fill="D9D9D9"/>
            <w:vAlign w:val="center"/>
          </w:tcPr>
          <w:p w14:paraId="610A4501" w14:textId="5DFB9DAB" w:rsidR="001360C0" w:rsidRPr="00160362" w:rsidRDefault="00682E4B"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-459,1</w:t>
            </w:r>
          </w:p>
        </w:tc>
      </w:tr>
      <w:tr w:rsidR="001360C0" w:rsidRPr="00160362" w14:paraId="7ED005E4" w14:textId="77777777" w:rsidTr="00AC0FC7">
        <w:trPr>
          <w:trHeight w:val="158"/>
        </w:trPr>
        <w:tc>
          <w:tcPr>
            <w:tcW w:w="4693" w:type="dxa"/>
            <w:tcBorders>
              <w:bottom w:val="nil"/>
            </w:tcBorders>
            <w:shd w:val="clear" w:color="auto" w:fill="auto"/>
            <w:vAlign w:val="center"/>
          </w:tcPr>
          <w:p w14:paraId="20BA27F1" w14:textId="77777777" w:rsidR="001360C0" w:rsidRPr="00160362" w:rsidRDefault="001360C0" w:rsidP="008A651D">
            <w:pPr>
              <w:pStyle w:val="artx"/>
              <w:widowControl w:val="0"/>
              <w:spacing w:before="0" w:after="0" w:line="240" w:lineRule="auto"/>
              <w:ind w:left="318" w:hanging="14"/>
              <w:rPr>
                <w:rFonts w:ascii="Times New Roman" w:hAnsi="Times New Roman" w:cs="Times New Roman"/>
                <w:color w:val="auto"/>
                <w:sz w:val="22"/>
                <w:szCs w:val="22"/>
                <w:vertAlign w:val="superscript"/>
              </w:rPr>
            </w:pPr>
            <w:r w:rsidRPr="00160362">
              <w:rPr>
                <w:rFonts w:ascii="Times New Roman" w:hAnsi="Times New Roman" w:cs="Times New Roman"/>
                <w:color w:val="auto"/>
                <w:sz w:val="22"/>
                <w:szCs w:val="22"/>
              </w:rPr>
              <w:t xml:space="preserve">-экспорт </w:t>
            </w:r>
          </w:p>
        </w:tc>
        <w:tc>
          <w:tcPr>
            <w:tcW w:w="1644" w:type="dxa"/>
            <w:tcBorders>
              <w:bottom w:val="nil"/>
            </w:tcBorders>
            <w:shd w:val="clear" w:color="auto" w:fill="auto"/>
            <w:vAlign w:val="center"/>
          </w:tcPr>
          <w:p w14:paraId="209AFE47" w14:textId="56130425" w:rsidR="001360C0" w:rsidRPr="00160362" w:rsidRDefault="00682E4B" w:rsidP="00E02A4A">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766,5</w:t>
            </w:r>
          </w:p>
        </w:tc>
        <w:tc>
          <w:tcPr>
            <w:tcW w:w="1644" w:type="dxa"/>
            <w:tcBorders>
              <w:bottom w:val="nil"/>
            </w:tcBorders>
            <w:shd w:val="clear" w:color="auto" w:fill="auto"/>
            <w:vAlign w:val="center"/>
          </w:tcPr>
          <w:p w14:paraId="7519A655" w14:textId="4EE98304" w:rsidR="001360C0" w:rsidRPr="00160362" w:rsidRDefault="00682E4B"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698,7</w:t>
            </w:r>
          </w:p>
        </w:tc>
        <w:tc>
          <w:tcPr>
            <w:tcW w:w="1645" w:type="dxa"/>
            <w:tcBorders>
              <w:bottom w:val="nil"/>
            </w:tcBorders>
            <w:shd w:val="clear" w:color="auto" w:fill="auto"/>
            <w:vAlign w:val="center"/>
          </w:tcPr>
          <w:p w14:paraId="740F0216" w14:textId="3F5DB456" w:rsidR="001360C0" w:rsidRPr="00160362" w:rsidRDefault="00682E4B"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660,5</w:t>
            </w:r>
          </w:p>
        </w:tc>
      </w:tr>
      <w:tr w:rsidR="001360C0" w:rsidRPr="00160362" w14:paraId="58CE853D" w14:textId="77777777" w:rsidTr="00AC0FC7">
        <w:trPr>
          <w:trHeight w:val="287"/>
        </w:trPr>
        <w:tc>
          <w:tcPr>
            <w:tcW w:w="4693" w:type="dxa"/>
            <w:tcBorders>
              <w:top w:val="nil"/>
            </w:tcBorders>
            <w:shd w:val="clear" w:color="auto" w:fill="auto"/>
            <w:vAlign w:val="center"/>
          </w:tcPr>
          <w:p w14:paraId="0D7EFE6E" w14:textId="77777777" w:rsidR="001360C0" w:rsidRPr="00160362" w:rsidRDefault="001360C0" w:rsidP="008A651D">
            <w:pPr>
              <w:pStyle w:val="artx"/>
              <w:widowControl w:val="0"/>
              <w:spacing w:before="0" w:after="0" w:line="240" w:lineRule="auto"/>
              <w:ind w:left="318" w:hanging="14"/>
              <w:rPr>
                <w:rFonts w:ascii="Times New Roman" w:hAnsi="Times New Roman" w:cs="Times New Roman"/>
                <w:color w:val="auto"/>
                <w:sz w:val="22"/>
                <w:szCs w:val="22"/>
              </w:rPr>
            </w:pPr>
            <w:r w:rsidRPr="00160362">
              <w:rPr>
                <w:rFonts w:ascii="Times New Roman" w:hAnsi="Times New Roman" w:cs="Times New Roman"/>
                <w:color w:val="auto"/>
                <w:sz w:val="22"/>
                <w:szCs w:val="22"/>
              </w:rPr>
              <w:t>-импорт</w:t>
            </w:r>
          </w:p>
        </w:tc>
        <w:tc>
          <w:tcPr>
            <w:tcW w:w="1644" w:type="dxa"/>
            <w:tcBorders>
              <w:top w:val="nil"/>
            </w:tcBorders>
            <w:shd w:val="clear" w:color="auto" w:fill="auto"/>
            <w:vAlign w:val="center"/>
          </w:tcPr>
          <w:p w14:paraId="5BF38C83" w14:textId="67DC7A08"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1 318,5</w:t>
            </w:r>
          </w:p>
        </w:tc>
        <w:tc>
          <w:tcPr>
            <w:tcW w:w="1644" w:type="dxa"/>
            <w:tcBorders>
              <w:top w:val="nil"/>
            </w:tcBorders>
            <w:shd w:val="clear" w:color="auto" w:fill="auto"/>
            <w:vAlign w:val="center"/>
          </w:tcPr>
          <w:p w14:paraId="29627387" w14:textId="29A3C82F"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1 296,3</w:t>
            </w:r>
          </w:p>
        </w:tc>
        <w:tc>
          <w:tcPr>
            <w:tcW w:w="1645" w:type="dxa"/>
            <w:tcBorders>
              <w:top w:val="nil"/>
            </w:tcBorders>
            <w:shd w:val="clear" w:color="auto" w:fill="auto"/>
            <w:vAlign w:val="center"/>
          </w:tcPr>
          <w:p w14:paraId="40F6D823" w14:textId="5FE5EAF6"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1 119,6</w:t>
            </w:r>
          </w:p>
        </w:tc>
      </w:tr>
      <w:tr w:rsidR="001360C0" w:rsidRPr="00160362" w14:paraId="60F29997" w14:textId="77777777" w:rsidTr="00AC0FC7">
        <w:trPr>
          <w:trHeight w:val="322"/>
        </w:trPr>
        <w:tc>
          <w:tcPr>
            <w:tcW w:w="4693" w:type="dxa"/>
            <w:tcBorders>
              <w:bottom w:val="single" w:sz="4" w:space="0" w:color="auto"/>
            </w:tcBorders>
            <w:shd w:val="clear" w:color="auto" w:fill="E0E0E0"/>
            <w:vAlign w:val="center"/>
          </w:tcPr>
          <w:p w14:paraId="05DA5CCA" w14:textId="77777777" w:rsidR="001360C0" w:rsidRPr="00160362" w:rsidRDefault="001360C0" w:rsidP="00AC0FC7">
            <w:pPr>
              <w:pStyle w:val="artx"/>
              <w:widowControl w:val="0"/>
              <w:spacing w:before="0" w:after="0" w:line="240" w:lineRule="auto"/>
              <w:ind w:left="53" w:firstLine="283"/>
              <w:rPr>
                <w:rFonts w:ascii="Times New Roman" w:hAnsi="Times New Roman" w:cs="Times New Roman"/>
                <w:color w:val="auto"/>
                <w:sz w:val="22"/>
                <w:szCs w:val="22"/>
              </w:rPr>
            </w:pPr>
            <w:r w:rsidRPr="00160362">
              <w:rPr>
                <w:rFonts w:ascii="Times New Roman" w:hAnsi="Times New Roman" w:cs="Times New Roman"/>
                <w:color w:val="auto"/>
                <w:sz w:val="22"/>
                <w:szCs w:val="22"/>
              </w:rPr>
              <w:t xml:space="preserve">   Товары</w:t>
            </w:r>
          </w:p>
        </w:tc>
        <w:tc>
          <w:tcPr>
            <w:tcW w:w="1644" w:type="dxa"/>
            <w:tcBorders>
              <w:bottom w:val="single" w:sz="4" w:space="0" w:color="auto"/>
            </w:tcBorders>
            <w:shd w:val="clear" w:color="auto" w:fill="E0E0E0"/>
            <w:vAlign w:val="center"/>
          </w:tcPr>
          <w:p w14:paraId="25266CE1" w14:textId="0166F1A3"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-533,0</w:t>
            </w:r>
          </w:p>
        </w:tc>
        <w:tc>
          <w:tcPr>
            <w:tcW w:w="1644" w:type="dxa"/>
            <w:tcBorders>
              <w:bottom w:val="single" w:sz="4" w:space="0" w:color="auto"/>
            </w:tcBorders>
            <w:shd w:val="clear" w:color="auto" w:fill="E0E0E0"/>
            <w:vAlign w:val="center"/>
          </w:tcPr>
          <w:p w14:paraId="4E2BAFC1" w14:textId="66859030"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-560,5</w:t>
            </w:r>
          </w:p>
        </w:tc>
        <w:tc>
          <w:tcPr>
            <w:tcW w:w="1645" w:type="dxa"/>
            <w:tcBorders>
              <w:bottom w:val="single" w:sz="4" w:space="0" w:color="auto"/>
            </w:tcBorders>
            <w:shd w:val="clear" w:color="auto" w:fill="E0E0E0"/>
            <w:vAlign w:val="center"/>
          </w:tcPr>
          <w:p w14:paraId="7D026BE8" w14:textId="654CCD09"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-409,7</w:t>
            </w:r>
          </w:p>
        </w:tc>
      </w:tr>
      <w:tr w:rsidR="001360C0" w:rsidRPr="00160362" w14:paraId="1A3AB686" w14:textId="77777777" w:rsidTr="00AC0FC7">
        <w:tc>
          <w:tcPr>
            <w:tcW w:w="4693" w:type="dxa"/>
            <w:tcBorders>
              <w:top w:val="nil"/>
              <w:left w:val="single" w:sz="4" w:space="0" w:color="auto"/>
              <w:bottom w:val="nil"/>
              <w:right w:val="single" w:sz="4" w:space="0" w:color="auto"/>
            </w:tcBorders>
            <w:vAlign w:val="center"/>
          </w:tcPr>
          <w:p w14:paraId="55FB2EDD" w14:textId="77777777" w:rsidR="001360C0" w:rsidRPr="00160362" w:rsidRDefault="001360C0" w:rsidP="00AC0FC7">
            <w:pPr>
              <w:pStyle w:val="artx"/>
              <w:widowControl w:val="0"/>
              <w:spacing w:before="0" w:after="0" w:line="240" w:lineRule="auto"/>
              <w:ind w:left="53" w:firstLine="567"/>
              <w:rPr>
                <w:rFonts w:ascii="Times New Roman" w:hAnsi="Times New Roman" w:cs="Times New Roman"/>
                <w:color w:val="auto"/>
                <w:sz w:val="22"/>
                <w:szCs w:val="22"/>
                <w:vertAlign w:val="superscript"/>
              </w:rPr>
            </w:pPr>
            <w:r w:rsidRPr="00160362">
              <w:rPr>
                <w:rFonts w:ascii="Times New Roman" w:hAnsi="Times New Roman" w:cs="Times New Roman"/>
                <w:color w:val="auto"/>
                <w:sz w:val="22"/>
                <w:szCs w:val="22"/>
              </w:rPr>
              <w:t xml:space="preserve">-экспорт </w:t>
            </w:r>
          </w:p>
        </w:tc>
        <w:tc>
          <w:tcPr>
            <w:tcW w:w="1644" w:type="dxa"/>
            <w:tcBorders>
              <w:top w:val="nil"/>
              <w:left w:val="single" w:sz="4" w:space="0" w:color="auto"/>
              <w:bottom w:val="nil"/>
              <w:right w:val="single" w:sz="4" w:space="0" w:color="auto"/>
            </w:tcBorders>
            <w:vAlign w:val="center"/>
          </w:tcPr>
          <w:p w14:paraId="2041BB8A" w14:textId="2F94F54A"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693,9</w:t>
            </w:r>
          </w:p>
        </w:tc>
        <w:tc>
          <w:tcPr>
            <w:tcW w:w="1644" w:type="dxa"/>
            <w:tcBorders>
              <w:top w:val="nil"/>
              <w:left w:val="single" w:sz="4" w:space="0" w:color="auto"/>
              <w:bottom w:val="nil"/>
              <w:right w:val="single" w:sz="4" w:space="0" w:color="auto"/>
            </w:tcBorders>
            <w:vAlign w:val="center"/>
          </w:tcPr>
          <w:p w14:paraId="14C45C27" w14:textId="3395B0D0"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642,9</w:t>
            </w:r>
          </w:p>
        </w:tc>
        <w:tc>
          <w:tcPr>
            <w:tcW w:w="1645" w:type="dxa"/>
            <w:tcBorders>
              <w:top w:val="nil"/>
              <w:left w:val="single" w:sz="4" w:space="0" w:color="auto"/>
              <w:bottom w:val="nil"/>
              <w:right w:val="single" w:sz="4" w:space="0" w:color="auto"/>
            </w:tcBorders>
            <w:vAlign w:val="center"/>
          </w:tcPr>
          <w:p w14:paraId="4C0FEE6D" w14:textId="76EEA321"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621,4</w:t>
            </w:r>
          </w:p>
        </w:tc>
      </w:tr>
      <w:tr w:rsidR="001360C0" w:rsidRPr="00160362" w14:paraId="1458F45D" w14:textId="77777777" w:rsidTr="00AC0FC7">
        <w:tc>
          <w:tcPr>
            <w:tcW w:w="4693" w:type="dxa"/>
            <w:tcBorders>
              <w:top w:val="nil"/>
              <w:left w:val="single" w:sz="4" w:space="0" w:color="auto"/>
              <w:bottom w:val="single" w:sz="4" w:space="0" w:color="auto"/>
              <w:right w:val="single" w:sz="4" w:space="0" w:color="auto"/>
            </w:tcBorders>
            <w:vAlign w:val="center"/>
          </w:tcPr>
          <w:p w14:paraId="5978EDDF" w14:textId="77777777" w:rsidR="001360C0" w:rsidRPr="00160362" w:rsidRDefault="001360C0" w:rsidP="00AC0FC7">
            <w:pPr>
              <w:pStyle w:val="artx"/>
              <w:widowControl w:val="0"/>
              <w:spacing w:before="0" w:after="0" w:line="240" w:lineRule="auto"/>
              <w:ind w:left="53" w:firstLine="567"/>
              <w:rPr>
                <w:rFonts w:ascii="Times New Roman" w:hAnsi="Times New Roman" w:cs="Times New Roman"/>
                <w:color w:val="auto"/>
                <w:sz w:val="22"/>
                <w:szCs w:val="22"/>
              </w:rPr>
            </w:pPr>
            <w:r w:rsidRPr="00160362">
              <w:rPr>
                <w:rFonts w:ascii="Times New Roman" w:hAnsi="Times New Roman" w:cs="Times New Roman"/>
                <w:color w:val="auto"/>
                <w:sz w:val="22"/>
                <w:szCs w:val="22"/>
              </w:rPr>
              <w:t>-импорт</w:t>
            </w:r>
          </w:p>
        </w:tc>
        <w:tc>
          <w:tcPr>
            <w:tcW w:w="1644" w:type="dxa"/>
            <w:tcBorders>
              <w:top w:val="nil"/>
              <w:left w:val="single" w:sz="4" w:space="0" w:color="auto"/>
              <w:bottom w:val="single" w:sz="4" w:space="0" w:color="auto"/>
              <w:right w:val="single" w:sz="4" w:space="0" w:color="auto"/>
            </w:tcBorders>
            <w:vAlign w:val="center"/>
          </w:tcPr>
          <w:p w14:paraId="0F4A70E3" w14:textId="000D3D9D"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1 226,9</w:t>
            </w:r>
          </w:p>
        </w:tc>
        <w:tc>
          <w:tcPr>
            <w:tcW w:w="1644" w:type="dxa"/>
            <w:tcBorders>
              <w:top w:val="nil"/>
              <w:left w:val="single" w:sz="4" w:space="0" w:color="auto"/>
              <w:bottom w:val="single" w:sz="4" w:space="0" w:color="auto"/>
              <w:right w:val="single" w:sz="4" w:space="0" w:color="auto"/>
            </w:tcBorders>
            <w:vAlign w:val="center"/>
          </w:tcPr>
          <w:p w14:paraId="35D96505" w14:textId="1B60D9D1"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1 203,4</w:t>
            </w:r>
          </w:p>
        </w:tc>
        <w:tc>
          <w:tcPr>
            <w:tcW w:w="1645" w:type="dxa"/>
            <w:tcBorders>
              <w:top w:val="nil"/>
              <w:left w:val="single" w:sz="4" w:space="0" w:color="auto"/>
              <w:bottom w:val="single" w:sz="4" w:space="0" w:color="auto"/>
              <w:right w:val="single" w:sz="4" w:space="0" w:color="auto"/>
            </w:tcBorders>
            <w:vAlign w:val="center"/>
          </w:tcPr>
          <w:p w14:paraId="70053F44" w14:textId="6E325575"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1 031,1</w:t>
            </w:r>
          </w:p>
        </w:tc>
      </w:tr>
      <w:tr w:rsidR="001360C0" w:rsidRPr="00160362" w14:paraId="0B3769EA" w14:textId="77777777" w:rsidTr="00AC0FC7">
        <w:trPr>
          <w:trHeight w:val="323"/>
        </w:trPr>
        <w:tc>
          <w:tcPr>
            <w:tcW w:w="4693" w:type="dxa"/>
            <w:tcBorders>
              <w:top w:val="single" w:sz="4" w:space="0" w:color="auto"/>
              <w:bottom w:val="single" w:sz="4" w:space="0" w:color="auto"/>
            </w:tcBorders>
            <w:shd w:val="clear" w:color="auto" w:fill="E0E0E0"/>
            <w:vAlign w:val="center"/>
          </w:tcPr>
          <w:p w14:paraId="33A3538D" w14:textId="77777777" w:rsidR="001360C0" w:rsidRPr="00160362" w:rsidRDefault="001360C0" w:rsidP="00AC0FC7">
            <w:pPr>
              <w:pStyle w:val="artx"/>
              <w:widowControl w:val="0"/>
              <w:spacing w:before="0" w:after="0" w:line="240" w:lineRule="auto"/>
              <w:ind w:left="53" w:firstLine="283"/>
              <w:rPr>
                <w:rFonts w:ascii="Times New Roman" w:hAnsi="Times New Roman" w:cs="Times New Roman"/>
                <w:color w:val="auto"/>
                <w:sz w:val="22"/>
                <w:szCs w:val="22"/>
              </w:rPr>
            </w:pPr>
            <w:r w:rsidRPr="00160362">
              <w:rPr>
                <w:rFonts w:ascii="Times New Roman" w:hAnsi="Times New Roman" w:cs="Times New Roman"/>
                <w:color w:val="auto"/>
                <w:sz w:val="22"/>
                <w:szCs w:val="22"/>
              </w:rPr>
              <w:t xml:space="preserve">   Услуги</w:t>
            </w:r>
          </w:p>
        </w:tc>
        <w:tc>
          <w:tcPr>
            <w:tcW w:w="1644" w:type="dxa"/>
            <w:tcBorders>
              <w:top w:val="single" w:sz="4" w:space="0" w:color="auto"/>
              <w:bottom w:val="single" w:sz="4" w:space="0" w:color="auto"/>
            </w:tcBorders>
            <w:shd w:val="clear" w:color="auto" w:fill="E0E0E0"/>
            <w:vAlign w:val="center"/>
          </w:tcPr>
          <w:p w14:paraId="1BC911CE" w14:textId="1253187D"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-19,0</w:t>
            </w:r>
          </w:p>
        </w:tc>
        <w:tc>
          <w:tcPr>
            <w:tcW w:w="1644" w:type="dxa"/>
            <w:tcBorders>
              <w:top w:val="single" w:sz="4" w:space="0" w:color="auto"/>
              <w:bottom w:val="single" w:sz="4" w:space="0" w:color="auto"/>
            </w:tcBorders>
            <w:shd w:val="clear" w:color="auto" w:fill="E0E0E0"/>
            <w:vAlign w:val="center"/>
          </w:tcPr>
          <w:p w14:paraId="0BBCCD8D" w14:textId="38D4E391"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-37,1</w:t>
            </w:r>
          </w:p>
        </w:tc>
        <w:tc>
          <w:tcPr>
            <w:tcW w:w="1645" w:type="dxa"/>
            <w:tcBorders>
              <w:top w:val="single" w:sz="4" w:space="0" w:color="auto"/>
              <w:bottom w:val="single" w:sz="4" w:space="0" w:color="auto"/>
            </w:tcBorders>
            <w:shd w:val="clear" w:color="auto" w:fill="E0E0E0"/>
            <w:vAlign w:val="center"/>
          </w:tcPr>
          <w:p w14:paraId="65265929" w14:textId="0FDB624E"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-49,4</w:t>
            </w:r>
          </w:p>
        </w:tc>
      </w:tr>
      <w:tr w:rsidR="001360C0" w:rsidRPr="00160362" w14:paraId="3D17E66F" w14:textId="77777777" w:rsidTr="00AC0FC7">
        <w:tc>
          <w:tcPr>
            <w:tcW w:w="4693" w:type="dxa"/>
            <w:tcBorders>
              <w:top w:val="nil"/>
              <w:left w:val="single" w:sz="4" w:space="0" w:color="auto"/>
              <w:bottom w:val="nil"/>
              <w:right w:val="single" w:sz="4" w:space="0" w:color="auto"/>
            </w:tcBorders>
            <w:vAlign w:val="center"/>
          </w:tcPr>
          <w:p w14:paraId="67E6FEB0" w14:textId="77777777" w:rsidR="001360C0" w:rsidRPr="00160362" w:rsidRDefault="001360C0" w:rsidP="00AC0FC7">
            <w:pPr>
              <w:pStyle w:val="artx"/>
              <w:widowControl w:val="0"/>
              <w:spacing w:before="0" w:after="0" w:line="240" w:lineRule="auto"/>
              <w:ind w:left="53" w:firstLine="567"/>
              <w:rPr>
                <w:rFonts w:ascii="Times New Roman" w:hAnsi="Times New Roman" w:cs="Times New Roman"/>
                <w:color w:val="auto"/>
                <w:sz w:val="22"/>
                <w:szCs w:val="22"/>
              </w:rPr>
            </w:pPr>
            <w:r w:rsidRPr="00160362">
              <w:rPr>
                <w:rFonts w:ascii="Times New Roman" w:hAnsi="Times New Roman" w:cs="Times New Roman"/>
                <w:color w:val="auto"/>
                <w:sz w:val="22"/>
                <w:szCs w:val="22"/>
              </w:rPr>
              <w:t>-экспорт</w:t>
            </w:r>
          </w:p>
        </w:tc>
        <w:tc>
          <w:tcPr>
            <w:tcW w:w="1644" w:type="dxa"/>
            <w:tcBorders>
              <w:top w:val="nil"/>
              <w:left w:val="single" w:sz="4" w:space="0" w:color="auto"/>
              <w:bottom w:val="nil"/>
              <w:right w:val="single" w:sz="4" w:space="0" w:color="auto"/>
            </w:tcBorders>
            <w:vAlign w:val="center"/>
          </w:tcPr>
          <w:p w14:paraId="23C5871F" w14:textId="5511081F"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72,6</w:t>
            </w:r>
          </w:p>
        </w:tc>
        <w:tc>
          <w:tcPr>
            <w:tcW w:w="1644" w:type="dxa"/>
            <w:tcBorders>
              <w:top w:val="nil"/>
              <w:left w:val="single" w:sz="4" w:space="0" w:color="auto"/>
              <w:bottom w:val="nil"/>
              <w:right w:val="single" w:sz="4" w:space="0" w:color="auto"/>
            </w:tcBorders>
            <w:vAlign w:val="center"/>
          </w:tcPr>
          <w:p w14:paraId="6BDD7A4A" w14:textId="5E608A5D"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55,8</w:t>
            </w:r>
          </w:p>
        </w:tc>
        <w:tc>
          <w:tcPr>
            <w:tcW w:w="1645" w:type="dxa"/>
            <w:tcBorders>
              <w:top w:val="nil"/>
              <w:left w:val="single" w:sz="4" w:space="0" w:color="auto"/>
              <w:bottom w:val="nil"/>
              <w:right w:val="single" w:sz="4" w:space="0" w:color="auto"/>
            </w:tcBorders>
            <w:vAlign w:val="center"/>
          </w:tcPr>
          <w:p w14:paraId="2AA95468" w14:textId="1F54EED2"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39,1</w:t>
            </w:r>
          </w:p>
        </w:tc>
      </w:tr>
      <w:tr w:rsidR="001360C0" w:rsidRPr="00160362" w14:paraId="323543AC" w14:textId="77777777" w:rsidTr="00AC0FC7">
        <w:tc>
          <w:tcPr>
            <w:tcW w:w="4693" w:type="dxa"/>
            <w:tcBorders>
              <w:top w:val="nil"/>
              <w:left w:val="single" w:sz="4" w:space="0" w:color="auto"/>
              <w:bottom w:val="single" w:sz="4" w:space="0" w:color="auto"/>
              <w:right w:val="single" w:sz="4" w:space="0" w:color="auto"/>
            </w:tcBorders>
            <w:vAlign w:val="center"/>
          </w:tcPr>
          <w:p w14:paraId="58F00332" w14:textId="77777777" w:rsidR="001360C0" w:rsidRPr="00160362" w:rsidRDefault="001360C0" w:rsidP="00AC0FC7">
            <w:pPr>
              <w:pStyle w:val="artx"/>
              <w:widowControl w:val="0"/>
              <w:spacing w:before="0" w:after="0" w:line="240" w:lineRule="auto"/>
              <w:ind w:left="53" w:firstLine="567"/>
              <w:rPr>
                <w:rFonts w:ascii="Times New Roman" w:hAnsi="Times New Roman" w:cs="Times New Roman"/>
                <w:color w:val="auto"/>
                <w:sz w:val="22"/>
                <w:szCs w:val="22"/>
              </w:rPr>
            </w:pPr>
            <w:r w:rsidRPr="00160362">
              <w:rPr>
                <w:rFonts w:ascii="Times New Roman" w:hAnsi="Times New Roman" w:cs="Times New Roman"/>
                <w:color w:val="auto"/>
                <w:sz w:val="22"/>
                <w:szCs w:val="22"/>
              </w:rPr>
              <w:t>-импорт</w:t>
            </w:r>
          </w:p>
        </w:tc>
        <w:tc>
          <w:tcPr>
            <w:tcW w:w="1644" w:type="dxa"/>
            <w:tcBorders>
              <w:top w:val="nil"/>
              <w:left w:val="single" w:sz="4" w:space="0" w:color="auto"/>
              <w:bottom w:val="single" w:sz="4" w:space="0" w:color="auto"/>
              <w:right w:val="single" w:sz="4" w:space="0" w:color="auto"/>
            </w:tcBorders>
            <w:vAlign w:val="center"/>
          </w:tcPr>
          <w:p w14:paraId="0AB76AF6" w14:textId="144BF41F"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91,6</w:t>
            </w:r>
          </w:p>
        </w:tc>
        <w:tc>
          <w:tcPr>
            <w:tcW w:w="1644" w:type="dxa"/>
            <w:tcBorders>
              <w:top w:val="nil"/>
              <w:left w:val="single" w:sz="4" w:space="0" w:color="auto"/>
              <w:bottom w:val="single" w:sz="4" w:space="0" w:color="auto"/>
              <w:right w:val="single" w:sz="4" w:space="0" w:color="auto"/>
            </w:tcBorders>
            <w:vAlign w:val="center"/>
          </w:tcPr>
          <w:p w14:paraId="398F1205" w14:textId="061A04C4"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92,9</w:t>
            </w:r>
          </w:p>
        </w:tc>
        <w:tc>
          <w:tcPr>
            <w:tcW w:w="1645" w:type="dxa"/>
            <w:tcBorders>
              <w:top w:val="nil"/>
              <w:left w:val="single" w:sz="4" w:space="0" w:color="auto"/>
              <w:bottom w:val="single" w:sz="4" w:space="0" w:color="auto"/>
              <w:right w:val="single" w:sz="4" w:space="0" w:color="auto"/>
            </w:tcBorders>
            <w:vAlign w:val="center"/>
          </w:tcPr>
          <w:p w14:paraId="40B31B90" w14:textId="218589DD"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88,4</w:t>
            </w:r>
          </w:p>
        </w:tc>
      </w:tr>
      <w:tr w:rsidR="001360C0" w:rsidRPr="00160362" w14:paraId="03D3D2D8" w14:textId="77777777" w:rsidTr="00AC0FC7">
        <w:trPr>
          <w:trHeight w:val="322"/>
        </w:trPr>
        <w:tc>
          <w:tcPr>
            <w:tcW w:w="4693" w:type="dxa"/>
            <w:tcBorders>
              <w:top w:val="single" w:sz="4" w:space="0" w:color="auto"/>
              <w:bottom w:val="single" w:sz="4" w:space="0" w:color="auto"/>
            </w:tcBorders>
            <w:shd w:val="clear" w:color="auto" w:fill="E0E0E0"/>
            <w:vAlign w:val="center"/>
          </w:tcPr>
          <w:p w14:paraId="4071E797" w14:textId="77777777" w:rsidR="001360C0" w:rsidRPr="00160362" w:rsidRDefault="001360C0" w:rsidP="008A651D">
            <w:pPr>
              <w:pStyle w:val="artx"/>
              <w:widowControl w:val="0"/>
              <w:spacing w:before="0" w:after="0" w:line="240" w:lineRule="auto"/>
              <w:ind w:firstLine="102"/>
              <w:rPr>
                <w:rFonts w:ascii="Times New Roman" w:hAnsi="Times New Roman" w:cs="Times New Roman"/>
                <w:color w:val="auto"/>
                <w:sz w:val="22"/>
                <w:szCs w:val="22"/>
              </w:rPr>
            </w:pPr>
            <w:r w:rsidRPr="00160362">
              <w:rPr>
                <w:rFonts w:ascii="Times New Roman" w:hAnsi="Times New Roman" w:cs="Times New Roman"/>
                <w:color w:val="auto"/>
                <w:sz w:val="22"/>
                <w:szCs w:val="22"/>
              </w:rPr>
              <w:t>Первичные доходы</w:t>
            </w:r>
          </w:p>
        </w:tc>
        <w:tc>
          <w:tcPr>
            <w:tcW w:w="1644" w:type="dxa"/>
            <w:tcBorders>
              <w:top w:val="single" w:sz="4" w:space="0" w:color="auto"/>
              <w:bottom w:val="single" w:sz="4" w:space="0" w:color="auto"/>
            </w:tcBorders>
            <w:shd w:val="clear" w:color="auto" w:fill="E0E0E0"/>
            <w:vAlign w:val="center"/>
          </w:tcPr>
          <w:p w14:paraId="6CCE57FB" w14:textId="5897F6FD"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-32,2</w:t>
            </w:r>
          </w:p>
        </w:tc>
        <w:tc>
          <w:tcPr>
            <w:tcW w:w="1644" w:type="dxa"/>
            <w:tcBorders>
              <w:top w:val="single" w:sz="4" w:space="0" w:color="auto"/>
              <w:bottom w:val="single" w:sz="4" w:space="0" w:color="auto"/>
            </w:tcBorders>
            <w:shd w:val="clear" w:color="auto" w:fill="E0E0E0"/>
            <w:vAlign w:val="center"/>
          </w:tcPr>
          <w:p w14:paraId="43122701" w14:textId="581DE2AB"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-42,0</w:t>
            </w:r>
          </w:p>
        </w:tc>
        <w:tc>
          <w:tcPr>
            <w:tcW w:w="1645" w:type="dxa"/>
            <w:tcBorders>
              <w:top w:val="single" w:sz="4" w:space="0" w:color="auto"/>
              <w:bottom w:val="single" w:sz="4" w:space="0" w:color="auto"/>
            </w:tcBorders>
            <w:shd w:val="clear" w:color="auto" w:fill="E0E0E0"/>
            <w:vAlign w:val="center"/>
          </w:tcPr>
          <w:p w14:paraId="2A6F1DB8" w14:textId="24282B86"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-43,8</w:t>
            </w:r>
          </w:p>
        </w:tc>
      </w:tr>
      <w:tr w:rsidR="001360C0" w:rsidRPr="00160362" w14:paraId="7B356485" w14:textId="77777777" w:rsidTr="00AC0FC7">
        <w:tc>
          <w:tcPr>
            <w:tcW w:w="4693" w:type="dxa"/>
            <w:tcBorders>
              <w:top w:val="nil"/>
              <w:left w:val="single" w:sz="4" w:space="0" w:color="auto"/>
              <w:bottom w:val="nil"/>
              <w:right w:val="single" w:sz="4" w:space="0" w:color="auto"/>
            </w:tcBorders>
            <w:vAlign w:val="center"/>
          </w:tcPr>
          <w:p w14:paraId="704C6861" w14:textId="77777777" w:rsidR="001360C0" w:rsidRPr="00160362" w:rsidRDefault="001360C0" w:rsidP="008A651D">
            <w:pPr>
              <w:pStyle w:val="artx"/>
              <w:widowControl w:val="0"/>
              <w:spacing w:before="0" w:after="0" w:line="240" w:lineRule="auto"/>
              <w:ind w:left="318" w:hanging="14"/>
              <w:rPr>
                <w:rFonts w:ascii="Times New Roman" w:hAnsi="Times New Roman" w:cs="Times New Roman"/>
                <w:color w:val="auto"/>
                <w:sz w:val="22"/>
                <w:szCs w:val="22"/>
              </w:rPr>
            </w:pPr>
            <w:r w:rsidRPr="00160362">
              <w:rPr>
                <w:rFonts w:ascii="Times New Roman" w:hAnsi="Times New Roman" w:cs="Times New Roman"/>
                <w:color w:val="auto"/>
                <w:sz w:val="22"/>
                <w:szCs w:val="22"/>
              </w:rPr>
              <w:t>-кредит</w:t>
            </w:r>
          </w:p>
        </w:tc>
        <w:tc>
          <w:tcPr>
            <w:tcW w:w="1644" w:type="dxa"/>
            <w:tcBorders>
              <w:top w:val="nil"/>
              <w:left w:val="single" w:sz="4" w:space="0" w:color="auto"/>
              <w:bottom w:val="nil"/>
              <w:right w:val="single" w:sz="4" w:space="0" w:color="auto"/>
            </w:tcBorders>
            <w:vAlign w:val="center"/>
          </w:tcPr>
          <w:p w14:paraId="3E4D4F1E" w14:textId="7AAAE1DD"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10,3</w:t>
            </w:r>
          </w:p>
        </w:tc>
        <w:tc>
          <w:tcPr>
            <w:tcW w:w="1644" w:type="dxa"/>
            <w:tcBorders>
              <w:top w:val="nil"/>
              <w:left w:val="single" w:sz="4" w:space="0" w:color="auto"/>
              <w:bottom w:val="nil"/>
              <w:right w:val="single" w:sz="4" w:space="0" w:color="auto"/>
            </w:tcBorders>
            <w:vAlign w:val="center"/>
          </w:tcPr>
          <w:p w14:paraId="36E111BC" w14:textId="4EA9F86D"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10,9</w:t>
            </w:r>
          </w:p>
        </w:tc>
        <w:tc>
          <w:tcPr>
            <w:tcW w:w="1645" w:type="dxa"/>
            <w:tcBorders>
              <w:top w:val="nil"/>
              <w:left w:val="single" w:sz="4" w:space="0" w:color="auto"/>
              <w:bottom w:val="nil"/>
              <w:right w:val="single" w:sz="4" w:space="0" w:color="auto"/>
            </w:tcBorders>
            <w:vAlign w:val="center"/>
          </w:tcPr>
          <w:p w14:paraId="737218FC" w14:textId="45F469B5"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10,5</w:t>
            </w:r>
          </w:p>
        </w:tc>
      </w:tr>
      <w:tr w:rsidR="001360C0" w:rsidRPr="00160362" w14:paraId="6F58A867" w14:textId="77777777" w:rsidTr="00AC0FC7">
        <w:tc>
          <w:tcPr>
            <w:tcW w:w="4693" w:type="dxa"/>
            <w:tcBorders>
              <w:top w:val="nil"/>
              <w:left w:val="single" w:sz="4" w:space="0" w:color="auto"/>
              <w:bottom w:val="single" w:sz="4" w:space="0" w:color="auto"/>
              <w:right w:val="single" w:sz="4" w:space="0" w:color="auto"/>
            </w:tcBorders>
            <w:vAlign w:val="center"/>
          </w:tcPr>
          <w:p w14:paraId="4A5E2E96" w14:textId="77777777" w:rsidR="001360C0" w:rsidRPr="00160362" w:rsidRDefault="001360C0" w:rsidP="008A651D">
            <w:pPr>
              <w:pStyle w:val="artx"/>
              <w:widowControl w:val="0"/>
              <w:spacing w:before="0" w:after="0" w:line="240" w:lineRule="auto"/>
              <w:ind w:left="318" w:hanging="14"/>
              <w:rPr>
                <w:rFonts w:ascii="Times New Roman" w:hAnsi="Times New Roman" w:cs="Times New Roman"/>
                <w:color w:val="auto"/>
                <w:sz w:val="22"/>
                <w:szCs w:val="22"/>
              </w:rPr>
            </w:pPr>
            <w:r w:rsidRPr="00160362">
              <w:rPr>
                <w:rFonts w:ascii="Times New Roman" w:hAnsi="Times New Roman" w:cs="Times New Roman"/>
                <w:color w:val="auto"/>
                <w:sz w:val="22"/>
                <w:szCs w:val="22"/>
              </w:rPr>
              <w:t>-дебет</w:t>
            </w:r>
          </w:p>
        </w:tc>
        <w:tc>
          <w:tcPr>
            <w:tcW w:w="1644" w:type="dxa"/>
            <w:tcBorders>
              <w:top w:val="nil"/>
              <w:left w:val="single" w:sz="4" w:space="0" w:color="auto"/>
              <w:bottom w:val="single" w:sz="4" w:space="0" w:color="auto"/>
              <w:right w:val="single" w:sz="4" w:space="0" w:color="auto"/>
            </w:tcBorders>
            <w:vAlign w:val="center"/>
          </w:tcPr>
          <w:p w14:paraId="1A2E1C77" w14:textId="2BDAE44C"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42,5</w:t>
            </w:r>
          </w:p>
        </w:tc>
        <w:tc>
          <w:tcPr>
            <w:tcW w:w="1644" w:type="dxa"/>
            <w:tcBorders>
              <w:top w:val="nil"/>
              <w:left w:val="single" w:sz="4" w:space="0" w:color="auto"/>
              <w:bottom w:val="single" w:sz="4" w:space="0" w:color="auto"/>
              <w:right w:val="single" w:sz="4" w:space="0" w:color="auto"/>
            </w:tcBorders>
            <w:vAlign w:val="center"/>
          </w:tcPr>
          <w:p w14:paraId="7606D140" w14:textId="70D9A3F0"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52,8</w:t>
            </w:r>
          </w:p>
        </w:tc>
        <w:tc>
          <w:tcPr>
            <w:tcW w:w="1645" w:type="dxa"/>
            <w:tcBorders>
              <w:top w:val="nil"/>
              <w:left w:val="single" w:sz="4" w:space="0" w:color="auto"/>
              <w:bottom w:val="single" w:sz="4" w:space="0" w:color="auto"/>
              <w:right w:val="single" w:sz="4" w:space="0" w:color="auto"/>
            </w:tcBorders>
            <w:vAlign w:val="center"/>
          </w:tcPr>
          <w:p w14:paraId="7E968426" w14:textId="1F5DE3DE"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54,3</w:t>
            </w:r>
          </w:p>
        </w:tc>
      </w:tr>
      <w:tr w:rsidR="001360C0" w:rsidRPr="00160362" w14:paraId="7A68A16E" w14:textId="77777777" w:rsidTr="00AC0FC7">
        <w:trPr>
          <w:trHeight w:val="350"/>
        </w:trPr>
        <w:tc>
          <w:tcPr>
            <w:tcW w:w="4693" w:type="dxa"/>
            <w:tcBorders>
              <w:top w:val="single" w:sz="4" w:space="0" w:color="auto"/>
              <w:bottom w:val="single" w:sz="4" w:space="0" w:color="auto"/>
            </w:tcBorders>
            <w:shd w:val="clear" w:color="auto" w:fill="E0E0E0"/>
            <w:vAlign w:val="center"/>
          </w:tcPr>
          <w:p w14:paraId="37416856" w14:textId="77777777" w:rsidR="001360C0" w:rsidRPr="00160362" w:rsidRDefault="001360C0" w:rsidP="008A651D">
            <w:pPr>
              <w:pStyle w:val="artx"/>
              <w:widowControl w:val="0"/>
              <w:tabs>
                <w:tab w:val="left" w:pos="219"/>
              </w:tabs>
              <w:spacing w:before="0" w:after="0" w:line="240" w:lineRule="auto"/>
              <w:ind w:firstLine="102"/>
              <w:rPr>
                <w:rFonts w:ascii="Times New Roman" w:hAnsi="Times New Roman" w:cs="Times New Roman"/>
                <w:color w:val="auto"/>
                <w:sz w:val="22"/>
                <w:szCs w:val="22"/>
              </w:rPr>
            </w:pPr>
            <w:r w:rsidRPr="00160362">
              <w:rPr>
                <w:rFonts w:ascii="Times New Roman" w:hAnsi="Times New Roman" w:cs="Times New Roman"/>
                <w:color w:val="auto"/>
                <w:sz w:val="22"/>
                <w:szCs w:val="22"/>
              </w:rPr>
              <w:t>Вторичные доходы</w:t>
            </w:r>
          </w:p>
        </w:tc>
        <w:tc>
          <w:tcPr>
            <w:tcW w:w="1644" w:type="dxa"/>
            <w:tcBorders>
              <w:top w:val="single" w:sz="4" w:space="0" w:color="auto"/>
              <w:bottom w:val="single" w:sz="4" w:space="0" w:color="auto"/>
            </w:tcBorders>
            <w:shd w:val="clear" w:color="auto" w:fill="E0E0E0"/>
            <w:vAlign w:val="center"/>
          </w:tcPr>
          <w:p w14:paraId="634C7AE4" w14:textId="28882456" w:rsidR="001360C0" w:rsidRPr="00160362" w:rsidRDefault="00705ED9" w:rsidP="00BA575F">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539,8</w:t>
            </w:r>
          </w:p>
        </w:tc>
        <w:tc>
          <w:tcPr>
            <w:tcW w:w="1644" w:type="dxa"/>
            <w:tcBorders>
              <w:top w:val="single" w:sz="4" w:space="0" w:color="auto"/>
              <w:bottom w:val="single" w:sz="4" w:space="0" w:color="auto"/>
            </w:tcBorders>
            <w:shd w:val="clear" w:color="auto" w:fill="E0E0E0"/>
            <w:vAlign w:val="center"/>
          </w:tcPr>
          <w:p w14:paraId="081359E5" w14:textId="2615F69D"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627,1</w:t>
            </w:r>
          </w:p>
        </w:tc>
        <w:tc>
          <w:tcPr>
            <w:tcW w:w="1645" w:type="dxa"/>
            <w:tcBorders>
              <w:top w:val="single" w:sz="4" w:space="0" w:color="auto"/>
              <w:bottom w:val="single" w:sz="4" w:space="0" w:color="auto"/>
            </w:tcBorders>
            <w:shd w:val="clear" w:color="auto" w:fill="E0E0E0"/>
            <w:vAlign w:val="center"/>
          </w:tcPr>
          <w:p w14:paraId="696C4A3B" w14:textId="0F43CCF2"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487,2</w:t>
            </w:r>
          </w:p>
        </w:tc>
      </w:tr>
      <w:tr w:rsidR="001360C0" w:rsidRPr="00160362" w14:paraId="52B36A54" w14:textId="77777777" w:rsidTr="00AC0FC7">
        <w:tc>
          <w:tcPr>
            <w:tcW w:w="4693" w:type="dxa"/>
            <w:tcBorders>
              <w:top w:val="nil"/>
              <w:left w:val="single" w:sz="4" w:space="0" w:color="auto"/>
              <w:bottom w:val="nil"/>
              <w:right w:val="single" w:sz="4" w:space="0" w:color="auto"/>
            </w:tcBorders>
            <w:vAlign w:val="center"/>
          </w:tcPr>
          <w:p w14:paraId="1B05FDA9" w14:textId="77777777" w:rsidR="001360C0" w:rsidRPr="00160362" w:rsidRDefault="001360C0" w:rsidP="008A651D">
            <w:pPr>
              <w:pStyle w:val="artx"/>
              <w:widowControl w:val="0"/>
              <w:spacing w:before="0" w:after="0" w:line="240" w:lineRule="auto"/>
              <w:ind w:left="318" w:hanging="14"/>
              <w:rPr>
                <w:rFonts w:ascii="Times New Roman" w:hAnsi="Times New Roman" w:cs="Times New Roman"/>
                <w:color w:val="auto"/>
                <w:sz w:val="22"/>
                <w:szCs w:val="22"/>
              </w:rPr>
            </w:pPr>
            <w:r w:rsidRPr="00160362">
              <w:rPr>
                <w:rFonts w:ascii="Times New Roman" w:hAnsi="Times New Roman" w:cs="Times New Roman"/>
                <w:color w:val="auto"/>
                <w:sz w:val="22"/>
                <w:szCs w:val="22"/>
              </w:rPr>
              <w:t>-кредит</w:t>
            </w:r>
          </w:p>
        </w:tc>
        <w:tc>
          <w:tcPr>
            <w:tcW w:w="1644" w:type="dxa"/>
            <w:tcBorders>
              <w:top w:val="nil"/>
              <w:left w:val="single" w:sz="4" w:space="0" w:color="auto"/>
              <w:bottom w:val="nil"/>
              <w:right w:val="single" w:sz="4" w:space="0" w:color="auto"/>
            </w:tcBorders>
            <w:vAlign w:val="center"/>
          </w:tcPr>
          <w:p w14:paraId="4FE10A3F" w14:textId="742B07E1"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580,5</w:t>
            </w:r>
          </w:p>
        </w:tc>
        <w:tc>
          <w:tcPr>
            <w:tcW w:w="1644" w:type="dxa"/>
            <w:tcBorders>
              <w:top w:val="nil"/>
              <w:left w:val="single" w:sz="4" w:space="0" w:color="auto"/>
              <w:bottom w:val="nil"/>
              <w:right w:val="single" w:sz="4" w:space="0" w:color="auto"/>
            </w:tcBorders>
            <w:vAlign w:val="center"/>
          </w:tcPr>
          <w:p w14:paraId="0752E22A" w14:textId="78578743"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677,1</w:t>
            </w:r>
          </w:p>
        </w:tc>
        <w:tc>
          <w:tcPr>
            <w:tcW w:w="1645" w:type="dxa"/>
            <w:tcBorders>
              <w:top w:val="nil"/>
              <w:left w:val="single" w:sz="4" w:space="0" w:color="auto"/>
              <w:bottom w:val="nil"/>
              <w:right w:val="single" w:sz="4" w:space="0" w:color="auto"/>
            </w:tcBorders>
            <w:vAlign w:val="center"/>
          </w:tcPr>
          <w:p w14:paraId="11BB1F7B" w14:textId="6EB88DA5"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550,6</w:t>
            </w:r>
          </w:p>
        </w:tc>
      </w:tr>
      <w:tr w:rsidR="001360C0" w:rsidRPr="00160362" w14:paraId="5A28C081" w14:textId="77777777" w:rsidTr="00AC0FC7">
        <w:tc>
          <w:tcPr>
            <w:tcW w:w="4693" w:type="dxa"/>
            <w:tcBorders>
              <w:top w:val="nil"/>
              <w:left w:val="single" w:sz="4" w:space="0" w:color="auto"/>
              <w:bottom w:val="single" w:sz="4" w:space="0" w:color="auto"/>
              <w:right w:val="single" w:sz="4" w:space="0" w:color="auto"/>
            </w:tcBorders>
            <w:vAlign w:val="center"/>
          </w:tcPr>
          <w:p w14:paraId="4802FEA5" w14:textId="77777777" w:rsidR="001360C0" w:rsidRPr="00160362" w:rsidRDefault="001360C0" w:rsidP="008A651D">
            <w:pPr>
              <w:pStyle w:val="artx"/>
              <w:widowControl w:val="0"/>
              <w:spacing w:before="0" w:after="0" w:line="240" w:lineRule="auto"/>
              <w:ind w:left="318" w:hanging="14"/>
              <w:rPr>
                <w:rFonts w:ascii="Times New Roman" w:hAnsi="Times New Roman" w:cs="Times New Roman"/>
                <w:color w:val="auto"/>
                <w:sz w:val="22"/>
                <w:szCs w:val="22"/>
              </w:rPr>
            </w:pPr>
            <w:r w:rsidRPr="00160362">
              <w:rPr>
                <w:rFonts w:ascii="Times New Roman" w:hAnsi="Times New Roman" w:cs="Times New Roman"/>
                <w:color w:val="auto"/>
                <w:sz w:val="22"/>
                <w:szCs w:val="22"/>
              </w:rPr>
              <w:t>-дебет</w:t>
            </w:r>
          </w:p>
        </w:tc>
        <w:tc>
          <w:tcPr>
            <w:tcW w:w="1644" w:type="dxa"/>
            <w:tcBorders>
              <w:top w:val="nil"/>
              <w:left w:val="single" w:sz="4" w:space="0" w:color="auto"/>
              <w:bottom w:val="single" w:sz="4" w:space="0" w:color="auto"/>
              <w:right w:val="single" w:sz="4" w:space="0" w:color="auto"/>
            </w:tcBorders>
            <w:vAlign w:val="center"/>
          </w:tcPr>
          <w:p w14:paraId="35EFC986" w14:textId="7A199F91" w:rsidR="001360C0" w:rsidRPr="00160362" w:rsidRDefault="00705ED9" w:rsidP="008A651D">
            <w:pPr>
              <w:widowControl w:val="0"/>
              <w:tabs>
                <w:tab w:val="left" w:pos="1992"/>
              </w:tabs>
              <w:spacing w:before="0" w:after="0" w:line="240" w:lineRule="auto"/>
              <w:ind w:right="447"/>
              <w:jc w:val="right"/>
              <w:rPr>
                <w:rFonts w:ascii="Times New Roman" w:hAnsi="Times New Roman" w:cs="Times New Roman"/>
                <w:sz w:val="22"/>
                <w:szCs w:val="22"/>
              </w:rPr>
            </w:pPr>
            <w:r>
              <w:rPr>
                <w:rFonts w:ascii="Times New Roman" w:hAnsi="Times New Roman" w:cs="Times New Roman"/>
                <w:sz w:val="22"/>
                <w:szCs w:val="22"/>
              </w:rPr>
              <w:t>40,7</w:t>
            </w:r>
          </w:p>
        </w:tc>
        <w:tc>
          <w:tcPr>
            <w:tcW w:w="1644" w:type="dxa"/>
            <w:tcBorders>
              <w:top w:val="nil"/>
              <w:left w:val="single" w:sz="4" w:space="0" w:color="auto"/>
              <w:bottom w:val="single" w:sz="4" w:space="0" w:color="auto"/>
              <w:right w:val="single" w:sz="4" w:space="0" w:color="auto"/>
            </w:tcBorders>
            <w:vAlign w:val="center"/>
          </w:tcPr>
          <w:p w14:paraId="4B12DB64" w14:textId="250FBD08" w:rsidR="001360C0" w:rsidRPr="00160362" w:rsidRDefault="00705ED9" w:rsidP="008A651D">
            <w:pPr>
              <w:widowControl w:val="0"/>
              <w:spacing w:before="0" w:after="0" w:line="240" w:lineRule="auto"/>
              <w:ind w:right="432"/>
              <w:jc w:val="right"/>
              <w:rPr>
                <w:rFonts w:ascii="Times New Roman" w:hAnsi="Times New Roman" w:cs="Times New Roman"/>
                <w:sz w:val="22"/>
                <w:szCs w:val="22"/>
              </w:rPr>
            </w:pPr>
            <w:r>
              <w:rPr>
                <w:rFonts w:ascii="Times New Roman" w:hAnsi="Times New Roman" w:cs="Times New Roman"/>
                <w:sz w:val="22"/>
                <w:szCs w:val="22"/>
              </w:rPr>
              <w:t>50,0</w:t>
            </w:r>
          </w:p>
        </w:tc>
        <w:tc>
          <w:tcPr>
            <w:tcW w:w="1645" w:type="dxa"/>
            <w:tcBorders>
              <w:top w:val="nil"/>
              <w:left w:val="single" w:sz="4" w:space="0" w:color="auto"/>
              <w:bottom w:val="single" w:sz="4" w:space="0" w:color="auto"/>
              <w:right w:val="single" w:sz="4" w:space="0" w:color="auto"/>
            </w:tcBorders>
            <w:vAlign w:val="center"/>
          </w:tcPr>
          <w:p w14:paraId="2D7770A2" w14:textId="3BC239F7" w:rsidR="001360C0" w:rsidRPr="00160362" w:rsidRDefault="00705ED9" w:rsidP="008A651D">
            <w:pPr>
              <w:widowControl w:val="0"/>
              <w:spacing w:before="0" w:after="0" w:line="240" w:lineRule="auto"/>
              <w:ind w:right="435"/>
              <w:jc w:val="right"/>
              <w:rPr>
                <w:rFonts w:ascii="Times New Roman" w:hAnsi="Times New Roman" w:cs="Times New Roman"/>
                <w:sz w:val="22"/>
                <w:szCs w:val="22"/>
              </w:rPr>
            </w:pPr>
            <w:r>
              <w:rPr>
                <w:rFonts w:ascii="Times New Roman" w:hAnsi="Times New Roman" w:cs="Times New Roman"/>
                <w:sz w:val="22"/>
                <w:szCs w:val="22"/>
              </w:rPr>
              <w:t>63,4</w:t>
            </w:r>
          </w:p>
        </w:tc>
      </w:tr>
      <w:tr w:rsidR="001360C0" w:rsidRPr="00160362" w14:paraId="016CB115" w14:textId="77777777" w:rsidTr="00AC0FC7">
        <w:trPr>
          <w:trHeight w:val="410"/>
        </w:trPr>
        <w:tc>
          <w:tcPr>
            <w:tcW w:w="4693" w:type="dxa"/>
            <w:tcBorders>
              <w:top w:val="single" w:sz="4" w:space="0" w:color="auto"/>
              <w:bottom w:val="single" w:sz="4" w:space="0" w:color="auto"/>
            </w:tcBorders>
            <w:shd w:val="clear" w:color="auto" w:fill="E0E0E0"/>
            <w:vAlign w:val="center"/>
          </w:tcPr>
          <w:p w14:paraId="686E03E8" w14:textId="77777777" w:rsidR="001360C0" w:rsidRPr="00160362" w:rsidRDefault="001360C0" w:rsidP="00AC0FC7">
            <w:pPr>
              <w:pStyle w:val="CharChar"/>
              <w:widowControl w:val="0"/>
              <w:spacing w:before="0" w:after="0" w:line="240" w:lineRule="auto"/>
              <w:rPr>
                <w:rFonts w:ascii="Times New Roman" w:hAnsi="Times New Roman" w:cs="Times New Roman"/>
                <w:sz w:val="22"/>
                <w:szCs w:val="22"/>
              </w:rPr>
            </w:pPr>
            <w:r w:rsidRPr="00160362">
              <w:rPr>
                <w:rFonts w:ascii="Times New Roman" w:hAnsi="Times New Roman" w:cs="Times New Roman"/>
                <w:sz w:val="22"/>
                <w:szCs w:val="22"/>
              </w:rPr>
              <w:t>2. СЧ</w:t>
            </w:r>
            <w:r w:rsidR="00AC0FC7" w:rsidRPr="00160362">
              <w:rPr>
                <w:rFonts w:ascii="Times New Roman" w:hAnsi="Times New Roman" w:cs="Times New Roman"/>
                <w:sz w:val="22"/>
                <w:szCs w:val="22"/>
                <w:lang w:val="ru-RU"/>
              </w:rPr>
              <w:t>Ё</w:t>
            </w:r>
            <w:r w:rsidRPr="00160362">
              <w:rPr>
                <w:rFonts w:ascii="Times New Roman" w:hAnsi="Times New Roman" w:cs="Times New Roman"/>
                <w:sz w:val="22"/>
                <w:szCs w:val="22"/>
              </w:rPr>
              <w:t xml:space="preserve">Т ОПЕРАЦИЙ С КАПИТАЛОМ </w:t>
            </w:r>
          </w:p>
        </w:tc>
        <w:tc>
          <w:tcPr>
            <w:tcW w:w="1644" w:type="dxa"/>
            <w:tcBorders>
              <w:top w:val="single" w:sz="4" w:space="0" w:color="auto"/>
              <w:bottom w:val="single" w:sz="4" w:space="0" w:color="auto"/>
            </w:tcBorders>
            <w:shd w:val="clear" w:color="auto" w:fill="E0E0E0"/>
            <w:vAlign w:val="center"/>
          </w:tcPr>
          <w:p w14:paraId="5F98BC76" w14:textId="7FFD3942" w:rsidR="001360C0" w:rsidRPr="0082437D" w:rsidRDefault="00786A1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0,0</w:t>
            </w:r>
          </w:p>
        </w:tc>
        <w:tc>
          <w:tcPr>
            <w:tcW w:w="1644" w:type="dxa"/>
            <w:tcBorders>
              <w:top w:val="single" w:sz="4" w:space="0" w:color="auto"/>
              <w:bottom w:val="single" w:sz="4" w:space="0" w:color="auto"/>
            </w:tcBorders>
            <w:shd w:val="clear" w:color="auto" w:fill="E0E0E0"/>
            <w:vAlign w:val="center"/>
          </w:tcPr>
          <w:p w14:paraId="0182EB44" w14:textId="2F9F05B9" w:rsidR="001360C0" w:rsidRPr="0082437D" w:rsidRDefault="00786A1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0,0</w:t>
            </w:r>
          </w:p>
        </w:tc>
        <w:tc>
          <w:tcPr>
            <w:tcW w:w="1645" w:type="dxa"/>
            <w:tcBorders>
              <w:top w:val="single" w:sz="4" w:space="0" w:color="auto"/>
              <w:bottom w:val="single" w:sz="4" w:space="0" w:color="auto"/>
            </w:tcBorders>
            <w:shd w:val="clear" w:color="auto" w:fill="E0E0E0"/>
            <w:vAlign w:val="center"/>
          </w:tcPr>
          <w:p w14:paraId="16882E80" w14:textId="2D1A97E3" w:rsidR="001360C0" w:rsidRPr="0082437D" w:rsidRDefault="00786A1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0,0</w:t>
            </w:r>
          </w:p>
        </w:tc>
      </w:tr>
      <w:tr w:rsidR="001360C0" w:rsidRPr="00160362" w14:paraId="0AE76E78" w14:textId="77777777" w:rsidTr="00AC0FC7">
        <w:trPr>
          <w:trHeight w:val="240"/>
        </w:trPr>
        <w:tc>
          <w:tcPr>
            <w:tcW w:w="4693" w:type="dxa"/>
            <w:tcBorders>
              <w:bottom w:val="single" w:sz="4" w:space="0" w:color="auto"/>
            </w:tcBorders>
            <w:shd w:val="clear" w:color="auto" w:fill="E0E0E0"/>
            <w:vAlign w:val="bottom"/>
          </w:tcPr>
          <w:p w14:paraId="41D223AB" w14:textId="77777777" w:rsidR="001360C0" w:rsidRPr="00160362" w:rsidRDefault="001360C0" w:rsidP="00AC0FC7">
            <w:pPr>
              <w:spacing w:before="0" w:after="0" w:line="240" w:lineRule="auto"/>
              <w:ind w:right="-108"/>
              <w:rPr>
                <w:rFonts w:ascii="Times New Roman" w:hAnsi="Times New Roman" w:cs="Times New Roman"/>
                <w:b/>
                <w:bCs/>
                <w:sz w:val="22"/>
                <w:szCs w:val="22"/>
              </w:rPr>
            </w:pPr>
            <w:r w:rsidRPr="00160362">
              <w:rPr>
                <w:rFonts w:ascii="Times New Roman" w:hAnsi="Times New Roman" w:cs="Times New Roman"/>
                <w:sz w:val="22"/>
                <w:szCs w:val="22"/>
              </w:rPr>
              <w:t xml:space="preserve">Чистое кредитование (+) / чистое заимствование (-) </w:t>
            </w:r>
            <w:r w:rsidRPr="00160362">
              <w:rPr>
                <w:rStyle w:val="small"/>
                <w:rFonts w:ascii="Times New Roman" w:hAnsi="Times New Roman" w:cs="Times New Roman"/>
                <w:sz w:val="22"/>
                <w:szCs w:val="22"/>
              </w:rPr>
              <w:t>(сальдо по данным счёта текущих операций и сч</w:t>
            </w:r>
            <w:r w:rsidR="00AC0FC7" w:rsidRPr="00160362">
              <w:rPr>
                <w:rStyle w:val="small"/>
                <w:rFonts w:ascii="Times New Roman" w:hAnsi="Times New Roman" w:cs="Times New Roman"/>
                <w:sz w:val="22"/>
                <w:szCs w:val="22"/>
              </w:rPr>
              <w:t>ё</w:t>
            </w:r>
            <w:r w:rsidRPr="00160362">
              <w:rPr>
                <w:rStyle w:val="small"/>
                <w:rFonts w:ascii="Times New Roman" w:hAnsi="Times New Roman" w:cs="Times New Roman"/>
                <w:sz w:val="22"/>
                <w:szCs w:val="22"/>
              </w:rPr>
              <w:t>та операций с капиталом)</w:t>
            </w:r>
          </w:p>
        </w:tc>
        <w:tc>
          <w:tcPr>
            <w:tcW w:w="1644" w:type="dxa"/>
            <w:tcBorders>
              <w:bottom w:val="single" w:sz="4" w:space="0" w:color="auto"/>
            </w:tcBorders>
            <w:shd w:val="clear" w:color="auto" w:fill="E0E0E0"/>
            <w:vAlign w:val="center"/>
          </w:tcPr>
          <w:p w14:paraId="35AF3FB0" w14:textId="5BF867F6" w:rsidR="001360C0" w:rsidRPr="0082437D" w:rsidRDefault="00786A1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-44,3</w:t>
            </w:r>
          </w:p>
        </w:tc>
        <w:tc>
          <w:tcPr>
            <w:tcW w:w="1644" w:type="dxa"/>
            <w:tcBorders>
              <w:bottom w:val="single" w:sz="4" w:space="0" w:color="auto"/>
            </w:tcBorders>
            <w:shd w:val="clear" w:color="auto" w:fill="E0E0E0"/>
            <w:vAlign w:val="center"/>
          </w:tcPr>
          <w:p w14:paraId="1F2B0121" w14:textId="3D093D6D" w:rsidR="001360C0" w:rsidRPr="0082437D" w:rsidRDefault="00786A1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-12,5</w:t>
            </w:r>
          </w:p>
        </w:tc>
        <w:tc>
          <w:tcPr>
            <w:tcW w:w="1645" w:type="dxa"/>
            <w:tcBorders>
              <w:bottom w:val="single" w:sz="4" w:space="0" w:color="auto"/>
            </w:tcBorders>
            <w:shd w:val="clear" w:color="auto" w:fill="E0E0E0"/>
            <w:vAlign w:val="center"/>
          </w:tcPr>
          <w:p w14:paraId="4FD71FAF" w14:textId="384D4166" w:rsidR="001360C0" w:rsidRPr="0082437D" w:rsidRDefault="00786A1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-15,7</w:t>
            </w:r>
          </w:p>
        </w:tc>
      </w:tr>
      <w:tr w:rsidR="001360C0" w:rsidRPr="00160362" w14:paraId="23CF9164" w14:textId="77777777" w:rsidTr="00AC0FC7">
        <w:trPr>
          <w:trHeight w:val="240"/>
        </w:trPr>
        <w:tc>
          <w:tcPr>
            <w:tcW w:w="4693" w:type="dxa"/>
            <w:tcBorders>
              <w:bottom w:val="single" w:sz="4" w:space="0" w:color="auto"/>
            </w:tcBorders>
            <w:shd w:val="clear" w:color="auto" w:fill="E0E0E0"/>
            <w:vAlign w:val="center"/>
          </w:tcPr>
          <w:p w14:paraId="6B85A8AA" w14:textId="35762BA6" w:rsidR="001360C0" w:rsidRPr="00160362" w:rsidRDefault="001360C0" w:rsidP="003465F9">
            <w:pPr>
              <w:pStyle w:val="CharChar"/>
              <w:widowControl w:val="0"/>
              <w:spacing w:before="0" w:after="0" w:line="240" w:lineRule="auto"/>
              <w:rPr>
                <w:rFonts w:ascii="Times New Roman" w:hAnsi="Times New Roman" w:cs="Times New Roman"/>
                <w:sz w:val="22"/>
                <w:szCs w:val="22"/>
              </w:rPr>
            </w:pPr>
            <w:r w:rsidRPr="00160362">
              <w:rPr>
                <w:rFonts w:ascii="Times New Roman" w:hAnsi="Times New Roman" w:cs="Times New Roman"/>
                <w:sz w:val="22"/>
                <w:szCs w:val="22"/>
              </w:rPr>
              <w:t>3. ФИНАНСОВЫЙ СЧ</w:t>
            </w:r>
            <w:r w:rsidR="003465F9">
              <w:rPr>
                <w:rFonts w:ascii="Times New Roman" w:hAnsi="Times New Roman" w:cs="Times New Roman"/>
                <w:sz w:val="22"/>
                <w:szCs w:val="22"/>
                <w:lang w:val="ru-RU"/>
              </w:rPr>
              <w:t>Ё</w:t>
            </w:r>
            <w:r w:rsidRPr="00160362">
              <w:rPr>
                <w:rFonts w:ascii="Times New Roman" w:hAnsi="Times New Roman" w:cs="Times New Roman"/>
                <w:sz w:val="22"/>
                <w:szCs w:val="22"/>
              </w:rPr>
              <w:t>Т</w:t>
            </w:r>
          </w:p>
        </w:tc>
        <w:tc>
          <w:tcPr>
            <w:tcW w:w="1644" w:type="dxa"/>
            <w:tcBorders>
              <w:bottom w:val="single" w:sz="4" w:space="0" w:color="auto"/>
            </w:tcBorders>
            <w:shd w:val="clear" w:color="auto" w:fill="E0E0E0"/>
            <w:vAlign w:val="center"/>
          </w:tcPr>
          <w:p w14:paraId="01A46F02" w14:textId="17A36367" w:rsidR="001360C0" w:rsidRPr="0082437D" w:rsidRDefault="00786A1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-69,7</w:t>
            </w:r>
          </w:p>
        </w:tc>
        <w:tc>
          <w:tcPr>
            <w:tcW w:w="1644" w:type="dxa"/>
            <w:tcBorders>
              <w:bottom w:val="single" w:sz="4" w:space="0" w:color="auto"/>
            </w:tcBorders>
            <w:shd w:val="clear" w:color="auto" w:fill="E0E0E0"/>
            <w:vAlign w:val="center"/>
          </w:tcPr>
          <w:p w14:paraId="1C434CE9" w14:textId="29BCCB56" w:rsidR="001360C0" w:rsidRPr="0082437D" w:rsidRDefault="00786A13" w:rsidP="0082437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0,</w:t>
            </w:r>
            <w:r w:rsidR="0082437D" w:rsidRPr="0082437D">
              <w:rPr>
                <w:rFonts w:ascii="Times New Roman" w:hAnsi="Times New Roman" w:cs="Times New Roman"/>
                <w:sz w:val="22"/>
                <w:szCs w:val="22"/>
              </w:rPr>
              <w:t>5</w:t>
            </w:r>
          </w:p>
        </w:tc>
        <w:tc>
          <w:tcPr>
            <w:tcW w:w="1645" w:type="dxa"/>
            <w:tcBorders>
              <w:bottom w:val="single" w:sz="4" w:space="0" w:color="auto"/>
            </w:tcBorders>
            <w:shd w:val="clear" w:color="auto" w:fill="E0E0E0"/>
            <w:vAlign w:val="center"/>
          </w:tcPr>
          <w:p w14:paraId="5CEA4E6D" w14:textId="772944DF" w:rsidR="001360C0" w:rsidRPr="0082437D" w:rsidRDefault="00786A1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-49,5</w:t>
            </w:r>
          </w:p>
        </w:tc>
      </w:tr>
      <w:tr w:rsidR="001360C0" w:rsidRPr="00160362" w14:paraId="19E642D9" w14:textId="77777777" w:rsidTr="00AC0FC7">
        <w:tc>
          <w:tcPr>
            <w:tcW w:w="4693" w:type="dxa"/>
            <w:tcBorders>
              <w:bottom w:val="single" w:sz="4" w:space="0" w:color="auto"/>
            </w:tcBorders>
            <w:shd w:val="clear" w:color="auto" w:fill="D9D9D9"/>
            <w:vAlign w:val="center"/>
          </w:tcPr>
          <w:p w14:paraId="6D0966C4" w14:textId="77777777" w:rsidR="001360C0" w:rsidRPr="00160362" w:rsidRDefault="001360C0" w:rsidP="008A651D">
            <w:pPr>
              <w:pStyle w:val="CharChar"/>
              <w:widowControl w:val="0"/>
              <w:spacing w:before="0" w:after="0" w:line="240" w:lineRule="auto"/>
              <w:ind w:firstLine="130"/>
              <w:rPr>
                <w:rFonts w:ascii="Times New Roman" w:hAnsi="Times New Roman" w:cs="Times New Roman"/>
                <w:sz w:val="22"/>
                <w:szCs w:val="22"/>
                <w:lang w:val="ru-RU"/>
              </w:rPr>
            </w:pPr>
            <w:r w:rsidRPr="00160362">
              <w:rPr>
                <w:rFonts w:ascii="Times New Roman" w:hAnsi="Times New Roman" w:cs="Times New Roman"/>
                <w:sz w:val="22"/>
                <w:szCs w:val="22"/>
                <w:lang w:val="ru-RU"/>
              </w:rPr>
              <w:t>Прямые инвестиции</w:t>
            </w:r>
          </w:p>
        </w:tc>
        <w:tc>
          <w:tcPr>
            <w:tcW w:w="1644" w:type="dxa"/>
            <w:tcBorders>
              <w:bottom w:val="single" w:sz="4" w:space="0" w:color="auto"/>
            </w:tcBorders>
            <w:shd w:val="clear" w:color="auto" w:fill="D9D9D9"/>
            <w:vAlign w:val="center"/>
          </w:tcPr>
          <w:p w14:paraId="1CB86B4F" w14:textId="06C33EDE" w:rsidR="001360C0" w:rsidRPr="0082437D" w:rsidRDefault="00786A1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1,6</w:t>
            </w:r>
          </w:p>
        </w:tc>
        <w:tc>
          <w:tcPr>
            <w:tcW w:w="1644" w:type="dxa"/>
            <w:tcBorders>
              <w:bottom w:val="single" w:sz="4" w:space="0" w:color="auto"/>
            </w:tcBorders>
            <w:shd w:val="clear" w:color="auto" w:fill="D9D9D9"/>
            <w:vAlign w:val="center"/>
          </w:tcPr>
          <w:p w14:paraId="69F98426" w14:textId="29D5A2CD" w:rsidR="001360C0" w:rsidRPr="0082437D" w:rsidRDefault="00786A1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6,2</w:t>
            </w:r>
          </w:p>
        </w:tc>
        <w:tc>
          <w:tcPr>
            <w:tcW w:w="1645" w:type="dxa"/>
            <w:tcBorders>
              <w:bottom w:val="single" w:sz="4" w:space="0" w:color="auto"/>
            </w:tcBorders>
            <w:shd w:val="clear" w:color="auto" w:fill="D9D9D9"/>
            <w:vAlign w:val="center"/>
          </w:tcPr>
          <w:p w14:paraId="244F8677" w14:textId="52D6502B" w:rsidR="001360C0" w:rsidRPr="0082437D" w:rsidRDefault="00786A1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-6,1</w:t>
            </w:r>
          </w:p>
        </w:tc>
      </w:tr>
      <w:tr w:rsidR="001360C0" w:rsidRPr="00160362" w14:paraId="5C65DD6A" w14:textId="77777777" w:rsidTr="00AC0FC7">
        <w:tc>
          <w:tcPr>
            <w:tcW w:w="4693" w:type="dxa"/>
            <w:tcBorders>
              <w:top w:val="nil"/>
              <w:left w:val="single" w:sz="4" w:space="0" w:color="auto"/>
              <w:bottom w:val="nil"/>
              <w:right w:val="single" w:sz="4" w:space="0" w:color="auto"/>
            </w:tcBorders>
            <w:vAlign w:val="center"/>
          </w:tcPr>
          <w:p w14:paraId="319F3A7A" w14:textId="77777777" w:rsidR="001360C0" w:rsidRPr="00160362" w:rsidRDefault="001360C0" w:rsidP="008A651D">
            <w:pPr>
              <w:pStyle w:val="aa"/>
              <w:widowControl w:val="0"/>
              <w:spacing w:before="0" w:after="0" w:line="240" w:lineRule="auto"/>
              <w:ind w:left="382" w:hanging="98"/>
              <w:rPr>
                <w:rFonts w:ascii="Times New Roman" w:hAnsi="Times New Roman" w:cs="Times New Roman"/>
                <w:sz w:val="22"/>
                <w:szCs w:val="22"/>
              </w:rPr>
            </w:pPr>
            <w:r w:rsidRPr="00160362">
              <w:rPr>
                <w:rFonts w:ascii="Times New Roman" w:hAnsi="Times New Roman" w:cs="Times New Roman"/>
                <w:sz w:val="22"/>
                <w:szCs w:val="22"/>
              </w:rPr>
              <w:t>-чистое приобретение финансовых активов</w:t>
            </w:r>
          </w:p>
        </w:tc>
        <w:tc>
          <w:tcPr>
            <w:tcW w:w="1644" w:type="dxa"/>
            <w:tcBorders>
              <w:top w:val="nil"/>
              <w:left w:val="single" w:sz="4" w:space="0" w:color="auto"/>
              <w:bottom w:val="nil"/>
              <w:right w:val="single" w:sz="4" w:space="0" w:color="auto"/>
            </w:tcBorders>
            <w:vAlign w:val="bottom"/>
          </w:tcPr>
          <w:p w14:paraId="44932446" w14:textId="1B1D09E8" w:rsidR="001360C0" w:rsidRPr="0082437D" w:rsidRDefault="00786A1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2,5</w:t>
            </w:r>
          </w:p>
        </w:tc>
        <w:tc>
          <w:tcPr>
            <w:tcW w:w="1644" w:type="dxa"/>
            <w:tcBorders>
              <w:top w:val="nil"/>
              <w:left w:val="single" w:sz="4" w:space="0" w:color="auto"/>
              <w:bottom w:val="nil"/>
              <w:right w:val="single" w:sz="4" w:space="0" w:color="auto"/>
            </w:tcBorders>
            <w:vAlign w:val="bottom"/>
          </w:tcPr>
          <w:p w14:paraId="5BE375FB" w14:textId="273E822C" w:rsidR="001360C0" w:rsidRPr="0082437D" w:rsidRDefault="00786A13" w:rsidP="001E05E3">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4,</w:t>
            </w:r>
            <w:r w:rsidR="001E05E3" w:rsidRPr="0082437D">
              <w:rPr>
                <w:rFonts w:ascii="Times New Roman" w:hAnsi="Times New Roman" w:cs="Times New Roman"/>
                <w:sz w:val="22"/>
                <w:szCs w:val="22"/>
              </w:rPr>
              <w:t>2</w:t>
            </w:r>
          </w:p>
        </w:tc>
        <w:tc>
          <w:tcPr>
            <w:tcW w:w="1645" w:type="dxa"/>
            <w:tcBorders>
              <w:top w:val="nil"/>
              <w:left w:val="single" w:sz="4" w:space="0" w:color="auto"/>
              <w:bottom w:val="nil"/>
              <w:right w:val="single" w:sz="4" w:space="0" w:color="auto"/>
            </w:tcBorders>
            <w:vAlign w:val="bottom"/>
          </w:tcPr>
          <w:p w14:paraId="4032153F" w14:textId="1D68A56C" w:rsidR="001360C0" w:rsidRPr="0082437D" w:rsidRDefault="001E05E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-5,8</w:t>
            </w:r>
          </w:p>
        </w:tc>
      </w:tr>
      <w:tr w:rsidR="001360C0" w:rsidRPr="00160362" w14:paraId="2EF3DD12" w14:textId="77777777" w:rsidTr="00AC0FC7">
        <w:tc>
          <w:tcPr>
            <w:tcW w:w="4693" w:type="dxa"/>
            <w:tcBorders>
              <w:top w:val="nil"/>
              <w:left w:val="single" w:sz="4" w:space="0" w:color="auto"/>
              <w:bottom w:val="single" w:sz="4" w:space="0" w:color="auto"/>
              <w:right w:val="single" w:sz="4" w:space="0" w:color="auto"/>
            </w:tcBorders>
            <w:vAlign w:val="center"/>
          </w:tcPr>
          <w:p w14:paraId="4AEC08F1" w14:textId="77777777" w:rsidR="001360C0" w:rsidRPr="00160362" w:rsidRDefault="001360C0" w:rsidP="008A651D">
            <w:pPr>
              <w:pStyle w:val="aa"/>
              <w:widowControl w:val="0"/>
              <w:spacing w:before="0" w:after="0" w:line="240" w:lineRule="auto"/>
              <w:ind w:left="318" w:hanging="20"/>
              <w:rPr>
                <w:rFonts w:ascii="Times New Roman" w:hAnsi="Times New Roman" w:cs="Times New Roman"/>
                <w:sz w:val="22"/>
                <w:szCs w:val="22"/>
              </w:rPr>
            </w:pPr>
            <w:r w:rsidRPr="00160362">
              <w:rPr>
                <w:rFonts w:ascii="Times New Roman" w:hAnsi="Times New Roman" w:cs="Times New Roman"/>
                <w:sz w:val="22"/>
                <w:szCs w:val="22"/>
              </w:rPr>
              <w:t>-чистое принятие обязательств</w:t>
            </w:r>
          </w:p>
        </w:tc>
        <w:tc>
          <w:tcPr>
            <w:tcW w:w="1644" w:type="dxa"/>
            <w:tcBorders>
              <w:top w:val="nil"/>
              <w:left w:val="single" w:sz="4" w:space="0" w:color="auto"/>
              <w:bottom w:val="single" w:sz="4" w:space="0" w:color="auto"/>
              <w:right w:val="single" w:sz="4" w:space="0" w:color="auto"/>
            </w:tcBorders>
            <w:vAlign w:val="bottom"/>
          </w:tcPr>
          <w:p w14:paraId="5C1FF2CB" w14:textId="2E4962BB" w:rsidR="001360C0" w:rsidRPr="0082437D" w:rsidRDefault="001E05E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0,9</w:t>
            </w:r>
          </w:p>
        </w:tc>
        <w:tc>
          <w:tcPr>
            <w:tcW w:w="1644" w:type="dxa"/>
            <w:tcBorders>
              <w:top w:val="nil"/>
              <w:left w:val="single" w:sz="4" w:space="0" w:color="auto"/>
              <w:bottom w:val="single" w:sz="4" w:space="0" w:color="auto"/>
              <w:right w:val="single" w:sz="4" w:space="0" w:color="auto"/>
            </w:tcBorders>
            <w:vAlign w:val="bottom"/>
          </w:tcPr>
          <w:p w14:paraId="50B24F81" w14:textId="0AC30035" w:rsidR="001360C0" w:rsidRPr="0082437D" w:rsidRDefault="001E05E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-2,0</w:t>
            </w:r>
          </w:p>
        </w:tc>
        <w:tc>
          <w:tcPr>
            <w:tcW w:w="1645" w:type="dxa"/>
            <w:tcBorders>
              <w:top w:val="nil"/>
              <w:left w:val="single" w:sz="4" w:space="0" w:color="auto"/>
              <w:bottom w:val="single" w:sz="4" w:space="0" w:color="auto"/>
              <w:right w:val="single" w:sz="4" w:space="0" w:color="auto"/>
            </w:tcBorders>
            <w:vAlign w:val="bottom"/>
          </w:tcPr>
          <w:p w14:paraId="63A0E812" w14:textId="7B345E7E" w:rsidR="001360C0" w:rsidRPr="0082437D" w:rsidRDefault="001E05E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0,3</w:t>
            </w:r>
          </w:p>
        </w:tc>
      </w:tr>
      <w:tr w:rsidR="001360C0" w:rsidRPr="00160362" w14:paraId="2E531FF4" w14:textId="77777777" w:rsidTr="00AC0FC7">
        <w:trPr>
          <w:trHeight w:val="336"/>
        </w:trPr>
        <w:tc>
          <w:tcPr>
            <w:tcW w:w="4693" w:type="dxa"/>
            <w:tcBorders>
              <w:top w:val="single" w:sz="4" w:space="0" w:color="auto"/>
              <w:bottom w:val="single" w:sz="4" w:space="0" w:color="auto"/>
            </w:tcBorders>
            <w:shd w:val="clear" w:color="auto" w:fill="D9D9D9"/>
            <w:vAlign w:val="center"/>
          </w:tcPr>
          <w:p w14:paraId="5C74CFE8" w14:textId="77777777" w:rsidR="001360C0" w:rsidRPr="00160362" w:rsidRDefault="001360C0" w:rsidP="008A651D">
            <w:pPr>
              <w:pStyle w:val="aa"/>
              <w:widowControl w:val="0"/>
              <w:spacing w:before="0" w:after="0" w:line="240" w:lineRule="auto"/>
              <w:ind w:firstLine="130"/>
              <w:rPr>
                <w:rFonts w:ascii="Times New Roman" w:hAnsi="Times New Roman" w:cs="Times New Roman"/>
                <w:sz w:val="22"/>
                <w:szCs w:val="22"/>
              </w:rPr>
            </w:pPr>
            <w:r w:rsidRPr="00160362">
              <w:rPr>
                <w:rFonts w:ascii="Times New Roman" w:hAnsi="Times New Roman" w:cs="Times New Roman"/>
                <w:sz w:val="22"/>
                <w:szCs w:val="22"/>
              </w:rPr>
              <w:t xml:space="preserve">Портфельные инвестиции </w:t>
            </w:r>
          </w:p>
        </w:tc>
        <w:tc>
          <w:tcPr>
            <w:tcW w:w="1644" w:type="dxa"/>
            <w:tcBorders>
              <w:top w:val="single" w:sz="4" w:space="0" w:color="auto"/>
              <w:bottom w:val="single" w:sz="4" w:space="0" w:color="auto"/>
            </w:tcBorders>
            <w:shd w:val="clear" w:color="auto" w:fill="D9D9D9"/>
            <w:vAlign w:val="center"/>
          </w:tcPr>
          <w:p w14:paraId="0858E55B" w14:textId="1D44D2A3" w:rsidR="001360C0" w:rsidRPr="0082437D" w:rsidRDefault="001E05E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0,0</w:t>
            </w:r>
          </w:p>
        </w:tc>
        <w:tc>
          <w:tcPr>
            <w:tcW w:w="1644" w:type="dxa"/>
            <w:tcBorders>
              <w:top w:val="single" w:sz="4" w:space="0" w:color="auto"/>
              <w:bottom w:val="single" w:sz="4" w:space="0" w:color="auto"/>
            </w:tcBorders>
            <w:shd w:val="clear" w:color="auto" w:fill="D9D9D9"/>
            <w:vAlign w:val="center"/>
          </w:tcPr>
          <w:p w14:paraId="55638104" w14:textId="102EA492" w:rsidR="001360C0" w:rsidRPr="0082437D" w:rsidRDefault="001E05E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-0,0</w:t>
            </w:r>
          </w:p>
        </w:tc>
        <w:tc>
          <w:tcPr>
            <w:tcW w:w="1645" w:type="dxa"/>
            <w:tcBorders>
              <w:top w:val="single" w:sz="4" w:space="0" w:color="auto"/>
              <w:bottom w:val="single" w:sz="4" w:space="0" w:color="auto"/>
            </w:tcBorders>
            <w:shd w:val="clear" w:color="auto" w:fill="D9D9D9"/>
            <w:vAlign w:val="center"/>
          </w:tcPr>
          <w:p w14:paraId="65594FB1" w14:textId="27D527BB" w:rsidR="001360C0" w:rsidRPr="0082437D" w:rsidRDefault="001E05E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0,0</w:t>
            </w:r>
          </w:p>
        </w:tc>
      </w:tr>
      <w:tr w:rsidR="001360C0" w:rsidRPr="00160362" w14:paraId="4519CE56" w14:textId="77777777" w:rsidTr="00AC0FC7">
        <w:tc>
          <w:tcPr>
            <w:tcW w:w="4693" w:type="dxa"/>
            <w:tcBorders>
              <w:top w:val="single" w:sz="4" w:space="0" w:color="auto"/>
              <w:left w:val="single" w:sz="4" w:space="0" w:color="auto"/>
              <w:bottom w:val="nil"/>
              <w:right w:val="single" w:sz="4" w:space="0" w:color="auto"/>
            </w:tcBorders>
            <w:vAlign w:val="center"/>
          </w:tcPr>
          <w:p w14:paraId="45FDA7A3" w14:textId="77777777" w:rsidR="001360C0" w:rsidRPr="00160362" w:rsidRDefault="001360C0" w:rsidP="008A651D">
            <w:pPr>
              <w:pStyle w:val="aa"/>
              <w:widowControl w:val="0"/>
              <w:spacing w:before="0" w:after="0" w:line="240" w:lineRule="auto"/>
              <w:ind w:left="396" w:hanging="84"/>
              <w:rPr>
                <w:rFonts w:ascii="Times New Roman" w:hAnsi="Times New Roman" w:cs="Times New Roman"/>
                <w:sz w:val="22"/>
                <w:szCs w:val="22"/>
              </w:rPr>
            </w:pPr>
            <w:r w:rsidRPr="00160362">
              <w:rPr>
                <w:rFonts w:ascii="Times New Roman" w:hAnsi="Times New Roman" w:cs="Times New Roman"/>
                <w:sz w:val="22"/>
                <w:szCs w:val="22"/>
              </w:rPr>
              <w:t>-чистое приобретение финансовых активов</w:t>
            </w:r>
          </w:p>
        </w:tc>
        <w:tc>
          <w:tcPr>
            <w:tcW w:w="1644" w:type="dxa"/>
            <w:tcBorders>
              <w:top w:val="single" w:sz="4" w:space="0" w:color="auto"/>
              <w:left w:val="nil"/>
              <w:bottom w:val="nil"/>
              <w:right w:val="single" w:sz="4" w:space="0" w:color="auto"/>
            </w:tcBorders>
            <w:vAlign w:val="bottom"/>
          </w:tcPr>
          <w:p w14:paraId="2F14E372" w14:textId="36B9B99E" w:rsidR="001360C0" w:rsidRPr="0082437D" w:rsidRDefault="001E05E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0,0</w:t>
            </w:r>
          </w:p>
        </w:tc>
        <w:tc>
          <w:tcPr>
            <w:tcW w:w="1644" w:type="dxa"/>
            <w:tcBorders>
              <w:top w:val="single" w:sz="4" w:space="0" w:color="auto"/>
              <w:left w:val="single" w:sz="4" w:space="0" w:color="auto"/>
              <w:bottom w:val="nil"/>
              <w:right w:val="single" w:sz="4" w:space="0" w:color="auto"/>
            </w:tcBorders>
            <w:vAlign w:val="bottom"/>
          </w:tcPr>
          <w:p w14:paraId="4F664DFA" w14:textId="66813DF5" w:rsidR="001360C0" w:rsidRPr="0082437D" w:rsidRDefault="001E05E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-0,0</w:t>
            </w:r>
          </w:p>
        </w:tc>
        <w:tc>
          <w:tcPr>
            <w:tcW w:w="1645" w:type="dxa"/>
            <w:tcBorders>
              <w:top w:val="single" w:sz="4" w:space="0" w:color="auto"/>
              <w:left w:val="nil"/>
              <w:bottom w:val="nil"/>
              <w:right w:val="single" w:sz="4" w:space="0" w:color="auto"/>
            </w:tcBorders>
            <w:vAlign w:val="bottom"/>
          </w:tcPr>
          <w:p w14:paraId="22CA4730" w14:textId="7E209BEF" w:rsidR="001360C0" w:rsidRPr="0082437D" w:rsidRDefault="001E05E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0,0</w:t>
            </w:r>
          </w:p>
        </w:tc>
      </w:tr>
      <w:tr w:rsidR="001360C0" w:rsidRPr="00160362" w14:paraId="008DC4BB" w14:textId="77777777" w:rsidTr="00AC0FC7">
        <w:tc>
          <w:tcPr>
            <w:tcW w:w="4693" w:type="dxa"/>
            <w:tcBorders>
              <w:top w:val="nil"/>
              <w:left w:val="single" w:sz="4" w:space="0" w:color="auto"/>
              <w:bottom w:val="single" w:sz="4" w:space="0" w:color="auto"/>
              <w:right w:val="single" w:sz="4" w:space="0" w:color="auto"/>
            </w:tcBorders>
            <w:vAlign w:val="center"/>
          </w:tcPr>
          <w:p w14:paraId="0A0D812D" w14:textId="77777777" w:rsidR="001360C0" w:rsidRPr="00160362" w:rsidRDefault="001360C0" w:rsidP="008A651D">
            <w:pPr>
              <w:pStyle w:val="aa"/>
              <w:widowControl w:val="0"/>
              <w:spacing w:before="0" w:after="0" w:line="240" w:lineRule="auto"/>
              <w:ind w:left="396" w:hanging="84"/>
              <w:rPr>
                <w:rFonts w:ascii="Times New Roman" w:hAnsi="Times New Roman" w:cs="Times New Roman"/>
                <w:sz w:val="22"/>
                <w:szCs w:val="22"/>
              </w:rPr>
            </w:pPr>
            <w:r w:rsidRPr="00160362">
              <w:rPr>
                <w:rFonts w:ascii="Times New Roman" w:hAnsi="Times New Roman" w:cs="Times New Roman"/>
                <w:sz w:val="22"/>
                <w:szCs w:val="22"/>
              </w:rPr>
              <w:t>-чистое принятие обязательств</w:t>
            </w:r>
          </w:p>
        </w:tc>
        <w:tc>
          <w:tcPr>
            <w:tcW w:w="1644" w:type="dxa"/>
            <w:tcBorders>
              <w:top w:val="nil"/>
              <w:left w:val="nil"/>
              <w:bottom w:val="single" w:sz="4" w:space="0" w:color="auto"/>
              <w:right w:val="single" w:sz="4" w:space="0" w:color="auto"/>
            </w:tcBorders>
            <w:vAlign w:val="bottom"/>
          </w:tcPr>
          <w:p w14:paraId="43215D36" w14:textId="3326FD0B" w:rsidR="001360C0" w:rsidRPr="0082437D" w:rsidRDefault="001E05E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0,0</w:t>
            </w:r>
          </w:p>
        </w:tc>
        <w:tc>
          <w:tcPr>
            <w:tcW w:w="1644" w:type="dxa"/>
            <w:tcBorders>
              <w:top w:val="nil"/>
              <w:left w:val="single" w:sz="4" w:space="0" w:color="auto"/>
              <w:bottom w:val="single" w:sz="4" w:space="0" w:color="auto"/>
              <w:right w:val="single" w:sz="4" w:space="0" w:color="auto"/>
            </w:tcBorders>
            <w:vAlign w:val="bottom"/>
          </w:tcPr>
          <w:p w14:paraId="7201AD7E" w14:textId="5BD27133" w:rsidR="001360C0" w:rsidRPr="0082437D" w:rsidRDefault="001E05E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0,0</w:t>
            </w:r>
          </w:p>
        </w:tc>
        <w:tc>
          <w:tcPr>
            <w:tcW w:w="1645" w:type="dxa"/>
            <w:tcBorders>
              <w:top w:val="nil"/>
              <w:left w:val="nil"/>
              <w:bottom w:val="single" w:sz="4" w:space="0" w:color="auto"/>
              <w:right w:val="single" w:sz="4" w:space="0" w:color="auto"/>
            </w:tcBorders>
            <w:vAlign w:val="bottom"/>
          </w:tcPr>
          <w:p w14:paraId="4569A28D" w14:textId="26DD35DB" w:rsidR="001360C0" w:rsidRPr="0082437D" w:rsidRDefault="001E05E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0,0</w:t>
            </w:r>
          </w:p>
        </w:tc>
      </w:tr>
      <w:tr w:rsidR="0082437D" w:rsidRPr="0082437D" w14:paraId="2B02447C" w14:textId="77777777" w:rsidTr="00AC0FC7">
        <w:trPr>
          <w:trHeight w:val="322"/>
        </w:trPr>
        <w:tc>
          <w:tcPr>
            <w:tcW w:w="4693" w:type="dxa"/>
            <w:tcBorders>
              <w:top w:val="single" w:sz="4" w:space="0" w:color="auto"/>
              <w:left w:val="single" w:sz="4" w:space="0" w:color="auto"/>
              <w:bottom w:val="single" w:sz="4" w:space="0" w:color="auto"/>
              <w:right w:val="single" w:sz="4" w:space="0" w:color="auto"/>
            </w:tcBorders>
            <w:shd w:val="clear" w:color="auto" w:fill="D9D9D9"/>
            <w:vAlign w:val="center"/>
          </w:tcPr>
          <w:p w14:paraId="59C0F4AD" w14:textId="77777777" w:rsidR="001360C0" w:rsidRPr="00160362" w:rsidRDefault="001360C0" w:rsidP="008A651D">
            <w:pPr>
              <w:pStyle w:val="aa"/>
              <w:widowControl w:val="0"/>
              <w:spacing w:before="0" w:after="0" w:line="240" w:lineRule="auto"/>
              <w:ind w:left="318" w:hanging="174"/>
              <w:rPr>
                <w:rFonts w:ascii="Times New Roman" w:hAnsi="Times New Roman" w:cs="Times New Roman"/>
                <w:sz w:val="22"/>
                <w:szCs w:val="22"/>
              </w:rPr>
            </w:pPr>
            <w:r w:rsidRPr="00160362">
              <w:rPr>
                <w:rFonts w:ascii="Times New Roman" w:hAnsi="Times New Roman" w:cs="Times New Roman"/>
                <w:sz w:val="22"/>
                <w:szCs w:val="22"/>
              </w:rPr>
              <w:t>Другие инвестиции</w:t>
            </w:r>
          </w:p>
        </w:tc>
        <w:tc>
          <w:tcPr>
            <w:tcW w:w="1644" w:type="dxa"/>
            <w:tcBorders>
              <w:top w:val="single" w:sz="4" w:space="0" w:color="auto"/>
              <w:left w:val="nil"/>
              <w:bottom w:val="single" w:sz="4" w:space="0" w:color="auto"/>
              <w:right w:val="single" w:sz="4" w:space="0" w:color="auto"/>
            </w:tcBorders>
            <w:shd w:val="clear" w:color="auto" w:fill="D9D9D9"/>
            <w:vAlign w:val="center"/>
          </w:tcPr>
          <w:p w14:paraId="5A777A46" w14:textId="3608118C" w:rsidR="001360C0" w:rsidRPr="0082437D" w:rsidRDefault="001E05E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-73,1</w:t>
            </w:r>
          </w:p>
        </w:tc>
        <w:tc>
          <w:tcPr>
            <w:tcW w:w="1644" w:type="dxa"/>
            <w:tcBorders>
              <w:top w:val="single" w:sz="4" w:space="0" w:color="auto"/>
              <w:left w:val="single" w:sz="4" w:space="0" w:color="auto"/>
              <w:bottom w:val="single" w:sz="4" w:space="0" w:color="auto"/>
              <w:right w:val="single" w:sz="4" w:space="0" w:color="auto"/>
            </w:tcBorders>
            <w:shd w:val="clear" w:color="auto" w:fill="D9D9D9"/>
            <w:vAlign w:val="center"/>
          </w:tcPr>
          <w:p w14:paraId="349AA42D" w14:textId="582C17DA" w:rsidR="001360C0" w:rsidRPr="0082437D" w:rsidRDefault="001E05E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-37,2</w:t>
            </w:r>
          </w:p>
        </w:tc>
        <w:tc>
          <w:tcPr>
            <w:tcW w:w="1645" w:type="dxa"/>
            <w:tcBorders>
              <w:top w:val="single" w:sz="4" w:space="0" w:color="auto"/>
              <w:left w:val="nil"/>
              <w:bottom w:val="single" w:sz="4" w:space="0" w:color="auto"/>
              <w:right w:val="single" w:sz="4" w:space="0" w:color="auto"/>
            </w:tcBorders>
            <w:shd w:val="clear" w:color="auto" w:fill="D9D9D9"/>
            <w:vAlign w:val="center"/>
          </w:tcPr>
          <w:p w14:paraId="2B991689" w14:textId="5A10F42F" w:rsidR="001360C0" w:rsidRPr="0082437D" w:rsidRDefault="001E05E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-40,2</w:t>
            </w:r>
          </w:p>
        </w:tc>
      </w:tr>
      <w:tr w:rsidR="0082437D" w:rsidRPr="0082437D" w14:paraId="24326C5F" w14:textId="77777777" w:rsidTr="00AC0FC7">
        <w:tc>
          <w:tcPr>
            <w:tcW w:w="4693" w:type="dxa"/>
            <w:tcBorders>
              <w:top w:val="single" w:sz="4" w:space="0" w:color="auto"/>
              <w:left w:val="single" w:sz="4" w:space="0" w:color="auto"/>
              <w:bottom w:val="nil"/>
              <w:right w:val="single" w:sz="4" w:space="0" w:color="auto"/>
            </w:tcBorders>
            <w:vAlign w:val="center"/>
          </w:tcPr>
          <w:p w14:paraId="110A242A" w14:textId="77777777" w:rsidR="001360C0" w:rsidRPr="00160362" w:rsidRDefault="001360C0" w:rsidP="008A651D">
            <w:pPr>
              <w:pStyle w:val="aa"/>
              <w:widowControl w:val="0"/>
              <w:spacing w:before="0" w:after="0" w:line="240" w:lineRule="auto"/>
              <w:ind w:left="396" w:hanging="84"/>
              <w:rPr>
                <w:rFonts w:ascii="Times New Roman" w:hAnsi="Times New Roman" w:cs="Times New Roman"/>
                <w:sz w:val="22"/>
                <w:szCs w:val="22"/>
              </w:rPr>
            </w:pPr>
            <w:r w:rsidRPr="00160362">
              <w:rPr>
                <w:rFonts w:ascii="Times New Roman" w:hAnsi="Times New Roman" w:cs="Times New Roman"/>
                <w:sz w:val="22"/>
                <w:szCs w:val="22"/>
              </w:rPr>
              <w:t>-чистое приобретение финансовых активов</w:t>
            </w:r>
          </w:p>
        </w:tc>
        <w:tc>
          <w:tcPr>
            <w:tcW w:w="1644" w:type="dxa"/>
            <w:tcBorders>
              <w:top w:val="single" w:sz="4" w:space="0" w:color="auto"/>
              <w:left w:val="nil"/>
              <w:bottom w:val="nil"/>
              <w:right w:val="single" w:sz="4" w:space="0" w:color="auto"/>
            </w:tcBorders>
            <w:vAlign w:val="bottom"/>
          </w:tcPr>
          <w:p w14:paraId="4D1A0DF0" w14:textId="00369292" w:rsidR="001360C0" w:rsidRPr="0082437D" w:rsidRDefault="001E05E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-45,0</w:t>
            </w:r>
          </w:p>
        </w:tc>
        <w:tc>
          <w:tcPr>
            <w:tcW w:w="1644" w:type="dxa"/>
            <w:tcBorders>
              <w:top w:val="single" w:sz="4" w:space="0" w:color="auto"/>
              <w:left w:val="single" w:sz="4" w:space="0" w:color="auto"/>
              <w:bottom w:val="nil"/>
              <w:right w:val="single" w:sz="4" w:space="0" w:color="auto"/>
            </w:tcBorders>
            <w:vAlign w:val="bottom"/>
          </w:tcPr>
          <w:p w14:paraId="7B95903E" w14:textId="23BB8630" w:rsidR="001360C0" w:rsidRPr="0082437D" w:rsidRDefault="001E05E3"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-50,7</w:t>
            </w:r>
          </w:p>
        </w:tc>
        <w:tc>
          <w:tcPr>
            <w:tcW w:w="1645" w:type="dxa"/>
            <w:tcBorders>
              <w:top w:val="single" w:sz="4" w:space="0" w:color="auto"/>
              <w:left w:val="nil"/>
              <w:bottom w:val="nil"/>
              <w:right w:val="single" w:sz="4" w:space="0" w:color="auto"/>
            </w:tcBorders>
            <w:vAlign w:val="bottom"/>
          </w:tcPr>
          <w:p w14:paraId="33CB957B" w14:textId="6F2C1A67" w:rsidR="001360C0" w:rsidRPr="0082437D" w:rsidRDefault="001E05E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-5,5</w:t>
            </w:r>
          </w:p>
        </w:tc>
      </w:tr>
      <w:tr w:rsidR="0082437D" w:rsidRPr="0082437D" w14:paraId="63C7FC81" w14:textId="77777777" w:rsidTr="00AC0FC7">
        <w:tc>
          <w:tcPr>
            <w:tcW w:w="4693" w:type="dxa"/>
            <w:tcBorders>
              <w:top w:val="nil"/>
              <w:left w:val="single" w:sz="4" w:space="0" w:color="auto"/>
              <w:bottom w:val="nil"/>
              <w:right w:val="single" w:sz="4" w:space="0" w:color="auto"/>
            </w:tcBorders>
            <w:vAlign w:val="center"/>
          </w:tcPr>
          <w:p w14:paraId="3D744670" w14:textId="77777777" w:rsidR="001360C0" w:rsidRPr="00160362" w:rsidRDefault="001360C0" w:rsidP="008A651D">
            <w:pPr>
              <w:pStyle w:val="aa"/>
              <w:widowControl w:val="0"/>
              <w:spacing w:before="0" w:after="0" w:line="240" w:lineRule="auto"/>
              <w:ind w:left="396" w:hanging="84"/>
              <w:rPr>
                <w:rFonts w:ascii="Times New Roman" w:hAnsi="Times New Roman" w:cs="Times New Roman"/>
                <w:sz w:val="22"/>
                <w:szCs w:val="22"/>
              </w:rPr>
            </w:pPr>
            <w:r w:rsidRPr="00160362">
              <w:rPr>
                <w:rFonts w:ascii="Times New Roman" w:hAnsi="Times New Roman" w:cs="Times New Roman"/>
                <w:sz w:val="22"/>
                <w:szCs w:val="22"/>
              </w:rPr>
              <w:t>-чистое приобретение обязательств</w:t>
            </w:r>
          </w:p>
        </w:tc>
        <w:tc>
          <w:tcPr>
            <w:tcW w:w="1644" w:type="dxa"/>
            <w:tcBorders>
              <w:top w:val="nil"/>
              <w:left w:val="nil"/>
              <w:bottom w:val="nil"/>
              <w:right w:val="single" w:sz="4" w:space="0" w:color="auto"/>
            </w:tcBorders>
            <w:vAlign w:val="bottom"/>
          </w:tcPr>
          <w:p w14:paraId="30BF0CEE" w14:textId="491868AE" w:rsidR="001360C0" w:rsidRPr="0082437D" w:rsidRDefault="001E05E3"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28,1</w:t>
            </w:r>
          </w:p>
        </w:tc>
        <w:tc>
          <w:tcPr>
            <w:tcW w:w="1644" w:type="dxa"/>
            <w:tcBorders>
              <w:top w:val="nil"/>
              <w:left w:val="single" w:sz="4" w:space="0" w:color="auto"/>
              <w:bottom w:val="nil"/>
              <w:right w:val="single" w:sz="4" w:space="0" w:color="auto"/>
            </w:tcBorders>
            <w:vAlign w:val="bottom"/>
          </w:tcPr>
          <w:p w14:paraId="2C5FE2ED" w14:textId="1CB6B18A" w:rsidR="001360C0" w:rsidRPr="0082437D" w:rsidRDefault="001E05E3" w:rsidP="00047D8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-13,</w:t>
            </w:r>
            <w:r w:rsidR="00047D8D">
              <w:rPr>
                <w:rFonts w:ascii="Times New Roman" w:hAnsi="Times New Roman" w:cs="Times New Roman"/>
                <w:sz w:val="22"/>
                <w:szCs w:val="22"/>
              </w:rPr>
              <w:t>5</w:t>
            </w:r>
          </w:p>
        </w:tc>
        <w:tc>
          <w:tcPr>
            <w:tcW w:w="1645" w:type="dxa"/>
            <w:tcBorders>
              <w:top w:val="nil"/>
              <w:left w:val="nil"/>
              <w:bottom w:val="nil"/>
              <w:right w:val="single" w:sz="4" w:space="0" w:color="auto"/>
            </w:tcBorders>
            <w:vAlign w:val="bottom"/>
          </w:tcPr>
          <w:p w14:paraId="7591571D" w14:textId="025D1151" w:rsidR="001360C0" w:rsidRPr="0082437D" w:rsidRDefault="001E05E3"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34,7</w:t>
            </w:r>
          </w:p>
        </w:tc>
      </w:tr>
      <w:tr w:rsidR="0082437D" w:rsidRPr="0082437D" w14:paraId="52A9FB08" w14:textId="77777777" w:rsidTr="00AC0FC7">
        <w:trPr>
          <w:trHeight w:val="331"/>
        </w:trPr>
        <w:tc>
          <w:tcPr>
            <w:tcW w:w="4693" w:type="dxa"/>
            <w:tcBorders>
              <w:top w:val="single" w:sz="4" w:space="0" w:color="auto"/>
              <w:bottom w:val="single" w:sz="4" w:space="0" w:color="auto"/>
            </w:tcBorders>
            <w:shd w:val="clear" w:color="auto" w:fill="E0E0E0"/>
            <w:vAlign w:val="center"/>
          </w:tcPr>
          <w:p w14:paraId="0A2EBC34" w14:textId="77777777" w:rsidR="001360C0" w:rsidRPr="00160362" w:rsidRDefault="001360C0" w:rsidP="008A651D">
            <w:pPr>
              <w:pStyle w:val="aa"/>
              <w:widowControl w:val="0"/>
              <w:spacing w:before="0" w:after="0" w:line="240" w:lineRule="auto"/>
              <w:ind w:firstLine="158"/>
              <w:jc w:val="both"/>
              <w:rPr>
                <w:rFonts w:ascii="Times New Roman" w:hAnsi="Times New Roman" w:cs="Times New Roman"/>
                <w:sz w:val="22"/>
                <w:szCs w:val="22"/>
              </w:rPr>
            </w:pPr>
            <w:r w:rsidRPr="00160362">
              <w:rPr>
                <w:rFonts w:ascii="Times New Roman" w:hAnsi="Times New Roman" w:cs="Times New Roman"/>
                <w:sz w:val="22"/>
                <w:szCs w:val="22"/>
              </w:rPr>
              <w:t>Валютные активы</w:t>
            </w:r>
            <w:r w:rsidRPr="00160362">
              <w:rPr>
                <w:rFonts w:ascii="Times New Roman" w:hAnsi="Times New Roman" w:cs="Times New Roman"/>
                <w:sz w:val="22"/>
                <w:szCs w:val="22"/>
                <w:lang w:val="en-US"/>
              </w:rPr>
              <w:t xml:space="preserve"> </w:t>
            </w:r>
            <w:r w:rsidRPr="00160362">
              <w:rPr>
                <w:rFonts w:ascii="Times New Roman" w:hAnsi="Times New Roman" w:cs="Times New Roman"/>
                <w:sz w:val="22"/>
                <w:szCs w:val="22"/>
              </w:rPr>
              <w:t>центрального банка</w:t>
            </w:r>
          </w:p>
        </w:tc>
        <w:tc>
          <w:tcPr>
            <w:tcW w:w="1644" w:type="dxa"/>
            <w:tcBorders>
              <w:top w:val="single" w:sz="4" w:space="0" w:color="auto"/>
              <w:bottom w:val="single" w:sz="4" w:space="0" w:color="auto"/>
            </w:tcBorders>
            <w:shd w:val="clear" w:color="auto" w:fill="E0E0E0"/>
            <w:vAlign w:val="center"/>
          </w:tcPr>
          <w:p w14:paraId="3DF6DA7A" w14:textId="438563AB" w:rsidR="001360C0" w:rsidRPr="0082437D" w:rsidRDefault="008A0386"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1,8</w:t>
            </w:r>
          </w:p>
        </w:tc>
        <w:tc>
          <w:tcPr>
            <w:tcW w:w="1644" w:type="dxa"/>
            <w:tcBorders>
              <w:top w:val="single" w:sz="4" w:space="0" w:color="auto"/>
              <w:bottom w:val="single" w:sz="4" w:space="0" w:color="auto"/>
            </w:tcBorders>
            <w:shd w:val="clear" w:color="auto" w:fill="E0E0E0"/>
            <w:vAlign w:val="center"/>
          </w:tcPr>
          <w:p w14:paraId="42284E04" w14:textId="68A3CD08" w:rsidR="001360C0" w:rsidRPr="0082437D" w:rsidRDefault="008A0386"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31,5</w:t>
            </w:r>
          </w:p>
        </w:tc>
        <w:tc>
          <w:tcPr>
            <w:tcW w:w="1645" w:type="dxa"/>
            <w:tcBorders>
              <w:top w:val="single" w:sz="4" w:space="0" w:color="auto"/>
              <w:bottom w:val="single" w:sz="4" w:space="0" w:color="auto"/>
            </w:tcBorders>
            <w:shd w:val="clear" w:color="auto" w:fill="E0E0E0"/>
            <w:vAlign w:val="center"/>
          </w:tcPr>
          <w:p w14:paraId="1F45C52C" w14:textId="6BA09BED" w:rsidR="001360C0" w:rsidRPr="0082437D" w:rsidRDefault="008A0386"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-3,2</w:t>
            </w:r>
          </w:p>
        </w:tc>
      </w:tr>
      <w:tr w:rsidR="0082437D" w:rsidRPr="0082437D" w14:paraId="53B25813" w14:textId="77777777" w:rsidTr="00AC0FC7">
        <w:trPr>
          <w:trHeight w:val="337"/>
        </w:trPr>
        <w:tc>
          <w:tcPr>
            <w:tcW w:w="4693" w:type="dxa"/>
            <w:tcBorders>
              <w:bottom w:val="single" w:sz="4" w:space="0" w:color="auto"/>
            </w:tcBorders>
            <w:shd w:val="clear" w:color="auto" w:fill="D9D9D9"/>
            <w:vAlign w:val="center"/>
          </w:tcPr>
          <w:p w14:paraId="5E1037C6" w14:textId="77777777" w:rsidR="001360C0" w:rsidRPr="00160362" w:rsidRDefault="001360C0" w:rsidP="008A651D">
            <w:pPr>
              <w:pStyle w:val="aa"/>
              <w:widowControl w:val="0"/>
              <w:spacing w:before="0" w:after="0" w:line="240" w:lineRule="auto"/>
              <w:ind w:firstLine="32"/>
              <w:rPr>
                <w:rFonts w:ascii="Times New Roman" w:hAnsi="Times New Roman" w:cs="Times New Roman"/>
                <w:sz w:val="22"/>
                <w:szCs w:val="22"/>
              </w:rPr>
            </w:pPr>
            <w:r w:rsidRPr="00160362">
              <w:rPr>
                <w:rFonts w:ascii="Times New Roman" w:hAnsi="Times New Roman" w:cs="Times New Roman"/>
                <w:sz w:val="22"/>
                <w:szCs w:val="22"/>
              </w:rPr>
              <w:t>4. СТАТИСТИЧЕСКИЕ РАСХОЖДЕНИЯ</w:t>
            </w:r>
          </w:p>
        </w:tc>
        <w:tc>
          <w:tcPr>
            <w:tcW w:w="1644" w:type="dxa"/>
            <w:tcBorders>
              <w:bottom w:val="single" w:sz="4" w:space="0" w:color="auto"/>
            </w:tcBorders>
            <w:shd w:val="clear" w:color="auto" w:fill="D9D9D9"/>
            <w:vAlign w:val="center"/>
          </w:tcPr>
          <w:p w14:paraId="2F3886EA" w14:textId="02C8C458" w:rsidR="001360C0" w:rsidRPr="0082437D" w:rsidRDefault="008A0386" w:rsidP="008A651D">
            <w:pPr>
              <w:widowControl w:val="0"/>
              <w:tabs>
                <w:tab w:val="left" w:pos="1992"/>
              </w:tabs>
              <w:spacing w:before="0" w:after="0" w:line="240" w:lineRule="auto"/>
              <w:ind w:right="447"/>
              <w:jc w:val="right"/>
              <w:rPr>
                <w:rFonts w:ascii="Times New Roman" w:hAnsi="Times New Roman" w:cs="Times New Roman"/>
                <w:sz w:val="22"/>
                <w:szCs w:val="22"/>
              </w:rPr>
            </w:pPr>
            <w:r w:rsidRPr="0082437D">
              <w:rPr>
                <w:rFonts w:ascii="Times New Roman" w:hAnsi="Times New Roman" w:cs="Times New Roman"/>
                <w:sz w:val="22"/>
                <w:szCs w:val="22"/>
              </w:rPr>
              <w:t>-25,4</w:t>
            </w:r>
          </w:p>
        </w:tc>
        <w:tc>
          <w:tcPr>
            <w:tcW w:w="1644" w:type="dxa"/>
            <w:tcBorders>
              <w:bottom w:val="single" w:sz="4" w:space="0" w:color="auto"/>
            </w:tcBorders>
            <w:shd w:val="clear" w:color="auto" w:fill="D9D9D9"/>
            <w:vAlign w:val="center"/>
          </w:tcPr>
          <w:p w14:paraId="269C8CA3" w14:textId="75CE7C4A" w:rsidR="001360C0" w:rsidRPr="0082437D" w:rsidRDefault="008A0386" w:rsidP="008A651D">
            <w:pPr>
              <w:widowControl w:val="0"/>
              <w:spacing w:before="0" w:after="0" w:line="240" w:lineRule="auto"/>
              <w:ind w:right="432"/>
              <w:jc w:val="right"/>
              <w:rPr>
                <w:rFonts w:ascii="Times New Roman" w:hAnsi="Times New Roman" w:cs="Times New Roman"/>
                <w:sz w:val="22"/>
                <w:szCs w:val="22"/>
              </w:rPr>
            </w:pPr>
            <w:r w:rsidRPr="0082437D">
              <w:rPr>
                <w:rFonts w:ascii="Times New Roman" w:hAnsi="Times New Roman" w:cs="Times New Roman"/>
                <w:sz w:val="22"/>
                <w:szCs w:val="22"/>
              </w:rPr>
              <w:t>12,9</w:t>
            </w:r>
          </w:p>
        </w:tc>
        <w:tc>
          <w:tcPr>
            <w:tcW w:w="1645" w:type="dxa"/>
            <w:tcBorders>
              <w:bottom w:val="single" w:sz="4" w:space="0" w:color="auto"/>
            </w:tcBorders>
            <w:shd w:val="clear" w:color="auto" w:fill="D9D9D9"/>
            <w:vAlign w:val="center"/>
          </w:tcPr>
          <w:p w14:paraId="5ECC0395" w14:textId="0AEEEBF2" w:rsidR="001360C0" w:rsidRPr="0082437D" w:rsidRDefault="008A0386" w:rsidP="008A651D">
            <w:pPr>
              <w:widowControl w:val="0"/>
              <w:spacing w:before="0" w:after="0" w:line="240" w:lineRule="auto"/>
              <w:ind w:right="435"/>
              <w:jc w:val="right"/>
              <w:rPr>
                <w:rFonts w:ascii="Times New Roman" w:hAnsi="Times New Roman" w:cs="Times New Roman"/>
                <w:sz w:val="22"/>
                <w:szCs w:val="22"/>
              </w:rPr>
            </w:pPr>
            <w:r w:rsidRPr="0082437D">
              <w:rPr>
                <w:rFonts w:ascii="Times New Roman" w:hAnsi="Times New Roman" w:cs="Times New Roman"/>
                <w:sz w:val="22"/>
                <w:szCs w:val="22"/>
              </w:rPr>
              <w:t>-33,9</w:t>
            </w:r>
          </w:p>
        </w:tc>
      </w:tr>
    </w:tbl>
    <w:p w14:paraId="47CD9FB3" w14:textId="7DC0DD4A" w:rsidR="00EF13D3" w:rsidRDefault="00EF13D3" w:rsidP="00EF13D3">
      <w:pPr>
        <w:spacing w:before="12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Объём внешнеторгового оборота Приднестровья уменьшился на 10,5%, до </w:t>
      </w:r>
      <w:r w:rsidRPr="00160362">
        <w:rPr>
          <w:rFonts w:ascii="Times New Roman" w:hAnsi="Times New Roman" w:cs="Times New Roman"/>
          <w:sz w:val="24"/>
          <w:szCs w:val="24"/>
        </w:rPr>
        <w:br/>
        <w:t>1 652,</w:t>
      </w:r>
      <w:r>
        <w:rPr>
          <w:rFonts w:ascii="Times New Roman" w:hAnsi="Times New Roman" w:cs="Times New Roman"/>
          <w:sz w:val="24"/>
          <w:szCs w:val="24"/>
        </w:rPr>
        <w:t>5</w:t>
      </w:r>
      <w:r w:rsidRPr="00160362">
        <w:rPr>
          <w:rFonts w:ascii="Times New Roman" w:hAnsi="Times New Roman" w:cs="Times New Roman"/>
          <w:sz w:val="24"/>
          <w:szCs w:val="24"/>
        </w:rPr>
        <w:t xml:space="preserve"> млн долл. В структуре показателя долевое представление экспорта расширилось на </w:t>
      </w:r>
      <w:r w:rsidRPr="00160362">
        <w:rPr>
          <w:rFonts w:ascii="Times New Roman" w:hAnsi="Times New Roman" w:cs="Times New Roman"/>
          <w:sz w:val="24"/>
          <w:szCs w:val="24"/>
        </w:rPr>
        <w:br/>
        <w:t>2,8 п.п., до 37,6%. Коэффициент покрытия импорта экспортом повысился на 6,</w:t>
      </w:r>
      <w:r w:rsidR="00A22D64">
        <w:rPr>
          <w:rFonts w:ascii="Times New Roman" w:hAnsi="Times New Roman" w:cs="Times New Roman"/>
          <w:sz w:val="24"/>
          <w:szCs w:val="24"/>
        </w:rPr>
        <w:t>8</w:t>
      </w:r>
      <w:r w:rsidRPr="00160362">
        <w:rPr>
          <w:rFonts w:ascii="Times New Roman" w:hAnsi="Times New Roman" w:cs="Times New Roman"/>
          <w:sz w:val="24"/>
          <w:szCs w:val="24"/>
        </w:rPr>
        <w:t xml:space="preserve"> п.п., до 60,3%. Дефицит </w:t>
      </w:r>
      <w:r>
        <w:rPr>
          <w:rFonts w:ascii="Times New Roman" w:hAnsi="Times New Roman" w:cs="Times New Roman"/>
          <w:sz w:val="24"/>
          <w:szCs w:val="24"/>
        </w:rPr>
        <w:t>торгового баланса</w:t>
      </w:r>
      <w:r w:rsidRPr="00160362">
        <w:rPr>
          <w:rFonts w:ascii="Times New Roman" w:hAnsi="Times New Roman" w:cs="Times New Roman"/>
          <w:sz w:val="24"/>
          <w:szCs w:val="24"/>
        </w:rPr>
        <w:t xml:space="preserve"> составил -409,</w:t>
      </w:r>
      <w:r w:rsidRPr="00F6763B">
        <w:rPr>
          <w:rFonts w:ascii="Times New Roman" w:hAnsi="Times New Roman" w:cs="Times New Roman"/>
          <w:sz w:val="24"/>
          <w:szCs w:val="24"/>
        </w:rPr>
        <w:t>7</w:t>
      </w:r>
      <w:r w:rsidRPr="00160362">
        <w:rPr>
          <w:rFonts w:ascii="Times New Roman" w:hAnsi="Times New Roman" w:cs="Times New Roman"/>
          <w:sz w:val="24"/>
          <w:szCs w:val="24"/>
        </w:rPr>
        <w:t xml:space="preserve"> млн долл., что на 26,9% меньше, чем в 2019 году. </w:t>
      </w:r>
    </w:p>
    <w:p w14:paraId="36747364" w14:textId="22F2767F" w:rsidR="00EF13D3" w:rsidRDefault="00EF13D3" w:rsidP="00EF13D3">
      <w:pPr>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Статистическая стоимость экспорта товаров </w:t>
      </w:r>
      <w:r w:rsidR="00F373E5">
        <w:rPr>
          <w:rFonts w:ascii="Times New Roman" w:hAnsi="Times New Roman" w:cs="Times New Roman"/>
          <w:sz w:val="24"/>
          <w:szCs w:val="24"/>
        </w:rPr>
        <w:t xml:space="preserve">зафиксирована </w:t>
      </w:r>
      <w:r w:rsidRPr="00160362">
        <w:rPr>
          <w:rFonts w:ascii="Times New Roman" w:hAnsi="Times New Roman" w:cs="Times New Roman"/>
          <w:sz w:val="24"/>
          <w:szCs w:val="24"/>
        </w:rPr>
        <w:t>на уровне 621,</w:t>
      </w:r>
      <w:r w:rsidRPr="00F6763B">
        <w:rPr>
          <w:rFonts w:ascii="Times New Roman" w:hAnsi="Times New Roman" w:cs="Times New Roman"/>
          <w:sz w:val="24"/>
          <w:szCs w:val="24"/>
        </w:rPr>
        <w:t>4</w:t>
      </w:r>
      <w:r w:rsidRPr="00160362">
        <w:rPr>
          <w:rFonts w:ascii="Times New Roman" w:hAnsi="Times New Roman" w:cs="Times New Roman"/>
          <w:sz w:val="24"/>
          <w:szCs w:val="24"/>
        </w:rPr>
        <w:t xml:space="preserve"> млн долл., на 3,</w:t>
      </w:r>
      <w:r w:rsidRPr="00682E4B">
        <w:rPr>
          <w:rFonts w:ascii="Times New Roman" w:hAnsi="Times New Roman" w:cs="Times New Roman"/>
          <w:sz w:val="24"/>
          <w:szCs w:val="24"/>
        </w:rPr>
        <w:t>3</w:t>
      </w:r>
      <w:r w:rsidRPr="00160362">
        <w:rPr>
          <w:rFonts w:ascii="Times New Roman" w:hAnsi="Times New Roman" w:cs="Times New Roman"/>
          <w:sz w:val="24"/>
          <w:szCs w:val="24"/>
        </w:rPr>
        <w:t xml:space="preserve">% уступив значению 2019 года. </w:t>
      </w:r>
      <w:r>
        <w:rPr>
          <w:rFonts w:ascii="Times New Roman" w:hAnsi="Times New Roman" w:cs="Times New Roman"/>
          <w:sz w:val="24"/>
          <w:szCs w:val="24"/>
        </w:rPr>
        <w:t>Предотвращению более существенного падения показателя способствовала благоприятная конъюнктура рынка металлов</w:t>
      </w:r>
      <w:r w:rsidRPr="00F373E5">
        <w:rPr>
          <w:rFonts w:ascii="Times New Roman" w:hAnsi="Times New Roman" w:cs="Times New Roman"/>
          <w:sz w:val="24"/>
          <w:szCs w:val="24"/>
        </w:rPr>
        <w:t>, сложившаяся во</w:t>
      </w:r>
      <w:r>
        <w:rPr>
          <w:rFonts w:ascii="Times New Roman" w:hAnsi="Times New Roman" w:cs="Times New Roman"/>
          <w:sz w:val="24"/>
          <w:szCs w:val="24"/>
        </w:rPr>
        <w:t xml:space="preserve"> второй половине отчётного периода, а также рост поставок электроэнергии за рубеж. В совокупности </w:t>
      </w:r>
      <w:r w:rsidRPr="009C3307">
        <w:rPr>
          <w:rFonts w:ascii="Times New Roman" w:hAnsi="Times New Roman" w:cs="Times New Roman"/>
          <w:sz w:val="24"/>
          <w:szCs w:val="24"/>
        </w:rPr>
        <w:t xml:space="preserve">поставки </w:t>
      </w:r>
      <w:r w:rsidR="009C3307" w:rsidRPr="009C3307">
        <w:rPr>
          <w:rFonts w:ascii="Times New Roman" w:hAnsi="Times New Roman" w:cs="Times New Roman"/>
          <w:sz w:val="24"/>
          <w:szCs w:val="24"/>
        </w:rPr>
        <w:t xml:space="preserve">чёрных </w:t>
      </w:r>
      <w:r w:rsidRPr="009C3307">
        <w:rPr>
          <w:rFonts w:ascii="Times New Roman" w:hAnsi="Times New Roman" w:cs="Times New Roman"/>
          <w:sz w:val="24"/>
          <w:szCs w:val="24"/>
        </w:rPr>
        <w:t xml:space="preserve">металлов и электроэнергии обеспечили </w:t>
      </w:r>
      <w:r w:rsidR="009C3307" w:rsidRPr="009C3307">
        <w:rPr>
          <w:rFonts w:ascii="Times New Roman" w:hAnsi="Times New Roman" w:cs="Times New Roman"/>
          <w:sz w:val="24"/>
          <w:szCs w:val="24"/>
        </w:rPr>
        <w:t>58,3</w:t>
      </w:r>
      <w:r w:rsidRPr="009C3307">
        <w:rPr>
          <w:rFonts w:ascii="Times New Roman" w:hAnsi="Times New Roman" w:cs="Times New Roman"/>
          <w:sz w:val="24"/>
          <w:szCs w:val="24"/>
        </w:rPr>
        <w:t>% экспорта (против 5</w:t>
      </w:r>
      <w:r w:rsidR="009C3307" w:rsidRPr="009C3307">
        <w:rPr>
          <w:rFonts w:ascii="Times New Roman" w:hAnsi="Times New Roman" w:cs="Times New Roman"/>
          <w:sz w:val="24"/>
          <w:szCs w:val="24"/>
        </w:rPr>
        <w:t>2,8</w:t>
      </w:r>
      <w:r w:rsidRPr="009C3307">
        <w:rPr>
          <w:rFonts w:ascii="Times New Roman" w:hAnsi="Times New Roman" w:cs="Times New Roman"/>
          <w:sz w:val="24"/>
          <w:szCs w:val="24"/>
        </w:rPr>
        <w:t xml:space="preserve">% в </w:t>
      </w:r>
      <w:r w:rsidR="007C069A">
        <w:rPr>
          <w:rFonts w:ascii="Times New Roman" w:hAnsi="Times New Roman" w:cs="Times New Roman"/>
          <w:sz w:val="24"/>
          <w:szCs w:val="24"/>
        </w:rPr>
        <w:br/>
      </w:r>
      <w:r w:rsidRPr="009C3307">
        <w:rPr>
          <w:rFonts w:ascii="Times New Roman" w:hAnsi="Times New Roman" w:cs="Times New Roman"/>
          <w:sz w:val="24"/>
          <w:szCs w:val="24"/>
        </w:rPr>
        <w:t xml:space="preserve">2019 году), прирост по ним составил </w:t>
      </w:r>
      <w:r w:rsidR="00794244" w:rsidRPr="009C3307">
        <w:rPr>
          <w:rFonts w:ascii="Times New Roman" w:hAnsi="Times New Roman" w:cs="Times New Roman"/>
          <w:sz w:val="24"/>
          <w:szCs w:val="24"/>
        </w:rPr>
        <w:t>5,6</w:t>
      </w:r>
      <w:r w:rsidRPr="009C3307">
        <w:rPr>
          <w:rFonts w:ascii="Times New Roman" w:hAnsi="Times New Roman" w:cs="Times New Roman"/>
          <w:sz w:val="24"/>
          <w:szCs w:val="24"/>
        </w:rPr>
        <w:t>% и 8,7% соответственно. Экспорт по остальным статьям товарной классификации внешнеэкономической деятельности сократился на 14,</w:t>
      </w:r>
      <w:r w:rsidR="007C069A">
        <w:rPr>
          <w:rFonts w:ascii="Times New Roman" w:hAnsi="Times New Roman" w:cs="Times New Roman"/>
          <w:sz w:val="24"/>
          <w:szCs w:val="24"/>
        </w:rPr>
        <w:t>7</w:t>
      </w:r>
      <w:r w:rsidRPr="009C3307">
        <w:rPr>
          <w:rFonts w:ascii="Times New Roman" w:hAnsi="Times New Roman" w:cs="Times New Roman"/>
          <w:sz w:val="24"/>
          <w:szCs w:val="24"/>
        </w:rPr>
        <w:t>%</w:t>
      </w:r>
      <w:r w:rsidR="009C3307" w:rsidRPr="009C3307">
        <w:rPr>
          <w:rFonts w:ascii="Times New Roman" w:hAnsi="Times New Roman" w:cs="Times New Roman"/>
          <w:sz w:val="24"/>
          <w:szCs w:val="24"/>
        </w:rPr>
        <w:t>.</w:t>
      </w:r>
    </w:p>
    <w:p w14:paraId="2C7B833E" w14:textId="77777777" w:rsidR="00EF13D3" w:rsidRPr="00160362" w:rsidRDefault="00EF13D3" w:rsidP="00EF13D3">
      <w:pPr>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В разрезе географии поставок доминирующим направлением оставались страны СНГ</w:t>
      </w:r>
      <w:r>
        <w:rPr>
          <w:rFonts w:ascii="Times New Roman" w:hAnsi="Times New Roman" w:cs="Times New Roman"/>
          <w:sz w:val="24"/>
          <w:szCs w:val="24"/>
        </w:rPr>
        <w:t xml:space="preserve"> </w:t>
      </w:r>
      <w:r>
        <w:rPr>
          <w:rFonts w:ascii="Times New Roman" w:hAnsi="Times New Roman" w:cs="Times New Roman"/>
          <w:sz w:val="24"/>
          <w:szCs w:val="24"/>
        </w:rPr>
        <w:br/>
      </w:r>
      <w:r w:rsidRPr="00160362">
        <w:rPr>
          <w:rFonts w:ascii="Times New Roman" w:hAnsi="Times New Roman" w:cs="Times New Roman"/>
          <w:sz w:val="24"/>
          <w:szCs w:val="24"/>
        </w:rPr>
        <w:t>(-5,7 п.п., до 64,3%), продажи в которые в абсолютном выражении снизились на 11,2% и составили 399,</w:t>
      </w:r>
      <w:r w:rsidRPr="00682E4B">
        <w:rPr>
          <w:rFonts w:ascii="Times New Roman" w:hAnsi="Times New Roman" w:cs="Times New Roman"/>
          <w:sz w:val="24"/>
          <w:szCs w:val="24"/>
        </w:rPr>
        <w:t>6</w:t>
      </w:r>
      <w:r w:rsidRPr="00160362">
        <w:rPr>
          <w:rFonts w:ascii="Times New Roman" w:hAnsi="Times New Roman" w:cs="Times New Roman"/>
          <w:sz w:val="24"/>
          <w:szCs w:val="24"/>
        </w:rPr>
        <w:t xml:space="preserve"> млн долл. При этом наблюдалось расширение экспорта продукции в страны </w:t>
      </w:r>
      <w:r w:rsidRPr="00160362">
        <w:rPr>
          <w:rFonts w:ascii="Times New Roman" w:hAnsi="Times New Roman" w:cs="Times New Roman"/>
          <w:sz w:val="24"/>
          <w:szCs w:val="24"/>
        </w:rPr>
        <w:lastRenderedPageBreak/>
        <w:t>дальнего зарубежья (+14,9%, до 221,8 млн долл.), в числе которых на страны Европейского союза пришлось порядка 83%, или 185,2 млн долл. (+3,7%).</w:t>
      </w:r>
    </w:p>
    <w:p w14:paraId="25479CE1" w14:textId="1B26DC01" w:rsidR="00346EB5" w:rsidRPr="00160362" w:rsidRDefault="00912D9D" w:rsidP="00EF13D3">
      <w:pPr>
        <w:widowControl w:val="0"/>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Снижение потребительской активности, повышение стоимости товаров, чувствительных к мировым ценам (в частности, продовольственных товаров и лома чёрных металлов), обвал цен на рынке энергоносителей стали ведущими критериями в формировании импорта товаров</w:t>
      </w:r>
      <w:r w:rsidR="001600E2">
        <w:rPr>
          <w:rFonts w:ascii="Times New Roman" w:hAnsi="Times New Roman" w:cs="Times New Roman"/>
          <w:sz w:val="24"/>
          <w:szCs w:val="24"/>
        </w:rPr>
        <w:t xml:space="preserve">. </w:t>
      </w:r>
      <w:r w:rsidR="001600E2" w:rsidRPr="00160362">
        <w:rPr>
          <w:rFonts w:ascii="Times New Roman" w:hAnsi="Times New Roman" w:cs="Times New Roman"/>
          <w:sz w:val="24"/>
          <w:szCs w:val="24"/>
        </w:rPr>
        <w:t xml:space="preserve">За </w:t>
      </w:r>
      <w:r w:rsidRPr="00160362">
        <w:rPr>
          <w:rFonts w:ascii="Times New Roman" w:hAnsi="Times New Roman" w:cs="Times New Roman"/>
          <w:sz w:val="24"/>
          <w:szCs w:val="24"/>
        </w:rPr>
        <w:t xml:space="preserve">2020 год </w:t>
      </w:r>
      <w:r w:rsidR="001600E2">
        <w:rPr>
          <w:rFonts w:ascii="Times New Roman" w:hAnsi="Times New Roman" w:cs="Times New Roman"/>
          <w:sz w:val="24"/>
          <w:szCs w:val="24"/>
        </w:rPr>
        <w:t>его объём составил</w:t>
      </w:r>
      <w:r w:rsidRPr="00160362">
        <w:rPr>
          <w:rFonts w:ascii="Times New Roman" w:hAnsi="Times New Roman" w:cs="Times New Roman"/>
          <w:sz w:val="24"/>
          <w:szCs w:val="24"/>
        </w:rPr>
        <w:t xml:space="preserve"> 1 031,1 млн долл., что на 14,3% ниже показателя </w:t>
      </w:r>
      <w:r w:rsidR="00346EB5" w:rsidRPr="00160362">
        <w:rPr>
          <w:rFonts w:ascii="Times New Roman" w:hAnsi="Times New Roman" w:cs="Times New Roman"/>
          <w:sz w:val="24"/>
          <w:szCs w:val="24"/>
        </w:rPr>
        <w:br/>
      </w:r>
      <w:r w:rsidRPr="00160362">
        <w:rPr>
          <w:rFonts w:ascii="Times New Roman" w:hAnsi="Times New Roman" w:cs="Times New Roman"/>
          <w:sz w:val="24"/>
          <w:szCs w:val="24"/>
        </w:rPr>
        <w:t>2019 года.</w:t>
      </w:r>
      <w:r w:rsidR="00346EB5" w:rsidRPr="00160362">
        <w:rPr>
          <w:rFonts w:ascii="Times New Roman" w:hAnsi="Times New Roman" w:cs="Times New Roman"/>
          <w:sz w:val="24"/>
          <w:szCs w:val="24"/>
        </w:rPr>
        <w:t xml:space="preserve"> Преимущественно товары поставлялись из стран СНГ (69,4%, -6,2 п.п.), при этом к значению базисного периода их объём уменьшился на 21,4%, до 715,7 млн долл. Импорт из государств дальнего зарубежья, напротив, возрос на 7,6%, до 315,4 млн долл.</w:t>
      </w:r>
    </w:p>
    <w:p w14:paraId="4021BFC5" w14:textId="6D4F4641" w:rsidR="00912D9D" w:rsidRPr="00160362" w:rsidRDefault="00346EB5" w:rsidP="00346EB5">
      <w:pPr>
        <w:widowControl w:val="0"/>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Баланс услуг за 2020 год сложился с отри</w:t>
      </w:r>
      <w:r w:rsidR="006B0CA6">
        <w:rPr>
          <w:rFonts w:ascii="Times New Roman" w:hAnsi="Times New Roman" w:cs="Times New Roman"/>
          <w:sz w:val="24"/>
          <w:szCs w:val="24"/>
        </w:rPr>
        <w:t>цательным сальдо на уровне -49,4</w:t>
      </w:r>
      <w:r w:rsidRPr="00160362">
        <w:rPr>
          <w:rFonts w:ascii="Times New Roman" w:hAnsi="Times New Roman" w:cs="Times New Roman"/>
          <w:sz w:val="24"/>
          <w:szCs w:val="24"/>
        </w:rPr>
        <w:t xml:space="preserve"> млн долл., что на треть превысило показатель 2019 года. Статистическая стоимость экспорта услуг, под влиянием динамики внешнеторговых операций, снизилась на </w:t>
      </w:r>
      <w:r w:rsidR="00A22D64">
        <w:rPr>
          <w:rFonts w:ascii="Times New Roman" w:hAnsi="Times New Roman" w:cs="Times New Roman"/>
          <w:sz w:val="24"/>
          <w:szCs w:val="24"/>
        </w:rPr>
        <w:t>30,0</w:t>
      </w:r>
      <w:r w:rsidRPr="00160362">
        <w:rPr>
          <w:rFonts w:ascii="Times New Roman" w:hAnsi="Times New Roman" w:cs="Times New Roman"/>
          <w:sz w:val="24"/>
          <w:szCs w:val="24"/>
        </w:rPr>
        <w:t>%, до 39,1 млн долл.</w:t>
      </w:r>
      <w:r w:rsidR="00A71137">
        <w:rPr>
          <w:rFonts w:ascii="Times New Roman" w:hAnsi="Times New Roman" w:cs="Times New Roman"/>
          <w:sz w:val="24"/>
          <w:szCs w:val="24"/>
        </w:rPr>
        <w:t>, импорта – на 4,8%, до</w:t>
      </w:r>
      <w:r w:rsidRPr="00160362">
        <w:rPr>
          <w:rFonts w:ascii="Times New Roman" w:hAnsi="Times New Roman" w:cs="Times New Roman"/>
          <w:sz w:val="24"/>
          <w:szCs w:val="24"/>
        </w:rPr>
        <w:t xml:space="preserve"> 88,4 млн долл.</w:t>
      </w:r>
    </w:p>
    <w:p w14:paraId="6AB82419" w14:textId="077DCB59" w:rsidR="00BC65CF" w:rsidRPr="00160362" w:rsidRDefault="00BC65CF" w:rsidP="00BC65CF">
      <w:pPr>
        <w:widowControl w:val="0"/>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Отрицательное сальдо баланса первичных доходов возросло на 4,</w:t>
      </w:r>
      <w:r w:rsidR="007F3472">
        <w:rPr>
          <w:rFonts w:ascii="Times New Roman" w:hAnsi="Times New Roman" w:cs="Times New Roman"/>
          <w:sz w:val="24"/>
          <w:szCs w:val="24"/>
        </w:rPr>
        <w:t>3</w:t>
      </w:r>
      <w:r w:rsidRPr="00160362">
        <w:rPr>
          <w:rFonts w:ascii="Times New Roman" w:hAnsi="Times New Roman" w:cs="Times New Roman"/>
          <w:sz w:val="24"/>
          <w:szCs w:val="24"/>
        </w:rPr>
        <w:t xml:space="preserve">%, составив </w:t>
      </w:r>
      <w:r w:rsidRPr="00160362">
        <w:rPr>
          <w:rFonts w:ascii="Times New Roman" w:hAnsi="Times New Roman" w:cs="Times New Roman"/>
          <w:sz w:val="24"/>
          <w:szCs w:val="24"/>
        </w:rPr>
        <w:br/>
        <w:t>-43,</w:t>
      </w:r>
      <w:r w:rsidR="007F3472">
        <w:rPr>
          <w:rFonts w:ascii="Times New Roman" w:hAnsi="Times New Roman" w:cs="Times New Roman"/>
          <w:sz w:val="24"/>
          <w:szCs w:val="24"/>
        </w:rPr>
        <w:t>8</w:t>
      </w:r>
      <w:r w:rsidRPr="00160362">
        <w:rPr>
          <w:rFonts w:ascii="Times New Roman" w:hAnsi="Times New Roman" w:cs="Times New Roman"/>
          <w:sz w:val="24"/>
          <w:szCs w:val="24"/>
        </w:rPr>
        <w:t xml:space="preserve"> млн долл. Его динамику определило увеличение средств, направленных нерезидентам в виде оплаты труда, инвестиционных доходов, процентных платежей по займам и дивидендам (+2,</w:t>
      </w:r>
      <w:r w:rsidR="007F3472">
        <w:rPr>
          <w:rFonts w:ascii="Times New Roman" w:hAnsi="Times New Roman" w:cs="Times New Roman"/>
          <w:sz w:val="24"/>
          <w:szCs w:val="24"/>
        </w:rPr>
        <w:t>8</w:t>
      </w:r>
      <w:r w:rsidRPr="00160362">
        <w:rPr>
          <w:rFonts w:ascii="Times New Roman" w:hAnsi="Times New Roman" w:cs="Times New Roman"/>
          <w:sz w:val="24"/>
          <w:szCs w:val="24"/>
        </w:rPr>
        <w:t>%, до 54,</w:t>
      </w:r>
      <w:r w:rsidR="007F3472">
        <w:rPr>
          <w:rFonts w:ascii="Times New Roman" w:hAnsi="Times New Roman" w:cs="Times New Roman"/>
          <w:sz w:val="24"/>
          <w:szCs w:val="24"/>
        </w:rPr>
        <w:t>3</w:t>
      </w:r>
      <w:r w:rsidRPr="00160362">
        <w:rPr>
          <w:rFonts w:ascii="Times New Roman" w:hAnsi="Times New Roman" w:cs="Times New Roman"/>
          <w:sz w:val="24"/>
          <w:szCs w:val="24"/>
        </w:rPr>
        <w:t xml:space="preserve"> млн долл.), на фоне снижения суммы аналогичных доходов, </w:t>
      </w:r>
      <w:r w:rsidR="00A71137">
        <w:rPr>
          <w:rFonts w:ascii="Times New Roman" w:hAnsi="Times New Roman" w:cs="Times New Roman"/>
          <w:sz w:val="24"/>
          <w:szCs w:val="24"/>
        </w:rPr>
        <w:t>полу</w:t>
      </w:r>
      <w:r w:rsidRPr="00160362">
        <w:rPr>
          <w:rFonts w:ascii="Times New Roman" w:hAnsi="Times New Roman" w:cs="Times New Roman"/>
          <w:sz w:val="24"/>
          <w:szCs w:val="24"/>
        </w:rPr>
        <w:t>ченных резидентам</w:t>
      </w:r>
      <w:r w:rsidR="00A71137">
        <w:rPr>
          <w:rFonts w:ascii="Times New Roman" w:hAnsi="Times New Roman" w:cs="Times New Roman"/>
          <w:sz w:val="24"/>
          <w:szCs w:val="24"/>
        </w:rPr>
        <w:t>и</w:t>
      </w:r>
      <w:r w:rsidRPr="00160362">
        <w:rPr>
          <w:rFonts w:ascii="Times New Roman" w:hAnsi="Times New Roman" w:cs="Times New Roman"/>
          <w:sz w:val="24"/>
          <w:szCs w:val="24"/>
        </w:rPr>
        <w:t xml:space="preserve"> (-3,</w:t>
      </w:r>
      <w:r w:rsidR="00A22D64">
        <w:rPr>
          <w:rFonts w:ascii="Times New Roman" w:hAnsi="Times New Roman" w:cs="Times New Roman"/>
          <w:sz w:val="24"/>
          <w:szCs w:val="24"/>
        </w:rPr>
        <w:t>1</w:t>
      </w:r>
      <w:r w:rsidRPr="00160362">
        <w:rPr>
          <w:rFonts w:ascii="Times New Roman" w:hAnsi="Times New Roman" w:cs="Times New Roman"/>
          <w:sz w:val="24"/>
          <w:szCs w:val="24"/>
        </w:rPr>
        <w:t xml:space="preserve">%, до 10,5 млн долл.). </w:t>
      </w:r>
    </w:p>
    <w:p w14:paraId="354DBE75" w14:textId="574B07DE" w:rsidR="00BC65CF" w:rsidRPr="00BC65CF" w:rsidRDefault="00BC65CF" w:rsidP="00BC65CF">
      <w:pPr>
        <w:widowControl w:val="0"/>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Нетто-результат баланса вторичных доходов уменьшился на 22,3%, до 487,2 млн долл. Объём полученных резидентами частных и государственных трансфертов уменьшился на 18,7%, до 550,6 млн долл., а величина обратных ремитенций, напротив, возросла на 26,8%, до </w:t>
      </w:r>
      <w:r w:rsidRPr="00160362">
        <w:rPr>
          <w:rFonts w:ascii="Times New Roman" w:hAnsi="Times New Roman" w:cs="Times New Roman"/>
          <w:sz w:val="24"/>
          <w:szCs w:val="24"/>
        </w:rPr>
        <w:br/>
        <w:t>63,4 млн долл., отражая прежде всего расширение официальн</w:t>
      </w:r>
      <w:r w:rsidR="00160362">
        <w:rPr>
          <w:rFonts w:ascii="Times New Roman" w:hAnsi="Times New Roman" w:cs="Times New Roman"/>
          <w:sz w:val="24"/>
          <w:szCs w:val="24"/>
        </w:rPr>
        <w:t>ых</w:t>
      </w:r>
      <w:r w:rsidRPr="00160362">
        <w:rPr>
          <w:rFonts w:ascii="Times New Roman" w:hAnsi="Times New Roman" w:cs="Times New Roman"/>
          <w:sz w:val="24"/>
          <w:szCs w:val="24"/>
        </w:rPr>
        <w:t xml:space="preserve"> </w:t>
      </w:r>
      <w:r w:rsidR="00A71137">
        <w:rPr>
          <w:rFonts w:ascii="Times New Roman" w:hAnsi="Times New Roman" w:cs="Times New Roman"/>
          <w:sz w:val="24"/>
          <w:szCs w:val="24"/>
        </w:rPr>
        <w:t xml:space="preserve">международных </w:t>
      </w:r>
      <w:r w:rsidRPr="00160362">
        <w:rPr>
          <w:rFonts w:ascii="Times New Roman" w:hAnsi="Times New Roman" w:cs="Times New Roman"/>
          <w:sz w:val="24"/>
          <w:szCs w:val="24"/>
        </w:rPr>
        <w:t>перевод</w:t>
      </w:r>
      <w:r w:rsidR="00160362">
        <w:rPr>
          <w:rFonts w:ascii="Times New Roman" w:hAnsi="Times New Roman" w:cs="Times New Roman"/>
          <w:sz w:val="24"/>
          <w:szCs w:val="24"/>
        </w:rPr>
        <w:t>ов</w:t>
      </w:r>
      <w:r w:rsidRPr="00160362">
        <w:rPr>
          <w:rFonts w:ascii="Times New Roman" w:hAnsi="Times New Roman" w:cs="Times New Roman"/>
          <w:sz w:val="24"/>
          <w:szCs w:val="24"/>
        </w:rPr>
        <w:t xml:space="preserve"> денежных средств через коммерческие банки в условиях ограничения свободного передвижения граждан в период пандемии, введённого во многих странах мира.</w:t>
      </w:r>
      <w:r w:rsidRPr="00BC65CF">
        <w:rPr>
          <w:rFonts w:ascii="Times New Roman" w:hAnsi="Times New Roman" w:cs="Times New Roman"/>
          <w:sz w:val="24"/>
          <w:szCs w:val="24"/>
        </w:rPr>
        <w:t xml:space="preserve"> </w:t>
      </w:r>
    </w:p>
    <w:p w14:paraId="3ECE6B98" w14:textId="6CD8D351" w:rsidR="009C4D2E" w:rsidRPr="00105D59" w:rsidRDefault="000D3D31" w:rsidP="008A651D">
      <w:pPr>
        <w:pStyle w:val="af7"/>
        <w:spacing w:before="0" w:after="0" w:line="240" w:lineRule="auto"/>
        <w:ind w:left="0" w:firstLine="425"/>
        <w:jc w:val="both"/>
        <w:rPr>
          <w:rFonts w:ascii="Times New Roman" w:hAnsi="Times New Roman" w:cs="Times New Roman"/>
          <w:sz w:val="24"/>
          <w:szCs w:val="24"/>
        </w:rPr>
      </w:pPr>
      <w:r w:rsidRPr="00105D59">
        <w:rPr>
          <w:rFonts w:ascii="Times New Roman" w:hAnsi="Times New Roman" w:cs="Times New Roman"/>
          <w:sz w:val="24"/>
          <w:szCs w:val="24"/>
        </w:rPr>
        <w:t>По итогам 20</w:t>
      </w:r>
      <w:r w:rsidR="004F1C6A" w:rsidRPr="00105D59">
        <w:rPr>
          <w:rFonts w:ascii="Times New Roman" w:hAnsi="Times New Roman" w:cs="Times New Roman"/>
          <w:sz w:val="24"/>
          <w:szCs w:val="24"/>
        </w:rPr>
        <w:t>20</w:t>
      </w:r>
      <w:r w:rsidRPr="00105D59">
        <w:rPr>
          <w:rFonts w:ascii="Times New Roman" w:hAnsi="Times New Roman" w:cs="Times New Roman"/>
          <w:sz w:val="24"/>
          <w:szCs w:val="24"/>
        </w:rPr>
        <w:t xml:space="preserve"> года сальдо финансового счёта платёжного баланса Приднестровской Молдавской Республики сформировалось </w:t>
      </w:r>
      <w:r w:rsidR="004F1C6A" w:rsidRPr="00105D59">
        <w:rPr>
          <w:rFonts w:ascii="Times New Roman" w:hAnsi="Times New Roman" w:cs="Times New Roman"/>
          <w:sz w:val="24"/>
          <w:szCs w:val="24"/>
        </w:rPr>
        <w:t>отрицательным</w:t>
      </w:r>
      <w:r w:rsidRPr="00105D59">
        <w:rPr>
          <w:rFonts w:ascii="Times New Roman" w:hAnsi="Times New Roman" w:cs="Times New Roman"/>
          <w:sz w:val="24"/>
          <w:szCs w:val="24"/>
        </w:rPr>
        <w:t xml:space="preserve"> в размере </w:t>
      </w:r>
      <w:r w:rsidR="00A71137">
        <w:rPr>
          <w:rFonts w:ascii="Times New Roman" w:hAnsi="Times New Roman" w:cs="Times New Roman"/>
          <w:sz w:val="24"/>
          <w:szCs w:val="24"/>
        </w:rPr>
        <w:t>-</w:t>
      </w:r>
      <w:r w:rsidR="004F1C6A" w:rsidRPr="00105D59">
        <w:rPr>
          <w:rFonts w:ascii="Times New Roman" w:hAnsi="Times New Roman" w:cs="Times New Roman"/>
          <w:sz w:val="24"/>
          <w:szCs w:val="24"/>
        </w:rPr>
        <w:t>49,5</w:t>
      </w:r>
      <w:r w:rsidR="00DE14C7" w:rsidRPr="00105D59">
        <w:rPr>
          <w:rFonts w:ascii="Times New Roman" w:hAnsi="Times New Roman" w:cs="Times New Roman"/>
          <w:sz w:val="24"/>
          <w:szCs w:val="24"/>
        </w:rPr>
        <w:t xml:space="preserve"> млн долл., тогда как годом ранее фиксировался </w:t>
      </w:r>
      <w:r w:rsidR="00ED7DC0" w:rsidRPr="00105D59">
        <w:rPr>
          <w:rFonts w:ascii="Times New Roman" w:hAnsi="Times New Roman" w:cs="Times New Roman"/>
          <w:sz w:val="24"/>
          <w:szCs w:val="24"/>
        </w:rPr>
        <w:t>профицит в сумме 0,</w:t>
      </w:r>
      <w:r w:rsidR="00A42423" w:rsidRPr="00105D59">
        <w:rPr>
          <w:rFonts w:ascii="Times New Roman" w:hAnsi="Times New Roman" w:cs="Times New Roman"/>
          <w:sz w:val="24"/>
          <w:szCs w:val="24"/>
        </w:rPr>
        <w:t>5</w:t>
      </w:r>
      <w:r w:rsidR="00DE14C7" w:rsidRPr="00105D59">
        <w:rPr>
          <w:rFonts w:ascii="Times New Roman" w:hAnsi="Times New Roman" w:cs="Times New Roman"/>
          <w:sz w:val="24"/>
          <w:szCs w:val="24"/>
        </w:rPr>
        <w:t xml:space="preserve"> млн долл.</w:t>
      </w:r>
      <w:r w:rsidRPr="00105D59">
        <w:rPr>
          <w:rFonts w:ascii="Times New Roman" w:hAnsi="Times New Roman" w:cs="Times New Roman"/>
          <w:sz w:val="24"/>
          <w:szCs w:val="24"/>
        </w:rPr>
        <w:t xml:space="preserve"> </w:t>
      </w:r>
      <w:r w:rsidR="00A42423" w:rsidRPr="00105D59">
        <w:rPr>
          <w:rFonts w:ascii="Times New Roman" w:hAnsi="Times New Roman" w:cs="Times New Roman"/>
          <w:sz w:val="24"/>
          <w:szCs w:val="24"/>
        </w:rPr>
        <w:t xml:space="preserve">Увеличение </w:t>
      </w:r>
      <w:r w:rsidR="00DE14C7" w:rsidRPr="00105D59">
        <w:rPr>
          <w:rFonts w:ascii="Times New Roman" w:hAnsi="Times New Roman" w:cs="Times New Roman"/>
          <w:sz w:val="24"/>
          <w:szCs w:val="24"/>
        </w:rPr>
        <w:t>нетто-обязательств</w:t>
      </w:r>
      <w:r w:rsidRPr="00105D59">
        <w:rPr>
          <w:rFonts w:ascii="Times New Roman" w:hAnsi="Times New Roman" w:cs="Times New Roman"/>
          <w:sz w:val="24"/>
          <w:szCs w:val="24"/>
        </w:rPr>
        <w:t xml:space="preserve"> составило </w:t>
      </w:r>
      <w:r w:rsidR="00A42423" w:rsidRPr="00105D59">
        <w:rPr>
          <w:rFonts w:ascii="Times New Roman" w:hAnsi="Times New Roman" w:cs="Times New Roman"/>
          <w:sz w:val="24"/>
          <w:szCs w:val="24"/>
        </w:rPr>
        <w:t>35,0</w:t>
      </w:r>
      <w:r w:rsidRPr="00105D59">
        <w:rPr>
          <w:rFonts w:ascii="Times New Roman" w:hAnsi="Times New Roman" w:cs="Times New Roman"/>
          <w:sz w:val="24"/>
          <w:szCs w:val="24"/>
        </w:rPr>
        <w:t xml:space="preserve"> млн долл.</w:t>
      </w:r>
      <w:r w:rsidR="00AC416B" w:rsidRPr="00105D59">
        <w:rPr>
          <w:rFonts w:ascii="Times New Roman" w:hAnsi="Times New Roman" w:cs="Times New Roman"/>
          <w:sz w:val="24"/>
          <w:szCs w:val="24"/>
        </w:rPr>
        <w:t xml:space="preserve"> </w:t>
      </w:r>
      <w:r w:rsidR="00183D6D" w:rsidRPr="00105D59">
        <w:rPr>
          <w:rFonts w:ascii="Times New Roman" w:hAnsi="Times New Roman" w:cs="Times New Roman"/>
          <w:sz w:val="24"/>
          <w:szCs w:val="24"/>
        </w:rPr>
        <w:t>(</w:t>
      </w:r>
      <w:r w:rsidRPr="00105D59">
        <w:rPr>
          <w:rFonts w:ascii="Times New Roman" w:hAnsi="Times New Roman" w:cs="Times New Roman"/>
          <w:sz w:val="24"/>
          <w:szCs w:val="24"/>
        </w:rPr>
        <w:t>в 201</w:t>
      </w:r>
      <w:r w:rsidR="00A42423" w:rsidRPr="00105D59">
        <w:rPr>
          <w:rFonts w:ascii="Times New Roman" w:hAnsi="Times New Roman" w:cs="Times New Roman"/>
          <w:sz w:val="24"/>
          <w:szCs w:val="24"/>
        </w:rPr>
        <w:t>9</w:t>
      </w:r>
      <w:r w:rsidRPr="00105D59">
        <w:rPr>
          <w:rFonts w:ascii="Times New Roman" w:hAnsi="Times New Roman" w:cs="Times New Roman"/>
          <w:sz w:val="24"/>
          <w:szCs w:val="24"/>
        </w:rPr>
        <w:t xml:space="preserve"> год</w:t>
      </w:r>
      <w:r w:rsidR="00DE14C7" w:rsidRPr="00105D59">
        <w:rPr>
          <w:rFonts w:ascii="Times New Roman" w:hAnsi="Times New Roman" w:cs="Times New Roman"/>
          <w:sz w:val="24"/>
          <w:szCs w:val="24"/>
        </w:rPr>
        <w:t>у</w:t>
      </w:r>
      <w:r w:rsidR="00183D6D" w:rsidRPr="00105D59">
        <w:rPr>
          <w:rFonts w:ascii="Times New Roman" w:hAnsi="Times New Roman" w:cs="Times New Roman"/>
          <w:sz w:val="24"/>
          <w:szCs w:val="24"/>
        </w:rPr>
        <w:t xml:space="preserve"> – </w:t>
      </w:r>
      <w:r w:rsidR="006A6605" w:rsidRPr="00105D59">
        <w:rPr>
          <w:rFonts w:ascii="Times New Roman" w:hAnsi="Times New Roman" w:cs="Times New Roman"/>
          <w:sz w:val="24"/>
          <w:szCs w:val="24"/>
        </w:rPr>
        <w:t>сокращение</w:t>
      </w:r>
      <w:r w:rsidR="00183D6D" w:rsidRPr="00105D59">
        <w:rPr>
          <w:rFonts w:ascii="Times New Roman" w:hAnsi="Times New Roman" w:cs="Times New Roman"/>
          <w:sz w:val="24"/>
          <w:szCs w:val="24"/>
        </w:rPr>
        <w:t xml:space="preserve"> на </w:t>
      </w:r>
      <w:r w:rsidR="006A6605" w:rsidRPr="00105D59">
        <w:rPr>
          <w:rFonts w:ascii="Times New Roman" w:hAnsi="Times New Roman" w:cs="Times New Roman"/>
          <w:sz w:val="24"/>
          <w:szCs w:val="24"/>
        </w:rPr>
        <w:t>15,5</w:t>
      </w:r>
      <w:r w:rsidR="00183D6D" w:rsidRPr="00105D59">
        <w:rPr>
          <w:rFonts w:ascii="Times New Roman" w:hAnsi="Times New Roman" w:cs="Times New Roman"/>
          <w:sz w:val="24"/>
          <w:szCs w:val="24"/>
        </w:rPr>
        <w:t xml:space="preserve"> млн долл.</w:t>
      </w:r>
      <w:r w:rsidRPr="00105D59">
        <w:rPr>
          <w:rFonts w:ascii="Times New Roman" w:hAnsi="Times New Roman" w:cs="Times New Roman"/>
          <w:sz w:val="24"/>
          <w:szCs w:val="24"/>
        </w:rPr>
        <w:t>)</w:t>
      </w:r>
      <w:r w:rsidR="00183D6D" w:rsidRPr="00105D59">
        <w:rPr>
          <w:rFonts w:ascii="Times New Roman" w:hAnsi="Times New Roman" w:cs="Times New Roman"/>
          <w:sz w:val="24"/>
          <w:szCs w:val="24"/>
        </w:rPr>
        <w:t>,</w:t>
      </w:r>
      <w:r w:rsidRPr="00105D59">
        <w:rPr>
          <w:rFonts w:ascii="Times New Roman" w:hAnsi="Times New Roman" w:cs="Times New Roman"/>
          <w:sz w:val="24"/>
          <w:szCs w:val="24"/>
        </w:rPr>
        <w:t xml:space="preserve"> </w:t>
      </w:r>
      <w:r w:rsidR="006A6605" w:rsidRPr="00105D59">
        <w:rPr>
          <w:rFonts w:ascii="Times New Roman" w:hAnsi="Times New Roman" w:cs="Times New Roman"/>
          <w:sz w:val="24"/>
          <w:szCs w:val="24"/>
        </w:rPr>
        <w:t xml:space="preserve">при этом </w:t>
      </w:r>
      <w:r w:rsidRPr="00105D59">
        <w:rPr>
          <w:rFonts w:ascii="Times New Roman" w:hAnsi="Times New Roman" w:cs="Times New Roman"/>
          <w:sz w:val="24"/>
          <w:szCs w:val="24"/>
        </w:rPr>
        <w:t>иностранны</w:t>
      </w:r>
      <w:r w:rsidR="006A6605" w:rsidRPr="00105D59">
        <w:rPr>
          <w:rFonts w:ascii="Times New Roman" w:hAnsi="Times New Roman" w:cs="Times New Roman"/>
          <w:sz w:val="24"/>
          <w:szCs w:val="24"/>
        </w:rPr>
        <w:t>е</w:t>
      </w:r>
      <w:r w:rsidRPr="00105D59">
        <w:rPr>
          <w:rFonts w:ascii="Times New Roman" w:hAnsi="Times New Roman" w:cs="Times New Roman"/>
          <w:sz w:val="24"/>
          <w:szCs w:val="24"/>
        </w:rPr>
        <w:t xml:space="preserve"> актив</w:t>
      </w:r>
      <w:r w:rsidR="00AF4FDA">
        <w:rPr>
          <w:rFonts w:ascii="Times New Roman" w:hAnsi="Times New Roman" w:cs="Times New Roman"/>
          <w:sz w:val="24"/>
          <w:szCs w:val="24"/>
        </w:rPr>
        <w:t>ы</w:t>
      </w:r>
      <w:r w:rsidRPr="00105D59">
        <w:rPr>
          <w:rFonts w:ascii="Times New Roman" w:hAnsi="Times New Roman" w:cs="Times New Roman"/>
          <w:sz w:val="24"/>
          <w:szCs w:val="24"/>
        </w:rPr>
        <w:t xml:space="preserve"> </w:t>
      </w:r>
      <w:r w:rsidR="006A6605" w:rsidRPr="00105D59">
        <w:rPr>
          <w:rFonts w:ascii="Times New Roman" w:hAnsi="Times New Roman" w:cs="Times New Roman"/>
          <w:sz w:val="24"/>
          <w:szCs w:val="24"/>
        </w:rPr>
        <w:t xml:space="preserve">уменьшились </w:t>
      </w:r>
      <w:r w:rsidR="00AF4FDA">
        <w:rPr>
          <w:rFonts w:ascii="Times New Roman" w:hAnsi="Times New Roman" w:cs="Times New Roman"/>
          <w:sz w:val="24"/>
          <w:szCs w:val="24"/>
        </w:rPr>
        <w:t xml:space="preserve">на </w:t>
      </w:r>
      <w:r w:rsidR="00183D6D" w:rsidRPr="00105D59">
        <w:rPr>
          <w:rFonts w:ascii="Times New Roman" w:hAnsi="Times New Roman" w:cs="Times New Roman"/>
          <w:sz w:val="24"/>
          <w:szCs w:val="24"/>
        </w:rPr>
        <w:t>14,</w:t>
      </w:r>
      <w:r w:rsidR="00AF4FDA">
        <w:rPr>
          <w:rFonts w:ascii="Times New Roman" w:hAnsi="Times New Roman" w:cs="Times New Roman"/>
          <w:sz w:val="24"/>
          <w:szCs w:val="24"/>
        </w:rPr>
        <w:t>5</w:t>
      </w:r>
      <w:r w:rsidRPr="00105D59">
        <w:rPr>
          <w:rFonts w:ascii="Times New Roman" w:hAnsi="Times New Roman" w:cs="Times New Roman"/>
          <w:sz w:val="24"/>
          <w:szCs w:val="24"/>
        </w:rPr>
        <w:t xml:space="preserve"> млн долл. (-</w:t>
      </w:r>
      <w:r w:rsidR="0036393B" w:rsidRPr="00105D59">
        <w:rPr>
          <w:rFonts w:ascii="Times New Roman" w:hAnsi="Times New Roman" w:cs="Times New Roman"/>
          <w:sz w:val="24"/>
          <w:szCs w:val="24"/>
        </w:rPr>
        <w:t>15,0</w:t>
      </w:r>
      <w:r w:rsidRPr="00105D59">
        <w:rPr>
          <w:rFonts w:ascii="Times New Roman" w:hAnsi="Times New Roman" w:cs="Times New Roman"/>
          <w:sz w:val="24"/>
          <w:szCs w:val="24"/>
        </w:rPr>
        <w:t xml:space="preserve"> млн долл.</w:t>
      </w:r>
      <w:r w:rsidR="00145673">
        <w:rPr>
          <w:rFonts w:ascii="Times New Roman" w:hAnsi="Times New Roman" w:cs="Times New Roman"/>
          <w:sz w:val="24"/>
          <w:szCs w:val="24"/>
        </w:rPr>
        <w:t xml:space="preserve"> соответственно</w:t>
      </w:r>
      <w:r w:rsidRPr="00105D59">
        <w:rPr>
          <w:rFonts w:ascii="Times New Roman" w:hAnsi="Times New Roman" w:cs="Times New Roman"/>
          <w:sz w:val="24"/>
          <w:szCs w:val="24"/>
        </w:rPr>
        <w:t xml:space="preserve">). </w:t>
      </w:r>
      <w:r w:rsidR="00AF4FDA">
        <w:rPr>
          <w:rFonts w:ascii="Times New Roman" w:hAnsi="Times New Roman" w:cs="Times New Roman"/>
          <w:sz w:val="24"/>
          <w:szCs w:val="24"/>
        </w:rPr>
        <w:t>Ч</w:t>
      </w:r>
      <w:r w:rsidR="00A82ED7" w:rsidRPr="00105D59">
        <w:rPr>
          <w:rFonts w:ascii="Times New Roman" w:hAnsi="Times New Roman" w:cs="Times New Roman"/>
          <w:sz w:val="24"/>
          <w:szCs w:val="24"/>
        </w:rPr>
        <w:t>истое заимствование у контрагентов</w:t>
      </w:r>
      <w:r w:rsidRPr="00105D59">
        <w:rPr>
          <w:rFonts w:ascii="Times New Roman" w:hAnsi="Times New Roman" w:cs="Times New Roman"/>
          <w:sz w:val="24"/>
          <w:szCs w:val="24"/>
        </w:rPr>
        <w:t xml:space="preserve"> </w:t>
      </w:r>
      <w:r w:rsidR="00A82ED7" w:rsidRPr="00105D59">
        <w:rPr>
          <w:rFonts w:ascii="Times New Roman" w:hAnsi="Times New Roman" w:cs="Times New Roman"/>
          <w:sz w:val="24"/>
          <w:szCs w:val="24"/>
        </w:rPr>
        <w:t xml:space="preserve">из стран СНГ оценивалось на сумму </w:t>
      </w:r>
      <w:r w:rsidR="00105D59" w:rsidRPr="00105D59">
        <w:rPr>
          <w:rFonts w:ascii="Times New Roman" w:hAnsi="Times New Roman" w:cs="Times New Roman"/>
          <w:sz w:val="24"/>
          <w:szCs w:val="24"/>
        </w:rPr>
        <w:t>40,1</w:t>
      </w:r>
      <w:r w:rsidR="00A82ED7" w:rsidRPr="00105D59">
        <w:rPr>
          <w:rFonts w:ascii="Times New Roman" w:hAnsi="Times New Roman" w:cs="Times New Roman"/>
          <w:sz w:val="24"/>
          <w:szCs w:val="24"/>
        </w:rPr>
        <w:t xml:space="preserve"> млн долл., </w:t>
      </w:r>
      <w:r w:rsidR="00105D59" w:rsidRPr="00105D59">
        <w:rPr>
          <w:rFonts w:ascii="Times New Roman" w:hAnsi="Times New Roman" w:cs="Times New Roman"/>
          <w:sz w:val="24"/>
          <w:szCs w:val="24"/>
        </w:rPr>
        <w:t>у</w:t>
      </w:r>
      <w:r w:rsidR="00A82ED7" w:rsidRPr="00105D59">
        <w:rPr>
          <w:rFonts w:ascii="Times New Roman" w:hAnsi="Times New Roman" w:cs="Times New Roman"/>
          <w:sz w:val="24"/>
          <w:szCs w:val="24"/>
        </w:rPr>
        <w:t xml:space="preserve"> партнёров </w:t>
      </w:r>
      <w:r w:rsidRPr="00105D59">
        <w:rPr>
          <w:rFonts w:ascii="Times New Roman" w:hAnsi="Times New Roman" w:cs="Times New Roman"/>
          <w:sz w:val="24"/>
          <w:szCs w:val="24"/>
        </w:rPr>
        <w:t>дальнего зарубежья</w:t>
      </w:r>
      <w:r w:rsidR="00A82ED7" w:rsidRPr="00105D59">
        <w:rPr>
          <w:rFonts w:ascii="Times New Roman" w:hAnsi="Times New Roman" w:cs="Times New Roman"/>
          <w:sz w:val="24"/>
          <w:szCs w:val="24"/>
        </w:rPr>
        <w:t xml:space="preserve"> </w:t>
      </w:r>
      <w:r w:rsidRPr="00105D59">
        <w:rPr>
          <w:rFonts w:ascii="Times New Roman" w:hAnsi="Times New Roman" w:cs="Times New Roman"/>
          <w:sz w:val="24"/>
          <w:szCs w:val="24"/>
        </w:rPr>
        <w:t>–</w:t>
      </w:r>
      <w:r w:rsidR="00FA6175" w:rsidRPr="00105D59">
        <w:rPr>
          <w:rFonts w:ascii="Times New Roman" w:hAnsi="Times New Roman" w:cs="Times New Roman"/>
          <w:sz w:val="24"/>
          <w:szCs w:val="24"/>
        </w:rPr>
        <w:t xml:space="preserve"> </w:t>
      </w:r>
      <w:r w:rsidR="00105D59" w:rsidRPr="00105D59">
        <w:rPr>
          <w:rFonts w:ascii="Times New Roman" w:hAnsi="Times New Roman" w:cs="Times New Roman"/>
          <w:sz w:val="24"/>
          <w:szCs w:val="24"/>
        </w:rPr>
        <w:t>9,4</w:t>
      </w:r>
      <w:r w:rsidRPr="00105D59">
        <w:rPr>
          <w:rFonts w:ascii="Times New Roman" w:hAnsi="Times New Roman" w:cs="Times New Roman"/>
          <w:sz w:val="24"/>
          <w:szCs w:val="24"/>
        </w:rPr>
        <w:t xml:space="preserve"> млн долл.</w:t>
      </w:r>
    </w:p>
    <w:p w14:paraId="100270ED" w14:textId="5A10F875" w:rsidR="009C4D2E" w:rsidRPr="00243B34" w:rsidRDefault="00414DD9" w:rsidP="008A651D">
      <w:pPr>
        <w:pStyle w:val="af7"/>
        <w:spacing w:before="0" w:after="0" w:line="240" w:lineRule="auto"/>
        <w:ind w:left="0" w:firstLine="425"/>
        <w:jc w:val="both"/>
        <w:rPr>
          <w:rFonts w:ascii="Times New Roman" w:hAnsi="Times New Roman" w:cs="Times New Roman"/>
          <w:sz w:val="24"/>
          <w:szCs w:val="24"/>
        </w:rPr>
      </w:pPr>
      <w:r w:rsidRPr="00B0620C">
        <w:rPr>
          <w:rFonts w:ascii="Times New Roman" w:hAnsi="Times New Roman" w:cs="Times New Roman"/>
          <w:sz w:val="24"/>
          <w:szCs w:val="24"/>
        </w:rPr>
        <w:t>Нетто-приток средств в республику по результатам операций с прямыми инвестициями составил 6,1 млн долл</w:t>
      </w:r>
      <w:r w:rsidRPr="00414DD9">
        <w:rPr>
          <w:rFonts w:ascii="Times New Roman" w:hAnsi="Times New Roman" w:cs="Times New Roman"/>
          <w:sz w:val="24"/>
          <w:szCs w:val="24"/>
        </w:rPr>
        <w:t>., тогда как в 2019 год</w:t>
      </w:r>
      <w:r>
        <w:rPr>
          <w:rFonts w:ascii="Times New Roman" w:hAnsi="Times New Roman" w:cs="Times New Roman"/>
          <w:sz w:val="24"/>
          <w:szCs w:val="24"/>
        </w:rPr>
        <w:t>у</w:t>
      </w:r>
      <w:r w:rsidRPr="00414DD9">
        <w:rPr>
          <w:rFonts w:ascii="Times New Roman" w:hAnsi="Times New Roman" w:cs="Times New Roman"/>
          <w:sz w:val="24"/>
          <w:szCs w:val="24"/>
        </w:rPr>
        <w:t xml:space="preserve"> наблюдался чистый отток капитала в пределах </w:t>
      </w:r>
      <w:r>
        <w:rPr>
          <w:rFonts w:ascii="Times New Roman" w:hAnsi="Times New Roman" w:cs="Times New Roman"/>
          <w:sz w:val="24"/>
          <w:szCs w:val="24"/>
        </w:rPr>
        <w:t>6,2</w:t>
      </w:r>
      <w:r w:rsidRPr="00414DD9">
        <w:rPr>
          <w:rFonts w:ascii="Times New Roman" w:hAnsi="Times New Roman" w:cs="Times New Roman"/>
          <w:sz w:val="24"/>
          <w:szCs w:val="24"/>
        </w:rPr>
        <w:t xml:space="preserve"> млн </w:t>
      </w:r>
      <w:r w:rsidRPr="00243B34">
        <w:rPr>
          <w:rFonts w:ascii="Times New Roman" w:hAnsi="Times New Roman" w:cs="Times New Roman"/>
          <w:sz w:val="24"/>
          <w:szCs w:val="24"/>
        </w:rPr>
        <w:t>долл.</w:t>
      </w:r>
      <w:r w:rsidR="000D3D31" w:rsidRPr="00243B34">
        <w:rPr>
          <w:rFonts w:ascii="Times New Roman" w:hAnsi="Times New Roman" w:cs="Times New Roman"/>
          <w:sz w:val="22"/>
          <w:szCs w:val="22"/>
        </w:rPr>
        <w:t xml:space="preserve"> </w:t>
      </w:r>
      <w:r w:rsidR="000D3D31" w:rsidRPr="00243B34">
        <w:rPr>
          <w:rFonts w:ascii="Times New Roman" w:hAnsi="Times New Roman" w:cs="Times New Roman"/>
          <w:sz w:val="24"/>
          <w:szCs w:val="24"/>
        </w:rPr>
        <w:t>Баланс портфельных инвестиций в 20</w:t>
      </w:r>
      <w:r w:rsidR="00243B34" w:rsidRPr="00243B34">
        <w:rPr>
          <w:rFonts w:ascii="Times New Roman" w:hAnsi="Times New Roman" w:cs="Times New Roman"/>
          <w:sz w:val="24"/>
          <w:szCs w:val="24"/>
        </w:rPr>
        <w:t>20</w:t>
      </w:r>
      <w:r w:rsidR="000D3D31" w:rsidRPr="00243B34">
        <w:rPr>
          <w:rFonts w:ascii="Times New Roman" w:hAnsi="Times New Roman" w:cs="Times New Roman"/>
          <w:sz w:val="24"/>
          <w:szCs w:val="24"/>
        </w:rPr>
        <w:t xml:space="preserve"> год</w:t>
      </w:r>
      <w:r w:rsidR="00F63791" w:rsidRPr="00243B34">
        <w:rPr>
          <w:rFonts w:ascii="Times New Roman" w:hAnsi="Times New Roman" w:cs="Times New Roman"/>
          <w:sz w:val="24"/>
          <w:szCs w:val="24"/>
        </w:rPr>
        <w:t xml:space="preserve">у </w:t>
      </w:r>
      <w:r w:rsidR="000D3D31" w:rsidRPr="00243B34">
        <w:rPr>
          <w:rFonts w:ascii="Times New Roman" w:hAnsi="Times New Roman" w:cs="Times New Roman"/>
          <w:sz w:val="24"/>
          <w:szCs w:val="24"/>
        </w:rPr>
        <w:t xml:space="preserve">зафиксирован </w:t>
      </w:r>
      <w:r w:rsidR="00F63791" w:rsidRPr="00243B34">
        <w:rPr>
          <w:rFonts w:ascii="Times New Roman" w:hAnsi="Times New Roman" w:cs="Times New Roman"/>
          <w:sz w:val="24"/>
          <w:szCs w:val="24"/>
        </w:rPr>
        <w:t>на уровне</w:t>
      </w:r>
      <w:r w:rsidR="00A71137">
        <w:rPr>
          <w:rFonts w:ascii="Times New Roman" w:hAnsi="Times New Roman" w:cs="Times New Roman"/>
          <w:sz w:val="24"/>
          <w:szCs w:val="24"/>
        </w:rPr>
        <w:t>,</w:t>
      </w:r>
      <w:r w:rsidR="00F63791" w:rsidRPr="00243B34">
        <w:rPr>
          <w:rFonts w:ascii="Times New Roman" w:hAnsi="Times New Roman" w:cs="Times New Roman"/>
          <w:sz w:val="24"/>
          <w:szCs w:val="24"/>
        </w:rPr>
        <w:t xml:space="preserve"> близком к нулю.</w:t>
      </w:r>
    </w:p>
    <w:p w14:paraId="48B2EB3F" w14:textId="6050F51E" w:rsidR="00A03642" w:rsidRPr="008418A7" w:rsidRDefault="00C419CD" w:rsidP="008A651D">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О</w:t>
      </w:r>
      <w:r w:rsidR="00243B34" w:rsidRPr="00C419CD">
        <w:rPr>
          <w:rFonts w:ascii="Times New Roman" w:hAnsi="Times New Roman" w:cs="Times New Roman"/>
          <w:sz w:val="24"/>
          <w:szCs w:val="24"/>
        </w:rPr>
        <w:t xml:space="preserve">перации с депозитами, кредитами и займами, наличной валютой, торговыми кредитами и авансами обеспечили нетто-приток финансовых ресурсов из-за рубежа в размере </w:t>
      </w:r>
      <w:r>
        <w:rPr>
          <w:rFonts w:ascii="Times New Roman" w:hAnsi="Times New Roman" w:cs="Times New Roman"/>
          <w:sz w:val="24"/>
          <w:szCs w:val="24"/>
        </w:rPr>
        <w:br/>
      </w:r>
      <w:r w:rsidRPr="00C419CD">
        <w:rPr>
          <w:rFonts w:ascii="Times New Roman" w:hAnsi="Times New Roman" w:cs="Times New Roman"/>
          <w:sz w:val="24"/>
          <w:szCs w:val="24"/>
        </w:rPr>
        <w:t xml:space="preserve">40,2 </w:t>
      </w:r>
      <w:r w:rsidR="00243B34" w:rsidRPr="00C419CD">
        <w:rPr>
          <w:rFonts w:ascii="Times New Roman" w:hAnsi="Times New Roman" w:cs="Times New Roman"/>
          <w:sz w:val="24"/>
          <w:szCs w:val="24"/>
        </w:rPr>
        <w:t>млн долл.</w:t>
      </w:r>
      <w:r w:rsidR="00145673">
        <w:rPr>
          <w:rFonts w:ascii="Times New Roman" w:hAnsi="Times New Roman" w:cs="Times New Roman"/>
          <w:sz w:val="24"/>
          <w:szCs w:val="24"/>
        </w:rPr>
        <w:t xml:space="preserve"> (37,</w:t>
      </w:r>
      <w:r w:rsidR="00EC0274">
        <w:rPr>
          <w:rFonts w:ascii="Times New Roman" w:hAnsi="Times New Roman" w:cs="Times New Roman"/>
          <w:sz w:val="24"/>
          <w:szCs w:val="24"/>
        </w:rPr>
        <w:t>2</w:t>
      </w:r>
      <w:r w:rsidR="00145673">
        <w:rPr>
          <w:rFonts w:ascii="Times New Roman" w:hAnsi="Times New Roman" w:cs="Times New Roman"/>
          <w:sz w:val="24"/>
          <w:szCs w:val="24"/>
        </w:rPr>
        <w:t xml:space="preserve"> млн долл. в 2019 году).</w:t>
      </w:r>
      <w:r>
        <w:rPr>
          <w:rFonts w:ascii="Times New Roman" w:hAnsi="Times New Roman" w:cs="Times New Roman"/>
          <w:sz w:val="24"/>
          <w:szCs w:val="24"/>
        </w:rPr>
        <w:t xml:space="preserve"> </w:t>
      </w:r>
      <w:r w:rsidR="001360C0" w:rsidRPr="008418A7">
        <w:rPr>
          <w:rFonts w:ascii="Times New Roman" w:hAnsi="Times New Roman" w:cs="Times New Roman"/>
          <w:sz w:val="24"/>
          <w:szCs w:val="24"/>
        </w:rPr>
        <w:t xml:space="preserve">Это стало итогом </w:t>
      </w:r>
      <w:r w:rsidR="00F63791" w:rsidRPr="008418A7">
        <w:rPr>
          <w:rFonts w:ascii="Times New Roman" w:hAnsi="Times New Roman" w:cs="Times New Roman"/>
          <w:sz w:val="24"/>
          <w:szCs w:val="24"/>
        </w:rPr>
        <w:t xml:space="preserve">сокращения </w:t>
      </w:r>
      <w:r w:rsidR="001360C0" w:rsidRPr="008418A7">
        <w:rPr>
          <w:rFonts w:ascii="Times New Roman" w:hAnsi="Times New Roman" w:cs="Times New Roman"/>
          <w:sz w:val="24"/>
          <w:szCs w:val="24"/>
        </w:rPr>
        <w:t xml:space="preserve">внешних </w:t>
      </w:r>
      <w:r w:rsidR="00F63791" w:rsidRPr="008418A7">
        <w:rPr>
          <w:rFonts w:ascii="Times New Roman" w:hAnsi="Times New Roman" w:cs="Times New Roman"/>
          <w:sz w:val="24"/>
          <w:szCs w:val="24"/>
        </w:rPr>
        <w:t xml:space="preserve">иностранных активов резидентов на </w:t>
      </w:r>
      <w:r w:rsidRPr="008418A7">
        <w:rPr>
          <w:rFonts w:ascii="Times New Roman" w:hAnsi="Times New Roman" w:cs="Times New Roman"/>
          <w:sz w:val="24"/>
          <w:szCs w:val="24"/>
        </w:rPr>
        <w:t>5,5</w:t>
      </w:r>
      <w:r w:rsidR="00F63791" w:rsidRPr="008418A7">
        <w:rPr>
          <w:rFonts w:ascii="Times New Roman" w:hAnsi="Times New Roman" w:cs="Times New Roman"/>
          <w:sz w:val="24"/>
          <w:szCs w:val="24"/>
        </w:rPr>
        <w:t xml:space="preserve"> млн долл. </w:t>
      </w:r>
      <w:r w:rsidRPr="008418A7">
        <w:rPr>
          <w:rFonts w:ascii="Times New Roman" w:hAnsi="Times New Roman" w:cs="Times New Roman"/>
          <w:sz w:val="24"/>
          <w:szCs w:val="24"/>
        </w:rPr>
        <w:t>на фоне роста</w:t>
      </w:r>
      <w:r w:rsidR="00F63791" w:rsidRPr="008418A7">
        <w:rPr>
          <w:rFonts w:ascii="Times New Roman" w:hAnsi="Times New Roman" w:cs="Times New Roman"/>
          <w:sz w:val="24"/>
          <w:szCs w:val="24"/>
        </w:rPr>
        <w:t xml:space="preserve"> обязательств </w:t>
      </w:r>
      <w:r w:rsidR="001360C0" w:rsidRPr="008418A7">
        <w:rPr>
          <w:rFonts w:ascii="Times New Roman" w:hAnsi="Times New Roman" w:cs="Times New Roman"/>
          <w:sz w:val="24"/>
          <w:szCs w:val="24"/>
        </w:rPr>
        <w:t>перед нерезидентами</w:t>
      </w:r>
      <w:r w:rsidR="00A71137">
        <w:rPr>
          <w:rFonts w:ascii="Times New Roman" w:hAnsi="Times New Roman" w:cs="Times New Roman"/>
          <w:sz w:val="24"/>
          <w:szCs w:val="24"/>
        </w:rPr>
        <w:t xml:space="preserve"> </w:t>
      </w:r>
      <w:r w:rsidR="001360C0" w:rsidRPr="008418A7">
        <w:rPr>
          <w:rFonts w:ascii="Times New Roman" w:hAnsi="Times New Roman" w:cs="Times New Roman"/>
          <w:sz w:val="24"/>
          <w:szCs w:val="24"/>
        </w:rPr>
        <w:t xml:space="preserve">на </w:t>
      </w:r>
      <w:r w:rsidR="008418A7" w:rsidRPr="008418A7">
        <w:rPr>
          <w:rFonts w:ascii="Times New Roman" w:hAnsi="Times New Roman" w:cs="Times New Roman"/>
          <w:sz w:val="24"/>
          <w:szCs w:val="24"/>
        </w:rPr>
        <w:t>34,7</w:t>
      </w:r>
      <w:r w:rsidR="00F63791" w:rsidRPr="008418A7">
        <w:rPr>
          <w:rFonts w:ascii="Times New Roman" w:hAnsi="Times New Roman" w:cs="Times New Roman"/>
          <w:sz w:val="24"/>
          <w:szCs w:val="24"/>
        </w:rPr>
        <w:t xml:space="preserve"> млн долл.</w:t>
      </w:r>
    </w:p>
    <w:p w14:paraId="12F79DBE" w14:textId="1594E22F" w:rsidR="00033332" w:rsidRPr="008418A7" w:rsidRDefault="001360C0" w:rsidP="008A651D">
      <w:pPr>
        <w:widowControl w:val="0"/>
        <w:autoSpaceDE w:val="0"/>
        <w:autoSpaceDN w:val="0"/>
        <w:adjustRightInd w:val="0"/>
        <w:spacing w:before="0" w:after="0" w:line="240" w:lineRule="auto"/>
        <w:ind w:firstLine="425"/>
        <w:jc w:val="both"/>
        <w:rPr>
          <w:rFonts w:ascii="Times New Roman" w:hAnsi="Times New Roman" w:cs="Times New Roman"/>
          <w:sz w:val="24"/>
          <w:szCs w:val="24"/>
        </w:rPr>
      </w:pPr>
      <w:r w:rsidRPr="008418A7">
        <w:rPr>
          <w:rFonts w:ascii="Times New Roman" w:hAnsi="Times New Roman" w:cs="Times New Roman"/>
          <w:sz w:val="24"/>
          <w:szCs w:val="24"/>
        </w:rPr>
        <w:t xml:space="preserve">Валютные активы центрального банка в виде наличных средств в кассе и безналичных средств на счетах (расчётных и депозитных) в зарубежных кредитных организациях за </w:t>
      </w:r>
      <w:r w:rsidR="00A82ED7" w:rsidRPr="008418A7">
        <w:rPr>
          <w:rFonts w:ascii="Times New Roman" w:hAnsi="Times New Roman" w:cs="Times New Roman"/>
          <w:sz w:val="24"/>
          <w:szCs w:val="24"/>
        </w:rPr>
        <w:br/>
      </w:r>
      <w:r w:rsidRPr="008418A7">
        <w:rPr>
          <w:rFonts w:ascii="Times New Roman" w:hAnsi="Times New Roman" w:cs="Times New Roman"/>
          <w:sz w:val="24"/>
          <w:szCs w:val="24"/>
        </w:rPr>
        <w:t>20</w:t>
      </w:r>
      <w:r w:rsidR="008418A7" w:rsidRPr="008418A7">
        <w:rPr>
          <w:rFonts w:ascii="Times New Roman" w:hAnsi="Times New Roman" w:cs="Times New Roman"/>
          <w:sz w:val="24"/>
          <w:szCs w:val="24"/>
        </w:rPr>
        <w:t>20</w:t>
      </w:r>
      <w:r w:rsidRPr="008418A7">
        <w:rPr>
          <w:rFonts w:ascii="Times New Roman" w:hAnsi="Times New Roman" w:cs="Times New Roman"/>
          <w:sz w:val="24"/>
          <w:szCs w:val="24"/>
        </w:rPr>
        <w:t xml:space="preserve"> год </w:t>
      </w:r>
      <w:r w:rsidR="008418A7" w:rsidRPr="008418A7">
        <w:rPr>
          <w:rFonts w:ascii="Times New Roman" w:hAnsi="Times New Roman" w:cs="Times New Roman"/>
          <w:sz w:val="24"/>
          <w:szCs w:val="24"/>
        </w:rPr>
        <w:t>сократились</w:t>
      </w:r>
      <w:r w:rsidRPr="008418A7">
        <w:rPr>
          <w:rFonts w:ascii="Times New Roman" w:hAnsi="Times New Roman" w:cs="Times New Roman"/>
          <w:sz w:val="24"/>
          <w:szCs w:val="24"/>
        </w:rPr>
        <w:t xml:space="preserve"> на </w:t>
      </w:r>
      <w:r w:rsidR="008418A7" w:rsidRPr="008418A7">
        <w:rPr>
          <w:rFonts w:ascii="Times New Roman" w:hAnsi="Times New Roman" w:cs="Times New Roman"/>
          <w:sz w:val="24"/>
          <w:szCs w:val="24"/>
        </w:rPr>
        <w:t>3,2</w:t>
      </w:r>
      <w:r w:rsidRPr="008418A7">
        <w:rPr>
          <w:rFonts w:ascii="Times New Roman" w:hAnsi="Times New Roman" w:cs="Times New Roman"/>
          <w:sz w:val="24"/>
          <w:szCs w:val="24"/>
        </w:rPr>
        <w:t xml:space="preserve"> млн долл.</w:t>
      </w:r>
    </w:p>
    <w:p w14:paraId="6A5AF368" w14:textId="591DA026" w:rsidR="00ED41EE" w:rsidRDefault="00ED41EE" w:rsidP="008A651D">
      <w:pPr>
        <w:widowControl w:val="0"/>
        <w:autoSpaceDE w:val="0"/>
        <w:autoSpaceDN w:val="0"/>
        <w:adjustRightInd w:val="0"/>
        <w:spacing w:before="0" w:after="0" w:line="240" w:lineRule="auto"/>
        <w:ind w:firstLine="425"/>
        <w:jc w:val="both"/>
        <w:rPr>
          <w:rFonts w:ascii="Times New Roman" w:hAnsi="Times New Roman" w:cs="Times New Roman"/>
          <w:sz w:val="24"/>
          <w:szCs w:val="24"/>
        </w:rPr>
      </w:pPr>
    </w:p>
    <w:p w14:paraId="21891A83" w14:textId="574753EE" w:rsidR="00E72185" w:rsidRPr="00A344C8" w:rsidRDefault="00E72185" w:rsidP="00822F2A">
      <w:pPr>
        <w:pStyle w:val="1"/>
        <w:widowControl w:val="0"/>
        <w:numPr>
          <w:ilvl w:val="1"/>
          <w:numId w:val="1"/>
        </w:numPr>
        <w:jc w:val="center"/>
        <w:rPr>
          <w:b/>
          <w:bCs/>
          <w:noProof/>
          <w:sz w:val="24"/>
          <w:szCs w:val="24"/>
        </w:rPr>
      </w:pPr>
      <w:r w:rsidRPr="004D7D79">
        <w:rPr>
          <w:b/>
          <w:bCs/>
          <w:noProof/>
          <w:sz w:val="24"/>
          <w:szCs w:val="24"/>
        </w:rPr>
        <w:t>ГОСУДАРСТВЕННЫЕ ФИНАНСЫ</w:t>
      </w:r>
    </w:p>
    <w:p w14:paraId="23CADD2C" w14:textId="77777777" w:rsidR="00A344C8" w:rsidRPr="005A2B90" w:rsidRDefault="00A344C8" w:rsidP="008A651D">
      <w:pPr>
        <w:spacing w:before="0" w:after="0" w:line="240" w:lineRule="auto"/>
        <w:ind w:firstLine="425"/>
        <w:jc w:val="both"/>
        <w:rPr>
          <w:rFonts w:ascii="Times New Roman" w:hAnsi="Times New Roman" w:cs="Times New Roman"/>
          <w:sz w:val="16"/>
          <w:szCs w:val="16"/>
        </w:rPr>
      </w:pPr>
    </w:p>
    <w:p w14:paraId="0B0721AC" w14:textId="240E4129" w:rsidR="00622FEE" w:rsidRPr="00622FEE" w:rsidRDefault="004C2121" w:rsidP="00622FEE">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Неблагоприятная экономическая ситуация,</w:t>
      </w:r>
      <w:r w:rsidR="00622FEE" w:rsidRPr="00622FEE">
        <w:rPr>
          <w:rFonts w:ascii="Times New Roman" w:hAnsi="Times New Roman" w:cs="Times New Roman"/>
          <w:sz w:val="24"/>
          <w:szCs w:val="24"/>
        </w:rPr>
        <w:t xml:space="preserve"> </w:t>
      </w:r>
      <w:r w:rsidRPr="00622FEE">
        <w:rPr>
          <w:rFonts w:ascii="Times New Roman" w:hAnsi="Times New Roman" w:cs="Times New Roman"/>
          <w:sz w:val="24"/>
          <w:szCs w:val="24"/>
        </w:rPr>
        <w:t>а также налоговые преференции, предоставленные в рамках государственно</w:t>
      </w:r>
      <w:r>
        <w:rPr>
          <w:rFonts w:ascii="Times New Roman" w:hAnsi="Times New Roman" w:cs="Times New Roman"/>
          <w:sz w:val="24"/>
          <w:szCs w:val="24"/>
        </w:rPr>
        <w:t xml:space="preserve">й поддержки в период действия чрезвычайного </w:t>
      </w:r>
      <w:r>
        <w:rPr>
          <w:rFonts w:ascii="Times New Roman" w:hAnsi="Times New Roman" w:cs="Times New Roman"/>
          <w:sz w:val="24"/>
          <w:szCs w:val="24"/>
        </w:rPr>
        <w:lastRenderedPageBreak/>
        <w:t>положения,</w:t>
      </w:r>
      <w:r w:rsidRPr="00622FEE">
        <w:rPr>
          <w:rFonts w:ascii="Times New Roman" w:hAnsi="Times New Roman" w:cs="Times New Roman"/>
          <w:sz w:val="24"/>
          <w:szCs w:val="24"/>
        </w:rPr>
        <w:t xml:space="preserve"> </w:t>
      </w:r>
      <w:r w:rsidR="00622FEE" w:rsidRPr="00622FEE">
        <w:rPr>
          <w:rFonts w:ascii="Times New Roman" w:hAnsi="Times New Roman" w:cs="Times New Roman"/>
          <w:sz w:val="24"/>
          <w:szCs w:val="24"/>
        </w:rPr>
        <w:t>обусловил</w:t>
      </w:r>
      <w:r>
        <w:rPr>
          <w:rFonts w:ascii="Times New Roman" w:hAnsi="Times New Roman" w:cs="Times New Roman"/>
          <w:sz w:val="24"/>
          <w:szCs w:val="24"/>
        </w:rPr>
        <w:t>и</w:t>
      </w:r>
      <w:r w:rsidR="00622FEE" w:rsidRPr="00622FEE">
        <w:rPr>
          <w:rFonts w:ascii="Times New Roman" w:hAnsi="Times New Roman" w:cs="Times New Roman"/>
          <w:sz w:val="24"/>
          <w:szCs w:val="24"/>
        </w:rPr>
        <w:t xml:space="preserve"> снижение доходов консолидированного бюджета </w:t>
      </w:r>
      <w:r w:rsidR="00826C7A">
        <w:rPr>
          <w:rFonts w:ascii="Times New Roman" w:hAnsi="Times New Roman" w:cs="Times New Roman"/>
          <w:sz w:val="24"/>
          <w:szCs w:val="24"/>
        </w:rPr>
        <w:t>Приднестровской Молдавской Республики</w:t>
      </w:r>
      <w:r w:rsidR="00826C7A" w:rsidRPr="00622FEE">
        <w:rPr>
          <w:rFonts w:ascii="Times New Roman" w:hAnsi="Times New Roman" w:cs="Times New Roman"/>
          <w:sz w:val="24"/>
          <w:szCs w:val="24"/>
        </w:rPr>
        <w:t xml:space="preserve"> </w:t>
      </w:r>
      <w:r w:rsidR="00622FEE" w:rsidRPr="00622FEE">
        <w:rPr>
          <w:rFonts w:ascii="Times New Roman" w:hAnsi="Times New Roman" w:cs="Times New Roman"/>
          <w:sz w:val="24"/>
          <w:szCs w:val="24"/>
        </w:rPr>
        <w:t xml:space="preserve">по итогам 9 месяцев 2020 года на 5,0%, до 2 091,8 млн руб. При этом доходы на первом уровне бюджетной системы сократились на 4,2%, до 1 370,8 млн руб., доходы местных бюджетов – на 6,3%, до 721,0 млн руб. </w:t>
      </w:r>
    </w:p>
    <w:p w14:paraId="5A92B9A1" w14:textId="77777777" w:rsidR="00EF13D3" w:rsidRDefault="00EF13D3" w:rsidP="00EF13D3">
      <w:pPr>
        <w:spacing w:before="0" w:after="0" w:line="240" w:lineRule="auto"/>
        <w:ind w:firstLine="425"/>
        <w:jc w:val="both"/>
        <w:rPr>
          <w:rFonts w:ascii="Times New Roman" w:hAnsi="Times New Roman" w:cs="Times New Roman"/>
          <w:sz w:val="24"/>
          <w:szCs w:val="24"/>
        </w:rPr>
      </w:pPr>
      <w:r w:rsidRPr="00622FEE">
        <w:rPr>
          <w:rFonts w:ascii="Times New Roman" w:hAnsi="Times New Roman" w:cs="Times New Roman"/>
          <w:sz w:val="24"/>
          <w:szCs w:val="24"/>
        </w:rPr>
        <w:t xml:space="preserve">Отставание от базисных значений было характерно для большинства укрупнённых статей доходов, за исключением безвозмездных перечислений и доходов целевых бюджетных фондов. Уменьшение налоговых доходов на 9,4%, </w:t>
      </w:r>
      <w:r w:rsidRPr="00493AC0">
        <w:rPr>
          <w:rFonts w:ascii="Times New Roman" w:hAnsi="Times New Roman" w:cs="Times New Roman"/>
          <w:sz w:val="24"/>
          <w:szCs w:val="24"/>
        </w:rPr>
        <w:t>или на 140,5 млн руб., произошло на фоне увеличения доли отщепления таможенной пошлины в целевые бюджетные фонды, снижения фискальных платежей с доходов физических и юридических лиц (на 2,6%, до 935,4 млн руб.), уменьшения поступления акцизных сборов (на 17,4%, до 174,8 млн руб.), налогов на внешнюю торговлю и внешние операции (на 48,4%, до 56,8 млн руб.).</w:t>
      </w:r>
      <w:r w:rsidRPr="00622FEE">
        <w:rPr>
          <w:rFonts w:ascii="Times New Roman" w:hAnsi="Times New Roman" w:cs="Times New Roman"/>
          <w:sz w:val="24"/>
          <w:szCs w:val="24"/>
        </w:rPr>
        <w:t xml:space="preserve"> </w:t>
      </w:r>
    </w:p>
    <w:p w14:paraId="55A6C5A2" w14:textId="21EF1147" w:rsidR="00622FEE" w:rsidRPr="00622FEE" w:rsidRDefault="00622FEE" w:rsidP="00F27B97">
      <w:pPr>
        <w:autoSpaceDE w:val="0"/>
        <w:autoSpaceDN w:val="0"/>
        <w:adjustRightInd w:val="0"/>
        <w:spacing w:before="0" w:after="0" w:line="240" w:lineRule="auto"/>
        <w:ind w:firstLine="426"/>
        <w:jc w:val="both"/>
        <w:rPr>
          <w:rFonts w:ascii="Times New Roman" w:hAnsi="Times New Roman" w:cs="Times New Roman"/>
          <w:sz w:val="24"/>
          <w:szCs w:val="24"/>
        </w:rPr>
      </w:pPr>
      <w:r w:rsidRPr="00622FEE">
        <w:rPr>
          <w:rFonts w:ascii="Times New Roman" w:hAnsi="Times New Roman" w:cs="Times New Roman"/>
          <w:sz w:val="24"/>
          <w:szCs w:val="24"/>
        </w:rPr>
        <w:t xml:space="preserve">Величина неналоговых доходов республиканского и местных бюджетов по итогам отчётного периода сократилась на 23,0%, до 72,9 млн руб. При этом 46,4% совокупного показателя сформировали отчисления с доходов от имущества, находящегося в государственной и муниципальной собственности, размер которых уменьшился на 14,7%, до 33,8 млн руб. </w:t>
      </w:r>
    </w:p>
    <w:p w14:paraId="79F8B43C" w14:textId="429ACE7A" w:rsidR="00622FEE" w:rsidRPr="00622FEE" w:rsidRDefault="00622FEE" w:rsidP="00622FEE">
      <w:pPr>
        <w:widowControl w:val="0"/>
        <w:spacing w:before="0" w:after="0" w:line="240" w:lineRule="auto"/>
        <w:ind w:firstLine="425"/>
        <w:jc w:val="both"/>
        <w:rPr>
          <w:rFonts w:ascii="Times New Roman" w:hAnsi="Times New Roman" w:cs="Times New Roman"/>
          <w:sz w:val="24"/>
          <w:szCs w:val="24"/>
        </w:rPr>
      </w:pPr>
      <w:r w:rsidRPr="00622FEE">
        <w:rPr>
          <w:rFonts w:ascii="Times New Roman" w:hAnsi="Times New Roman" w:cs="Times New Roman"/>
          <w:sz w:val="24"/>
          <w:szCs w:val="24"/>
        </w:rPr>
        <w:t>Безвозмездные перечисления пополнили республиканский бюджет на 35,7 млн руб., что в 3,5 раза больше значения в январе-сентябре 2019 года. В основном это было обусловлено поступлением безвозмездной помощи в размере 20,</w:t>
      </w:r>
      <w:r w:rsidR="008D513F">
        <w:rPr>
          <w:rFonts w:ascii="Times New Roman" w:hAnsi="Times New Roman" w:cs="Times New Roman"/>
          <w:sz w:val="24"/>
          <w:szCs w:val="24"/>
        </w:rPr>
        <w:t>5</w:t>
      </w:r>
      <w:r w:rsidRPr="00622FEE">
        <w:rPr>
          <w:rFonts w:ascii="Times New Roman" w:hAnsi="Times New Roman" w:cs="Times New Roman"/>
          <w:sz w:val="24"/>
          <w:szCs w:val="24"/>
        </w:rPr>
        <w:t xml:space="preserve"> млн руб. на цели, связанные с реализацией мероприятий по предотвращению угрозы распространения на территории республики коронавирусной инфекции.</w:t>
      </w:r>
    </w:p>
    <w:p w14:paraId="55276093" w14:textId="184EEA85" w:rsidR="00622FEE" w:rsidRPr="00622FEE" w:rsidRDefault="00622FEE" w:rsidP="00622FEE">
      <w:pPr>
        <w:widowControl w:val="0"/>
        <w:spacing w:before="0" w:after="0" w:line="240" w:lineRule="auto"/>
        <w:ind w:firstLine="425"/>
        <w:jc w:val="both"/>
        <w:rPr>
          <w:rFonts w:ascii="Times New Roman" w:hAnsi="Times New Roman" w:cs="Times New Roman"/>
          <w:sz w:val="24"/>
          <w:szCs w:val="24"/>
        </w:rPr>
      </w:pPr>
      <w:r w:rsidRPr="00622FEE">
        <w:rPr>
          <w:rFonts w:ascii="Times New Roman" w:hAnsi="Times New Roman" w:cs="Times New Roman"/>
          <w:sz w:val="24"/>
          <w:szCs w:val="24"/>
        </w:rPr>
        <w:t xml:space="preserve">Доходы целевых бюджетных фондов (с учётом увеличения доли перераспределения таможенной пошлины в Фонд капитальных вложений, создания нового Фонда поддержки молодёжи и аккумулирования средств </w:t>
      </w:r>
      <w:r w:rsidRPr="00756D07">
        <w:rPr>
          <w:rFonts w:ascii="Times New Roman" w:hAnsi="Times New Roman" w:cs="Times New Roman"/>
          <w:sz w:val="24"/>
          <w:szCs w:val="24"/>
        </w:rPr>
        <w:t xml:space="preserve">в </w:t>
      </w:r>
      <w:r w:rsidR="00756D07" w:rsidRPr="00756D07">
        <w:rPr>
          <w:rFonts w:ascii="Times New Roman" w:hAnsi="Times New Roman" w:cs="Times New Roman"/>
          <w:sz w:val="24"/>
          <w:szCs w:val="24"/>
        </w:rPr>
        <w:t>Ф</w:t>
      </w:r>
      <w:r w:rsidRPr="00756D07">
        <w:rPr>
          <w:rFonts w:ascii="Times New Roman" w:hAnsi="Times New Roman" w:cs="Times New Roman"/>
          <w:sz w:val="24"/>
          <w:szCs w:val="24"/>
        </w:rPr>
        <w:t>онде</w:t>
      </w:r>
      <w:r w:rsidR="00756D07" w:rsidRPr="00756D07">
        <w:rPr>
          <w:rFonts w:ascii="Times New Roman" w:hAnsi="Times New Roman" w:cs="Times New Roman"/>
          <w:sz w:val="24"/>
          <w:szCs w:val="24"/>
        </w:rPr>
        <w:t xml:space="preserve"> государственного</w:t>
      </w:r>
      <w:r w:rsidR="00756D07">
        <w:rPr>
          <w:rFonts w:ascii="Times New Roman" w:hAnsi="Times New Roman" w:cs="Times New Roman"/>
          <w:sz w:val="24"/>
          <w:szCs w:val="24"/>
        </w:rPr>
        <w:t xml:space="preserve"> резерва</w:t>
      </w:r>
      <w:r w:rsidRPr="00622FEE">
        <w:rPr>
          <w:rFonts w:ascii="Times New Roman" w:hAnsi="Times New Roman" w:cs="Times New Roman"/>
          <w:sz w:val="24"/>
          <w:szCs w:val="24"/>
        </w:rPr>
        <w:t>) в отчётном периоде возро</w:t>
      </w:r>
      <w:r w:rsidR="008D513F">
        <w:rPr>
          <w:rFonts w:ascii="Times New Roman" w:hAnsi="Times New Roman" w:cs="Times New Roman"/>
          <w:sz w:val="24"/>
          <w:szCs w:val="24"/>
        </w:rPr>
        <w:t>сли на 10,5%, до 478,4 млн руб</w:t>
      </w:r>
      <w:r w:rsidRPr="00622FEE">
        <w:rPr>
          <w:rFonts w:ascii="Times New Roman" w:hAnsi="Times New Roman" w:cs="Times New Roman"/>
          <w:sz w:val="24"/>
          <w:szCs w:val="24"/>
        </w:rPr>
        <w:t xml:space="preserve">. </w:t>
      </w:r>
    </w:p>
    <w:p w14:paraId="62B0CE21" w14:textId="26CE6A97" w:rsidR="00622FEE" w:rsidRPr="00622FEE" w:rsidRDefault="000B4A6A" w:rsidP="00622FEE">
      <w:pPr>
        <w:widowControl w:val="0"/>
        <w:spacing w:before="0" w:after="0" w:line="240" w:lineRule="auto"/>
        <w:ind w:firstLine="425"/>
        <w:jc w:val="both"/>
        <w:rPr>
          <w:rFonts w:ascii="Times New Roman" w:hAnsi="Times New Roman" w:cs="Times New Roman"/>
          <w:iCs/>
          <w:sz w:val="24"/>
          <w:szCs w:val="24"/>
        </w:rPr>
      </w:pPr>
      <w:r w:rsidRPr="00622FEE">
        <w:rPr>
          <w:rFonts w:ascii="Times New Roman" w:hAnsi="Times New Roman" w:cs="Times New Roman"/>
          <w:iCs/>
          <w:sz w:val="24"/>
          <w:szCs w:val="24"/>
        </w:rPr>
        <w:t xml:space="preserve">Расходная </w:t>
      </w:r>
      <w:r w:rsidR="00622FEE" w:rsidRPr="00622FEE">
        <w:rPr>
          <w:rFonts w:ascii="Times New Roman" w:hAnsi="Times New Roman" w:cs="Times New Roman"/>
          <w:iCs/>
          <w:sz w:val="24"/>
          <w:szCs w:val="24"/>
        </w:rPr>
        <w:t>часть консолидированного бюджета увеличилась на 5,6%, до 3 515,7 млн руб</w:t>
      </w:r>
      <w:r w:rsidR="00622FEE" w:rsidRPr="00622FEE">
        <w:rPr>
          <w:rFonts w:ascii="Times New Roman" w:hAnsi="Times New Roman" w:cs="Times New Roman"/>
          <w:sz w:val="24"/>
          <w:szCs w:val="24"/>
        </w:rPr>
        <w:t>. Генератором роста выступили республиканские расходы, возросшие на 10,5%, до</w:t>
      </w:r>
      <w:r w:rsidR="00622FEE" w:rsidRPr="00622FEE">
        <w:rPr>
          <w:rFonts w:ascii="Times New Roman" w:hAnsi="Times New Roman" w:cs="Times New Roman"/>
          <w:iCs/>
          <w:sz w:val="24"/>
          <w:szCs w:val="24"/>
        </w:rPr>
        <w:t xml:space="preserve"> </w:t>
      </w:r>
      <w:r w:rsidR="005F6335">
        <w:rPr>
          <w:rFonts w:ascii="Times New Roman" w:hAnsi="Times New Roman" w:cs="Times New Roman"/>
          <w:iCs/>
          <w:sz w:val="24"/>
          <w:szCs w:val="24"/>
        </w:rPr>
        <w:br/>
      </w:r>
      <w:r w:rsidR="00622FEE" w:rsidRPr="00622FEE">
        <w:rPr>
          <w:rFonts w:ascii="Times New Roman" w:hAnsi="Times New Roman" w:cs="Times New Roman"/>
          <w:iCs/>
          <w:sz w:val="24"/>
          <w:szCs w:val="24"/>
        </w:rPr>
        <w:t>2 580,2 млн руб.</w:t>
      </w:r>
      <w:r w:rsidR="00622FEE" w:rsidRPr="00622FEE">
        <w:rPr>
          <w:rFonts w:ascii="Times New Roman" w:hAnsi="Times New Roman" w:cs="Times New Roman"/>
          <w:sz w:val="24"/>
          <w:szCs w:val="24"/>
        </w:rPr>
        <w:t xml:space="preserve"> Традиционно на их долю пришлась бо́льшая часть (73,4%) государственных расходов. </w:t>
      </w:r>
      <w:r w:rsidR="00622FEE" w:rsidRPr="00622FEE">
        <w:rPr>
          <w:rFonts w:ascii="Times New Roman" w:hAnsi="Times New Roman" w:cs="Times New Roman"/>
          <w:iCs/>
          <w:sz w:val="24"/>
          <w:szCs w:val="24"/>
        </w:rPr>
        <w:t>В процессе исполнения республиканского бюджета одной из ключевых задач являлось своевременное финансирование комплекса мероприятий, связанн</w:t>
      </w:r>
      <w:r w:rsidR="00996687">
        <w:rPr>
          <w:rFonts w:ascii="Times New Roman" w:hAnsi="Times New Roman" w:cs="Times New Roman"/>
          <w:iCs/>
          <w:sz w:val="24"/>
          <w:szCs w:val="24"/>
        </w:rPr>
        <w:t>ых</w:t>
      </w:r>
      <w:r w:rsidR="00622FEE" w:rsidRPr="00622FEE">
        <w:rPr>
          <w:rFonts w:ascii="Times New Roman" w:hAnsi="Times New Roman" w:cs="Times New Roman"/>
          <w:iCs/>
          <w:sz w:val="24"/>
          <w:szCs w:val="24"/>
        </w:rPr>
        <w:t xml:space="preserve"> с введением на территории Приднестровской Молдавской Республики чрезвычайного положения и предотвращением угрозы распространения коронавирусной инфекции, что и повлияло на увеличение объёма расходов в отчётном периоде. Так, за 9 месяцев 2020 года финансирование данных мероприятий за счёт источников, аккумулированных на счетах целевых бюджетных фондов</w:t>
      </w:r>
      <w:r w:rsidR="00F27B97">
        <w:rPr>
          <w:rFonts w:ascii="Times New Roman" w:hAnsi="Times New Roman" w:cs="Times New Roman"/>
          <w:iCs/>
          <w:sz w:val="24"/>
          <w:szCs w:val="24"/>
        </w:rPr>
        <w:t xml:space="preserve"> и перенаправленных с других ранее запланированных статей</w:t>
      </w:r>
      <w:r w:rsidR="00622FEE" w:rsidRPr="00622FEE">
        <w:rPr>
          <w:rFonts w:ascii="Times New Roman" w:hAnsi="Times New Roman" w:cs="Times New Roman"/>
          <w:iCs/>
          <w:sz w:val="24"/>
          <w:szCs w:val="24"/>
        </w:rPr>
        <w:t xml:space="preserve">, </w:t>
      </w:r>
      <w:r w:rsidR="00996687">
        <w:rPr>
          <w:rFonts w:ascii="Times New Roman" w:hAnsi="Times New Roman" w:cs="Times New Roman"/>
          <w:iCs/>
          <w:sz w:val="24"/>
          <w:szCs w:val="24"/>
        </w:rPr>
        <w:t>составило</w:t>
      </w:r>
      <w:r w:rsidR="00622FEE" w:rsidRPr="00622FEE">
        <w:rPr>
          <w:rFonts w:ascii="Times New Roman" w:hAnsi="Times New Roman" w:cs="Times New Roman"/>
          <w:iCs/>
          <w:sz w:val="24"/>
          <w:szCs w:val="24"/>
        </w:rPr>
        <w:t xml:space="preserve"> 119,5 млн руб. </w:t>
      </w:r>
      <w:r w:rsidR="00622FEE" w:rsidRPr="00622FEE">
        <w:rPr>
          <w:rFonts w:ascii="Times New Roman" w:hAnsi="Times New Roman" w:cs="Times New Roman"/>
          <w:sz w:val="24"/>
          <w:szCs w:val="24"/>
        </w:rPr>
        <w:t>Наибольшая доля расходов пришлась на доплаты работникам организаций здравоохранения, задействованных в борьбе с коронавирусной инфекцией, – 39,8 млн руб. На приобретение реактивов и материалов для лаборатории по проведению исследований на предмет выявления коронавирусной инфекции COVID-19 было выделено 9,0 млн руб., на закупку средств индивидуальной защиты – 8,0 млн руб., на оплату услуг по выполнению диагностических исследований по выявлению коронавирусной инфекции</w:t>
      </w:r>
      <w:r>
        <w:rPr>
          <w:rFonts w:ascii="Times New Roman" w:hAnsi="Times New Roman" w:cs="Times New Roman"/>
          <w:sz w:val="24"/>
          <w:szCs w:val="24"/>
        </w:rPr>
        <w:t xml:space="preserve"> </w:t>
      </w:r>
      <w:r w:rsidR="00622FEE" w:rsidRPr="00622FEE">
        <w:rPr>
          <w:rFonts w:ascii="Times New Roman" w:hAnsi="Times New Roman" w:cs="Times New Roman"/>
          <w:sz w:val="24"/>
          <w:szCs w:val="24"/>
        </w:rPr>
        <w:t>– 5,8 млн руб. Индивидуальные предприниматели, пострадавшие в связи с приостановкой работы во время действия режима ЧП на территории республики, получили помощь в размере</w:t>
      </w:r>
      <w:r w:rsidR="00996687">
        <w:rPr>
          <w:rFonts w:ascii="Times New Roman" w:hAnsi="Times New Roman" w:cs="Times New Roman"/>
          <w:sz w:val="24"/>
          <w:szCs w:val="24"/>
        </w:rPr>
        <w:t xml:space="preserve"> </w:t>
      </w:r>
      <w:r w:rsidR="00622FEE" w:rsidRPr="00622FEE">
        <w:rPr>
          <w:rFonts w:ascii="Times New Roman" w:hAnsi="Times New Roman" w:cs="Times New Roman"/>
          <w:sz w:val="24"/>
          <w:szCs w:val="24"/>
        </w:rPr>
        <w:t>20,3 млн руб.</w:t>
      </w:r>
    </w:p>
    <w:p w14:paraId="33E0A2F4" w14:textId="26F1F1BF" w:rsidR="00622FEE" w:rsidRPr="00622FEE" w:rsidRDefault="00622FEE" w:rsidP="00622FEE">
      <w:pPr>
        <w:widowControl w:val="0"/>
        <w:spacing w:before="0" w:after="0" w:line="240" w:lineRule="auto"/>
        <w:ind w:firstLine="425"/>
        <w:jc w:val="both"/>
        <w:rPr>
          <w:rFonts w:ascii="Times New Roman" w:hAnsi="Times New Roman" w:cs="Times New Roman"/>
          <w:sz w:val="24"/>
          <w:szCs w:val="24"/>
        </w:rPr>
      </w:pPr>
      <w:r w:rsidRPr="00622FEE">
        <w:rPr>
          <w:rFonts w:ascii="Times New Roman" w:hAnsi="Times New Roman" w:cs="Times New Roman"/>
          <w:sz w:val="24"/>
          <w:szCs w:val="24"/>
        </w:rPr>
        <w:t xml:space="preserve">Финансирование потребностей городов и районов сократилось на 5,8%, до </w:t>
      </w:r>
      <w:r w:rsidRPr="00622FEE">
        <w:rPr>
          <w:rFonts w:ascii="Times New Roman" w:hAnsi="Times New Roman" w:cs="Times New Roman"/>
          <w:iCs/>
          <w:sz w:val="24"/>
          <w:szCs w:val="24"/>
        </w:rPr>
        <w:t xml:space="preserve">935,5 млн руб. </w:t>
      </w:r>
    </w:p>
    <w:p w14:paraId="4BD831BF" w14:textId="77777777" w:rsidR="00622FEE" w:rsidRPr="00622FEE" w:rsidRDefault="00622FEE" w:rsidP="00622FEE">
      <w:pPr>
        <w:widowControl w:val="0"/>
        <w:spacing w:before="0" w:after="0" w:line="240" w:lineRule="auto"/>
        <w:ind w:firstLine="425"/>
        <w:jc w:val="both"/>
        <w:rPr>
          <w:rFonts w:ascii="Times New Roman" w:hAnsi="Times New Roman" w:cs="Times New Roman"/>
          <w:iCs/>
          <w:sz w:val="24"/>
          <w:szCs w:val="24"/>
        </w:rPr>
      </w:pPr>
      <w:r w:rsidRPr="00622FEE">
        <w:rPr>
          <w:rFonts w:ascii="Times New Roman" w:hAnsi="Times New Roman" w:cs="Times New Roman"/>
          <w:sz w:val="24"/>
          <w:szCs w:val="24"/>
        </w:rPr>
        <w:t>При реализации бюджетной политики сохранялся приоритет исполнения социально защищённых статей. Расходы по данному направлению на 3,8% превысили базисные параметры,</w:t>
      </w:r>
      <w:r w:rsidRPr="00622FEE">
        <w:rPr>
          <w:rFonts w:ascii="Times New Roman" w:hAnsi="Times New Roman" w:cs="Times New Roman"/>
          <w:iCs/>
          <w:sz w:val="24"/>
          <w:szCs w:val="24"/>
        </w:rPr>
        <w:t xml:space="preserve"> в целом из средств бюджета на зарплаты, пенсии, пособия и иные выплаты </w:t>
      </w:r>
      <w:r w:rsidRPr="00622FEE">
        <w:rPr>
          <w:rFonts w:ascii="Times New Roman" w:hAnsi="Times New Roman" w:cs="Times New Roman"/>
          <w:sz w:val="24"/>
          <w:szCs w:val="24"/>
        </w:rPr>
        <w:t xml:space="preserve">было </w:t>
      </w:r>
      <w:r w:rsidRPr="00622FEE">
        <w:rPr>
          <w:rFonts w:ascii="Times New Roman" w:hAnsi="Times New Roman" w:cs="Times New Roman"/>
          <w:sz w:val="24"/>
          <w:szCs w:val="24"/>
        </w:rPr>
        <w:lastRenderedPageBreak/>
        <w:t>выделено 2 486,3 млн</w:t>
      </w:r>
      <w:r w:rsidRPr="00622FEE">
        <w:rPr>
          <w:rFonts w:ascii="Times New Roman" w:hAnsi="Times New Roman" w:cs="Times New Roman"/>
          <w:iCs/>
          <w:sz w:val="24"/>
          <w:szCs w:val="24"/>
        </w:rPr>
        <w:t xml:space="preserve"> руб.</w:t>
      </w:r>
      <w:r w:rsidRPr="00622FEE">
        <w:rPr>
          <w:rFonts w:ascii="Times New Roman" w:hAnsi="Times New Roman" w:cs="Times New Roman"/>
          <w:sz w:val="24"/>
          <w:szCs w:val="24"/>
          <w:vertAlign w:val="superscript"/>
        </w:rPr>
        <w:footnoteReference w:id="13"/>
      </w:r>
    </w:p>
    <w:p w14:paraId="3FF954B0" w14:textId="1E22689E" w:rsidR="00622FEE" w:rsidRPr="00622FEE" w:rsidRDefault="00622FEE" w:rsidP="00622FEE">
      <w:pPr>
        <w:widowControl w:val="0"/>
        <w:spacing w:before="0" w:after="0" w:line="240" w:lineRule="auto"/>
        <w:ind w:firstLine="425"/>
        <w:jc w:val="both"/>
        <w:rPr>
          <w:rFonts w:ascii="Times New Roman" w:hAnsi="Times New Roman" w:cs="Times New Roman"/>
          <w:sz w:val="24"/>
          <w:szCs w:val="24"/>
          <w:highlight w:val="yellow"/>
        </w:rPr>
      </w:pPr>
      <w:r w:rsidRPr="00622FEE">
        <w:rPr>
          <w:rFonts w:ascii="Times New Roman" w:hAnsi="Times New Roman" w:cs="Times New Roman"/>
          <w:sz w:val="24"/>
          <w:szCs w:val="24"/>
        </w:rPr>
        <w:t xml:space="preserve">Финансирование расходов по традиционно самой объёмной группе – «воспроизводство человеческого капитала» (48,3% итогового показателя) – расширилось на 8,3%, до </w:t>
      </w:r>
      <w:r>
        <w:rPr>
          <w:rFonts w:ascii="Times New Roman" w:hAnsi="Times New Roman" w:cs="Times New Roman"/>
          <w:sz w:val="24"/>
          <w:szCs w:val="24"/>
        </w:rPr>
        <w:br/>
      </w:r>
      <w:r w:rsidRPr="00622FEE">
        <w:rPr>
          <w:rFonts w:ascii="Times New Roman" w:hAnsi="Times New Roman" w:cs="Times New Roman"/>
          <w:sz w:val="24"/>
          <w:szCs w:val="24"/>
        </w:rPr>
        <w:t xml:space="preserve">1 699,7 млн руб. На фоне реализации комплекса программ, направленных на борьбу с пандемией, </w:t>
      </w:r>
      <w:r w:rsidR="00F27B97">
        <w:rPr>
          <w:rFonts w:ascii="Times New Roman" w:hAnsi="Times New Roman" w:cs="Times New Roman"/>
          <w:sz w:val="24"/>
          <w:szCs w:val="24"/>
        </w:rPr>
        <w:t>в наибольшей степени возросло финансирование</w:t>
      </w:r>
      <w:r w:rsidRPr="00622FEE">
        <w:rPr>
          <w:rFonts w:ascii="Times New Roman" w:hAnsi="Times New Roman" w:cs="Times New Roman"/>
          <w:sz w:val="24"/>
          <w:szCs w:val="24"/>
        </w:rPr>
        <w:t xml:space="preserve"> здравоохранени</w:t>
      </w:r>
      <w:r w:rsidR="00F27B97">
        <w:rPr>
          <w:rFonts w:ascii="Times New Roman" w:hAnsi="Times New Roman" w:cs="Times New Roman"/>
          <w:sz w:val="24"/>
          <w:szCs w:val="24"/>
        </w:rPr>
        <w:t>я –</w:t>
      </w:r>
      <w:r w:rsidRPr="00622FEE">
        <w:rPr>
          <w:rFonts w:ascii="Times New Roman" w:hAnsi="Times New Roman" w:cs="Times New Roman"/>
          <w:sz w:val="24"/>
          <w:szCs w:val="24"/>
        </w:rPr>
        <w:t xml:space="preserve"> на 35,2%, до 526,0 млн руб. </w:t>
      </w:r>
    </w:p>
    <w:p w14:paraId="799A5843" w14:textId="4B224905" w:rsidR="00622FEE" w:rsidRPr="00622FEE" w:rsidRDefault="00622FEE" w:rsidP="00622FEE">
      <w:pPr>
        <w:tabs>
          <w:tab w:val="left" w:pos="6660"/>
        </w:tabs>
        <w:autoSpaceDE w:val="0"/>
        <w:autoSpaceDN w:val="0"/>
        <w:adjustRightInd w:val="0"/>
        <w:spacing w:before="0" w:after="0" w:line="240" w:lineRule="auto"/>
        <w:ind w:firstLine="425"/>
        <w:jc w:val="both"/>
        <w:rPr>
          <w:rFonts w:ascii="Times New Roman" w:hAnsi="Times New Roman" w:cs="Times New Roman"/>
          <w:sz w:val="24"/>
          <w:szCs w:val="24"/>
        </w:rPr>
      </w:pPr>
      <w:r w:rsidRPr="00622FEE">
        <w:rPr>
          <w:rFonts w:ascii="Times New Roman" w:hAnsi="Times New Roman" w:cs="Times New Roman"/>
          <w:sz w:val="24"/>
          <w:szCs w:val="24"/>
        </w:rPr>
        <w:t>Отчётный период характеризовался ростом финансирования целевых программ в 1,8 раза. Объём государственных расходов по данному направлению составил 25,1 млн руб. (против 13,8 млн руб. в аналогичном периоде 2019 года)</w:t>
      </w:r>
      <w:r w:rsidR="00122C47">
        <w:rPr>
          <w:rFonts w:ascii="Times New Roman" w:hAnsi="Times New Roman" w:cs="Times New Roman"/>
          <w:sz w:val="24"/>
          <w:szCs w:val="24"/>
        </w:rPr>
        <w:t>,</w:t>
      </w:r>
      <w:r w:rsidR="001D61FF">
        <w:rPr>
          <w:rFonts w:ascii="Times New Roman" w:hAnsi="Times New Roman" w:cs="Times New Roman"/>
          <w:sz w:val="24"/>
          <w:szCs w:val="24"/>
        </w:rPr>
        <w:t xml:space="preserve"> финансирование направлялось на</w:t>
      </w:r>
      <w:r w:rsidRPr="00622FEE">
        <w:rPr>
          <w:rFonts w:ascii="Times New Roman" w:hAnsi="Times New Roman" w:cs="Times New Roman"/>
          <w:sz w:val="24"/>
          <w:szCs w:val="24"/>
        </w:rPr>
        <w:t xml:space="preserve"> реализацию программ «Онкология»</w:t>
      </w:r>
      <w:r w:rsidR="00122C47">
        <w:rPr>
          <w:rFonts w:ascii="Times New Roman" w:hAnsi="Times New Roman" w:cs="Times New Roman"/>
          <w:sz w:val="24"/>
          <w:szCs w:val="24"/>
        </w:rPr>
        <w:t>,</w:t>
      </w:r>
      <w:r w:rsidRPr="00622FEE">
        <w:rPr>
          <w:rFonts w:ascii="Times New Roman" w:hAnsi="Times New Roman" w:cs="Times New Roman"/>
          <w:sz w:val="24"/>
          <w:szCs w:val="24"/>
        </w:rPr>
        <w:t xml:space="preserve"> «Иммунизация населения </w:t>
      </w:r>
      <w:r w:rsidR="00826C7A">
        <w:rPr>
          <w:rFonts w:ascii="Times New Roman" w:hAnsi="Times New Roman" w:cs="Times New Roman"/>
          <w:sz w:val="24"/>
          <w:szCs w:val="24"/>
        </w:rPr>
        <w:t>Приднестровской Молдавской Республики</w:t>
      </w:r>
      <w:r w:rsidRPr="00622FEE">
        <w:rPr>
          <w:rFonts w:ascii="Times New Roman" w:hAnsi="Times New Roman" w:cs="Times New Roman"/>
          <w:sz w:val="24"/>
          <w:szCs w:val="24"/>
        </w:rPr>
        <w:t>»</w:t>
      </w:r>
      <w:r w:rsidR="00122C47">
        <w:rPr>
          <w:rFonts w:ascii="Times New Roman" w:hAnsi="Times New Roman" w:cs="Times New Roman"/>
          <w:sz w:val="24"/>
          <w:szCs w:val="24"/>
        </w:rPr>
        <w:t>,</w:t>
      </w:r>
      <w:r w:rsidRPr="00622FEE">
        <w:rPr>
          <w:rFonts w:ascii="Times New Roman" w:hAnsi="Times New Roman" w:cs="Times New Roman"/>
          <w:sz w:val="24"/>
          <w:szCs w:val="24"/>
        </w:rPr>
        <w:t xml:space="preserve"> «Профилактика туберкулёза»</w:t>
      </w:r>
      <w:r w:rsidR="0058089D">
        <w:rPr>
          <w:rFonts w:ascii="Times New Roman" w:hAnsi="Times New Roman" w:cs="Times New Roman"/>
          <w:sz w:val="24"/>
          <w:szCs w:val="24"/>
        </w:rPr>
        <w:t>,</w:t>
      </w:r>
      <w:r w:rsidRPr="00622FEE">
        <w:rPr>
          <w:rFonts w:ascii="Times New Roman" w:hAnsi="Times New Roman" w:cs="Times New Roman"/>
          <w:sz w:val="24"/>
          <w:szCs w:val="24"/>
        </w:rPr>
        <w:t xml:space="preserve"> «ВИЧ-СПИД»</w:t>
      </w:r>
      <w:r w:rsidR="0058089D">
        <w:rPr>
          <w:rFonts w:ascii="Times New Roman" w:hAnsi="Times New Roman" w:cs="Times New Roman"/>
          <w:sz w:val="24"/>
          <w:szCs w:val="24"/>
        </w:rPr>
        <w:t xml:space="preserve">, а также </w:t>
      </w:r>
      <w:r w:rsidRPr="00622FEE">
        <w:rPr>
          <w:rFonts w:ascii="Times New Roman" w:hAnsi="Times New Roman" w:cs="Times New Roman"/>
          <w:sz w:val="24"/>
          <w:szCs w:val="24"/>
        </w:rPr>
        <w:t>по</w:t>
      </w:r>
      <w:r w:rsidR="0058089D">
        <w:rPr>
          <w:rFonts w:ascii="Times New Roman" w:hAnsi="Times New Roman" w:cs="Times New Roman"/>
          <w:sz w:val="24"/>
          <w:szCs w:val="24"/>
        </w:rPr>
        <w:t xml:space="preserve"> обеспечению жильём детей сирот</w:t>
      </w:r>
      <w:r w:rsidRPr="00622FEE">
        <w:rPr>
          <w:rFonts w:ascii="Times New Roman" w:hAnsi="Times New Roman" w:cs="Times New Roman"/>
          <w:sz w:val="24"/>
          <w:szCs w:val="24"/>
        </w:rPr>
        <w:t xml:space="preserve">. </w:t>
      </w:r>
    </w:p>
    <w:p w14:paraId="7300E1CB" w14:textId="77777777" w:rsidR="00622FEE" w:rsidRPr="00622FEE" w:rsidRDefault="00622FEE" w:rsidP="00622FEE">
      <w:pPr>
        <w:autoSpaceDE w:val="0"/>
        <w:autoSpaceDN w:val="0"/>
        <w:adjustRightInd w:val="0"/>
        <w:spacing w:before="0" w:after="0" w:line="240" w:lineRule="auto"/>
        <w:ind w:firstLine="425"/>
        <w:jc w:val="both"/>
        <w:rPr>
          <w:rFonts w:ascii="Times New Roman" w:hAnsi="Times New Roman" w:cs="Times New Roman"/>
          <w:sz w:val="24"/>
          <w:szCs w:val="24"/>
        </w:rPr>
      </w:pPr>
      <w:r w:rsidRPr="00622FEE">
        <w:rPr>
          <w:rFonts w:ascii="Times New Roman" w:hAnsi="Times New Roman" w:cs="Times New Roman"/>
          <w:sz w:val="24"/>
          <w:szCs w:val="24"/>
        </w:rPr>
        <w:t xml:space="preserve">Сумма средств, направленных из Фонда капитальных вложений на строительство объектов производственного, социально-культурного, административного назначения, на жилищное строительство, на финансирование приобретения оборудования и предметов длительного пользования, на капитальный ремонт и развитие материально-технической базы, возросла в 1,6 раза, до 167,1 млн руб. Расходы Фонда развития предпринимательства по сравнению с базисным значением увеличились на 58,7%, составив 7,8 млн руб. Средства данного фонда были направлены на дотирование отечественных сельскохозяйственных организаций (6,0 млн руб.), субсидирование части затрат на приобретение импортных племенных нетелей (1,2 млн руб.), а также реализацию государственных целевых программ по поддержке и развитию предпринимательства и туризма (0,5 млн руб.). </w:t>
      </w:r>
    </w:p>
    <w:p w14:paraId="03E31433" w14:textId="539345CA" w:rsidR="00622FEE" w:rsidRPr="00622FEE" w:rsidRDefault="00622FEE" w:rsidP="00622FEE">
      <w:pPr>
        <w:spacing w:before="0" w:after="0" w:line="240" w:lineRule="auto"/>
        <w:ind w:firstLine="425"/>
        <w:jc w:val="both"/>
        <w:rPr>
          <w:rFonts w:ascii="Times New Roman" w:hAnsi="Times New Roman" w:cs="Times New Roman"/>
          <w:color w:val="FF0000"/>
          <w:sz w:val="24"/>
          <w:szCs w:val="24"/>
          <w:shd w:val="clear" w:color="auto" w:fill="CCC0D9" w:themeFill="accent4" w:themeFillTint="66"/>
        </w:rPr>
      </w:pPr>
      <w:r w:rsidRPr="00622FEE">
        <w:rPr>
          <w:rFonts w:ascii="Times New Roman" w:hAnsi="Times New Roman" w:cs="Times New Roman"/>
          <w:sz w:val="24"/>
          <w:szCs w:val="24"/>
        </w:rPr>
        <w:t xml:space="preserve">Доходы бюджета Единого государственного фонда социального страхования </w:t>
      </w:r>
      <w:r w:rsidR="00826C7A">
        <w:rPr>
          <w:rFonts w:ascii="Times New Roman" w:hAnsi="Times New Roman" w:cs="Times New Roman"/>
          <w:sz w:val="24"/>
          <w:szCs w:val="24"/>
        </w:rPr>
        <w:t>Приднестровской Молдавской Республики</w:t>
      </w:r>
      <w:r w:rsidR="00826C7A" w:rsidRPr="00622FEE">
        <w:rPr>
          <w:rFonts w:ascii="Times New Roman" w:hAnsi="Times New Roman" w:cs="Times New Roman"/>
          <w:sz w:val="24"/>
          <w:szCs w:val="24"/>
        </w:rPr>
        <w:t xml:space="preserve"> </w:t>
      </w:r>
      <w:r w:rsidRPr="00622FEE">
        <w:rPr>
          <w:rFonts w:ascii="Times New Roman" w:hAnsi="Times New Roman" w:cs="Times New Roman"/>
          <w:sz w:val="24"/>
          <w:szCs w:val="24"/>
        </w:rPr>
        <w:t xml:space="preserve">(без учёта остатка денежных средств по состоянию на 1 января 2020 года, кредитов и займов, а также гуманитарной помощи) в отчётном периоде сложились на 0,5% выше уровня января-сентября 2019 года (1 388,1 млн руб. против </w:t>
      </w:r>
      <w:r w:rsidR="00826C7A">
        <w:rPr>
          <w:rFonts w:ascii="Times New Roman" w:hAnsi="Times New Roman" w:cs="Times New Roman"/>
          <w:sz w:val="24"/>
          <w:szCs w:val="24"/>
        </w:rPr>
        <w:br/>
      </w:r>
      <w:r w:rsidRPr="00622FEE">
        <w:rPr>
          <w:rFonts w:ascii="Times New Roman" w:hAnsi="Times New Roman" w:cs="Times New Roman"/>
          <w:sz w:val="24"/>
          <w:szCs w:val="24"/>
        </w:rPr>
        <w:t>1 380,9 млн руб. годом ран</w:t>
      </w:r>
      <w:r w:rsidR="008D513F">
        <w:rPr>
          <w:rFonts w:ascii="Times New Roman" w:hAnsi="Times New Roman" w:cs="Times New Roman"/>
          <w:sz w:val="24"/>
          <w:szCs w:val="24"/>
        </w:rPr>
        <w:t xml:space="preserve">ее). При этом налоговые доходы </w:t>
      </w:r>
      <w:r w:rsidRPr="00622FEE">
        <w:rPr>
          <w:rFonts w:ascii="Times New Roman" w:hAnsi="Times New Roman" w:cs="Times New Roman"/>
          <w:sz w:val="24"/>
          <w:szCs w:val="24"/>
        </w:rPr>
        <w:t xml:space="preserve">сократились на 0,5%, составив 1 167,0 млн руб. Неналоговые доходы, вследствие минимального объёма доходов, полученных от поступления частичной оплаты стоимости путёвок, снизились на 53,8%, до 1,8 млн руб. </w:t>
      </w:r>
      <w:r w:rsidR="00826C7A">
        <w:rPr>
          <w:rFonts w:ascii="Times New Roman" w:hAnsi="Times New Roman" w:cs="Times New Roman"/>
          <w:sz w:val="24"/>
          <w:szCs w:val="24"/>
        </w:rPr>
        <w:br/>
      </w:r>
      <w:r w:rsidRPr="00622FEE">
        <w:rPr>
          <w:rFonts w:ascii="Times New Roman" w:hAnsi="Times New Roman" w:cs="Times New Roman"/>
          <w:sz w:val="24"/>
          <w:szCs w:val="24"/>
        </w:rPr>
        <w:t>(3,9 млн руб. годом ранее). Целевые средства республиканского бюджета, перечисленные в ЕГФCC</w:t>
      </w:r>
      <w:r w:rsidR="00996687">
        <w:rPr>
          <w:rFonts w:ascii="Times New Roman" w:hAnsi="Times New Roman" w:cs="Times New Roman"/>
          <w:sz w:val="24"/>
          <w:szCs w:val="24"/>
        </w:rPr>
        <w:t xml:space="preserve"> ПМР</w:t>
      </w:r>
      <w:r w:rsidRPr="00622FEE">
        <w:rPr>
          <w:rFonts w:ascii="Times New Roman" w:hAnsi="Times New Roman" w:cs="Times New Roman"/>
          <w:sz w:val="24"/>
          <w:szCs w:val="24"/>
        </w:rPr>
        <w:t xml:space="preserve">, возросли на 7,4%, до 219,4 млн руб. </w:t>
      </w:r>
    </w:p>
    <w:p w14:paraId="398A87EC" w14:textId="0F9C0059" w:rsidR="00622FEE" w:rsidRPr="00622FEE" w:rsidRDefault="00622FEE" w:rsidP="00622FEE">
      <w:pPr>
        <w:spacing w:before="0" w:after="0" w:line="240" w:lineRule="auto"/>
        <w:ind w:firstLine="425"/>
        <w:jc w:val="both"/>
        <w:rPr>
          <w:rFonts w:ascii="Times New Roman" w:hAnsi="Times New Roman" w:cs="Times New Roman"/>
          <w:sz w:val="24"/>
          <w:szCs w:val="24"/>
        </w:rPr>
      </w:pPr>
      <w:r w:rsidRPr="00622FEE">
        <w:rPr>
          <w:rFonts w:ascii="Times New Roman" w:hAnsi="Times New Roman" w:cs="Times New Roman"/>
          <w:sz w:val="24"/>
          <w:szCs w:val="24"/>
        </w:rPr>
        <w:t>За 9 месяцев 2020 года из бюджета ЕГФCC</w:t>
      </w:r>
      <w:r w:rsidR="00996687">
        <w:rPr>
          <w:rFonts w:ascii="Times New Roman" w:hAnsi="Times New Roman" w:cs="Times New Roman"/>
          <w:sz w:val="24"/>
          <w:szCs w:val="24"/>
        </w:rPr>
        <w:t xml:space="preserve"> ПМР</w:t>
      </w:r>
      <w:r w:rsidRPr="00622FEE">
        <w:rPr>
          <w:rFonts w:ascii="Times New Roman" w:hAnsi="Times New Roman" w:cs="Times New Roman"/>
          <w:sz w:val="24"/>
          <w:szCs w:val="24"/>
        </w:rPr>
        <w:t xml:space="preserve"> было израсходовано 1 713,7 млн руб. (без учёта возврата займов), что на 5,3% ниже базисного значения.</w:t>
      </w:r>
    </w:p>
    <w:p w14:paraId="4FEE1A64" w14:textId="354B13A0" w:rsidR="00683E52" w:rsidRDefault="00683E52" w:rsidP="00192506">
      <w:pPr>
        <w:autoSpaceDE w:val="0"/>
        <w:autoSpaceDN w:val="0"/>
        <w:adjustRightInd w:val="0"/>
        <w:spacing w:before="0" w:after="0" w:line="240" w:lineRule="auto"/>
        <w:ind w:firstLine="425"/>
        <w:jc w:val="both"/>
        <w:rPr>
          <w:rFonts w:ascii="Times New Roman" w:hAnsi="Times New Roman" w:cs="Times New Roman"/>
          <w:sz w:val="24"/>
          <w:szCs w:val="24"/>
        </w:rPr>
      </w:pPr>
    </w:p>
    <w:p w14:paraId="1FD3DEE8" w14:textId="46BB2356" w:rsidR="003C18BB" w:rsidRPr="004D7D79" w:rsidRDefault="003C18BB" w:rsidP="00822F2A">
      <w:pPr>
        <w:pStyle w:val="1"/>
        <w:widowControl w:val="0"/>
        <w:numPr>
          <w:ilvl w:val="1"/>
          <w:numId w:val="1"/>
        </w:numPr>
        <w:spacing w:before="0" w:line="240" w:lineRule="auto"/>
        <w:jc w:val="center"/>
        <w:rPr>
          <w:b/>
          <w:bCs/>
          <w:noProof/>
          <w:sz w:val="24"/>
          <w:szCs w:val="24"/>
        </w:rPr>
      </w:pPr>
      <w:r w:rsidRPr="004D7D79">
        <w:rPr>
          <w:b/>
          <w:bCs/>
          <w:noProof/>
          <w:sz w:val="24"/>
          <w:szCs w:val="24"/>
        </w:rPr>
        <w:t>ФИНАНСОВЫЙ СЕКТОР</w:t>
      </w:r>
    </w:p>
    <w:p w14:paraId="1E1B1DE9" w14:textId="77777777" w:rsidR="00192506" w:rsidRDefault="00192506" w:rsidP="008A651D">
      <w:pPr>
        <w:widowControl w:val="0"/>
        <w:spacing w:before="0" w:after="0" w:line="240" w:lineRule="auto"/>
        <w:ind w:firstLine="425"/>
        <w:jc w:val="both"/>
        <w:rPr>
          <w:rFonts w:ascii="Times New Roman" w:hAnsi="Times New Roman" w:cs="Times New Roman"/>
          <w:i/>
          <w:iCs/>
          <w:sz w:val="24"/>
          <w:szCs w:val="24"/>
        </w:rPr>
      </w:pPr>
    </w:p>
    <w:p w14:paraId="11572CE5" w14:textId="77777777" w:rsidR="00684192" w:rsidRPr="004D7D79" w:rsidRDefault="00684192" w:rsidP="00822F2A">
      <w:pPr>
        <w:pStyle w:val="2"/>
        <w:jc w:val="center"/>
        <w:rPr>
          <w:b/>
          <w:noProof/>
        </w:rPr>
      </w:pPr>
      <w:r w:rsidRPr="004D7D79">
        <w:rPr>
          <w:b/>
          <w:noProof/>
        </w:rPr>
        <w:t>Денежный рынок</w:t>
      </w:r>
    </w:p>
    <w:p w14:paraId="5861F7F9" w14:textId="77777777" w:rsidR="00192506" w:rsidRPr="00307416" w:rsidRDefault="00192506" w:rsidP="008A651D">
      <w:pPr>
        <w:widowControl w:val="0"/>
        <w:spacing w:before="0" w:after="0" w:line="240" w:lineRule="auto"/>
        <w:ind w:firstLine="425"/>
        <w:jc w:val="both"/>
        <w:rPr>
          <w:rFonts w:ascii="Times New Roman" w:hAnsi="Times New Roman" w:cs="Times New Roman"/>
          <w:sz w:val="16"/>
          <w:szCs w:val="16"/>
        </w:rPr>
      </w:pPr>
    </w:p>
    <w:p w14:paraId="12E84596" w14:textId="08C3E796" w:rsidR="00115CF5" w:rsidRPr="001565E0" w:rsidRDefault="004E2FA7" w:rsidP="004E2FA7">
      <w:pPr>
        <w:widowControl w:val="0"/>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Расширение </w:t>
      </w:r>
      <w:r w:rsidR="008B0A05">
        <w:rPr>
          <w:rFonts w:ascii="Times New Roman" w:hAnsi="Times New Roman" w:cs="Times New Roman"/>
          <w:sz w:val="24"/>
          <w:szCs w:val="24"/>
        </w:rPr>
        <w:t xml:space="preserve">сферы безналичных платежей, а также существенные </w:t>
      </w:r>
      <w:r w:rsidR="000B4A6A">
        <w:rPr>
          <w:rFonts w:ascii="Times New Roman" w:hAnsi="Times New Roman" w:cs="Times New Roman"/>
          <w:sz w:val="24"/>
          <w:szCs w:val="24"/>
        </w:rPr>
        <w:t>суммы</w:t>
      </w:r>
      <w:r w:rsidR="008B0A05">
        <w:rPr>
          <w:rFonts w:ascii="Times New Roman" w:hAnsi="Times New Roman" w:cs="Times New Roman"/>
          <w:sz w:val="24"/>
          <w:szCs w:val="24"/>
        </w:rPr>
        <w:t xml:space="preserve"> выплат </w:t>
      </w:r>
      <w:r w:rsidR="000B4A6A">
        <w:rPr>
          <w:rFonts w:ascii="Times New Roman" w:hAnsi="Times New Roman" w:cs="Times New Roman"/>
          <w:sz w:val="24"/>
          <w:szCs w:val="24"/>
        </w:rPr>
        <w:t xml:space="preserve">населению </w:t>
      </w:r>
      <w:r w:rsidR="008B0A05">
        <w:rPr>
          <w:rFonts w:ascii="Times New Roman" w:hAnsi="Times New Roman" w:cs="Times New Roman"/>
          <w:sz w:val="24"/>
          <w:szCs w:val="24"/>
        </w:rPr>
        <w:t xml:space="preserve">из </w:t>
      </w:r>
      <w:r w:rsidR="000B4A6A">
        <w:rPr>
          <w:rFonts w:ascii="Times New Roman" w:hAnsi="Times New Roman" w:cs="Times New Roman"/>
          <w:sz w:val="24"/>
          <w:szCs w:val="24"/>
        </w:rPr>
        <w:t xml:space="preserve">средств </w:t>
      </w:r>
      <w:r w:rsidR="008B0A05">
        <w:rPr>
          <w:rFonts w:ascii="Times New Roman" w:hAnsi="Times New Roman" w:cs="Times New Roman"/>
          <w:sz w:val="24"/>
          <w:szCs w:val="24"/>
        </w:rPr>
        <w:t>поступ</w:t>
      </w:r>
      <w:r w:rsidR="000B4A6A">
        <w:rPr>
          <w:rFonts w:ascii="Times New Roman" w:hAnsi="Times New Roman" w:cs="Times New Roman"/>
          <w:sz w:val="24"/>
          <w:szCs w:val="24"/>
        </w:rPr>
        <w:t>ивших</w:t>
      </w:r>
      <w:r w:rsidR="008B0A05">
        <w:rPr>
          <w:rFonts w:ascii="Times New Roman" w:hAnsi="Times New Roman" w:cs="Times New Roman"/>
          <w:sz w:val="24"/>
          <w:szCs w:val="24"/>
        </w:rPr>
        <w:t xml:space="preserve"> государственных трансфертов</w:t>
      </w:r>
      <w:r w:rsidR="000B4A6A">
        <w:rPr>
          <w:rFonts w:ascii="Times New Roman" w:hAnsi="Times New Roman" w:cs="Times New Roman"/>
          <w:sz w:val="24"/>
          <w:szCs w:val="24"/>
        </w:rPr>
        <w:t xml:space="preserve"> </w:t>
      </w:r>
      <w:r w:rsidR="008B0A05" w:rsidRPr="002A1587">
        <w:rPr>
          <w:rFonts w:ascii="Times New Roman" w:hAnsi="Times New Roman" w:cs="Times New Roman"/>
          <w:sz w:val="24"/>
          <w:szCs w:val="24"/>
        </w:rPr>
        <w:t>обеспечил</w:t>
      </w:r>
      <w:r w:rsidR="008B0A05">
        <w:rPr>
          <w:rFonts w:ascii="Times New Roman" w:hAnsi="Times New Roman" w:cs="Times New Roman"/>
          <w:sz w:val="24"/>
          <w:szCs w:val="24"/>
        </w:rPr>
        <w:t>и</w:t>
      </w:r>
      <w:r w:rsidR="008B0A05" w:rsidRPr="002A1587">
        <w:rPr>
          <w:rFonts w:ascii="Times New Roman" w:hAnsi="Times New Roman" w:cs="Times New Roman"/>
          <w:sz w:val="24"/>
          <w:szCs w:val="24"/>
        </w:rPr>
        <w:t xml:space="preserve"> рост объёма национальной денежной массы </w:t>
      </w:r>
      <w:r w:rsidR="009663F2">
        <w:rPr>
          <w:rFonts w:ascii="Times New Roman" w:hAnsi="Times New Roman" w:cs="Times New Roman"/>
          <w:sz w:val="24"/>
          <w:szCs w:val="24"/>
        </w:rPr>
        <w:t xml:space="preserve">на 6,4%, </w:t>
      </w:r>
      <w:r w:rsidR="008B0A05" w:rsidRPr="002A1587">
        <w:rPr>
          <w:rFonts w:ascii="Times New Roman" w:hAnsi="Times New Roman" w:cs="Times New Roman"/>
          <w:sz w:val="24"/>
          <w:szCs w:val="24"/>
        </w:rPr>
        <w:t>до 3 </w:t>
      </w:r>
      <w:r w:rsidR="008B0A05">
        <w:rPr>
          <w:rFonts w:ascii="Times New Roman" w:hAnsi="Times New Roman" w:cs="Times New Roman"/>
          <w:sz w:val="24"/>
          <w:szCs w:val="24"/>
        </w:rPr>
        <w:t>658</w:t>
      </w:r>
      <w:r w:rsidR="008B0A05" w:rsidRPr="002A1587">
        <w:rPr>
          <w:rFonts w:ascii="Times New Roman" w:hAnsi="Times New Roman" w:cs="Times New Roman"/>
          <w:sz w:val="24"/>
          <w:szCs w:val="24"/>
        </w:rPr>
        <w:t>,</w:t>
      </w:r>
      <w:r w:rsidR="008B0A05">
        <w:rPr>
          <w:rFonts w:ascii="Times New Roman" w:hAnsi="Times New Roman" w:cs="Times New Roman"/>
          <w:sz w:val="24"/>
          <w:szCs w:val="24"/>
        </w:rPr>
        <w:t>4</w:t>
      </w:r>
      <w:r w:rsidR="008B0A05" w:rsidRPr="002A1587">
        <w:rPr>
          <w:rFonts w:ascii="Times New Roman" w:hAnsi="Times New Roman" w:cs="Times New Roman"/>
          <w:sz w:val="24"/>
          <w:szCs w:val="24"/>
        </w:rPr>
        <w:t xml:space="preserve"> млн руб. на 1 января 202</w:t>
      </w:r>
      <w:r w:rsidR="008B0A05">
        <w:rPr>
          <w:rFonts w:ascii="Times New Roman" w:hAnsi="Times New Roman" w:cs="Times New Roman"/>
          <w:sz w:val="24"/>
          <w:szCs w:val="24"/>
        </w:rPr>
        <w:t>1</w:t>
      </w:r>
      <w:r w:rsidR="009663F2">
        <w:rPr>
          <w:rFonts w:ascii="Times New Roman" w:hAnsi="Times New Roman" w:cs="Times New Roman"/>
          <w:sz w:val="24"/>
          <w:szCs w:val="24"/>
        </w:rPr>
        <w:t xml:space="preserve"> года (табл. 1.6).</w:t>
      </w:r>
      <w:r>
        <w:rPr>
          <w:rFonts w:ascii="Times New Roman" w:hAnsi="Times New Roman" w:cs="Times New Roman"/>
          <w:sz w:val="24"/>
          <w:szCs w:val="24"/>
        </w:rPr>
        <w:t xml:space="preserve"> Этому</w:t>
      </w:r>
      <w:r w:rsidR="00115CF5" w:rsidRPr="001565E0">
        <w:rPr>
          <w:rFonts w:ascii="Times New Roman" w:hAnsi="Times New Roman" w:cs="Times New Roman"/>
          <w:sz w:val="24"/>
          <w:szCs w:val="24"/>
        </w:rPr>
        <w:t xml:space="preserve"> способствовал</w:t>
      </w:r>
      <w:r w:rsidR="00115CF5">
        <w:rPr>
          <w:rFonts w:ascii="Times New Roman" w:hAnsi="Times New Roman" w:cs="Times New Roman"/>
          <w:sz w:val="24"/>
          <w:szCs w:val="24"/>
        </w:rPr>
        <w:t xml:space="preserve"> приток средств на</w:t>
      </w:r>
      <w:r w:rsidR="00115CF5" w:rsidRPr="001565E0">
        <w:rPr>
          <w:rFonts w:ascii="Times New Roman" w:hAnsi="Times New Roman" w:cs="Times New Roman"/>
          <w:sz w:val="24"/>
          <w:szCs w:val="24"/>
        </w:rPr>
        <w:t xml:space="preserve"> текущи</w:t>
      </w:r>
      <w:r w:rsidR="00115CF5">
        <w:rPr>
          <w:rFonts w:ascii="Times New Roman" w:hAnsi="Times New Roman" w:cs="Times New Roman"/>
          <w:sz w:val="24"/>
          <w:szCs w:val="24"/>
        </w:rPr>
        <w:t>е</w:t>
      </w:r>
      <w:r w:rsidR="00115CF5" w:rsidRPr="001565E0">
        <w:rPr>
          <w:rFonts w:ascii="Times New Roman" w:hAnsi="Times New Roman" w:cs="Times New Roman"/>
          <w:sz w:val="24"/>
          <w:szCs w:val="24"/>
        </w:rPr>
        <w:t xml:space="preserve"> счет</w:t>
      </w:r>
      <w:r w:rsidR="00115CF5">
        <w:rPr>
          <w:rFonts w:ascii="Times New Roman" w:hAnsi="Times New Roman" w:cs="Times New Roman"/>
          <w:sz w:val="24"/>
          <w:szCs w:val="24"/>
        </w:rPr>
        <w:t>а</w:t>
      </w:r>
      <w:r w:rsidR="00115CF5" w:rsidRPr="001565E0">
        <w:rPr>
          <w:rFonts w:ascii="Times New Roman" w:hAnsi="Times New Roman" w:cs="Times New Roman"/>
          <w:sz w:val="24"/>
          <w:szCs w:val="24"/>
        </w:rPr>
        <w:t xml:space="preserve"> на </w:t>
      </w:r>
      <w:r w:rsidR="00115CF5">
        <w:rPr>
          <w:rFonts w:ascii="Times New Roman" w:hAnsi="Times New Roman" w:cs="Times New Roman"/>
          <w:sz w:val="24"/>
          <w:szCs w:val="24"/>
        </w:rPr>
        <w:t>3</w:t>
      </w:r>
      <w:r w:rsidR="00115CF5" w:rsidRPr="001565E0">
        <w:rPr>
          <w:rFonts w:ascii="Times New Roman" w:hAnsi="Times New Roman" w:cs="Times New Roman"/>
          <w:sz w:val="24"/>
          <w:szCs w:val="24"/>
        </w:rPr>
        <w:t>,</w:t>
      </w:r>
      <w:r w:rsidR="00115CF5">
        <w:rPr>
          <w:rFonts w:ascii="Times New Roman" w:hAnsi="Times New Roman" w:cs="Times New Roman"/>
          <w:sz w:val="24"/>
          <w:szCs w:val="24"/>
        </w:rPr>
        <w:t>4</w:t>
      </w:r>
      <w:r w:rsidR="00115CF5" w:rsidRPr="001565E0">
        <w:rPr>
          <w:rFonts w:ascii="Times New Roman" w:hAnsi="Times New Roman" w:cs="Times New Roman"/>
          <w:sz w:val="24"/>
          <w:szCs w:val="24"/>
        </w:rPr>
        <w:t>%, до 2 0</w:t>
      </w:r>
      <w:r w:rsidR="00115CF5">
        <w:rPr>
          <w:rFonts w:ascii="Times New Roman" w:hAnsi="Times New Roman" w:cs="Times New Roman"/>
          <w:sz w:val="24"/>
          <w:szCs w:val="24"/>
        </w:rPr>
        <w:t>9</w:t>
      </w:r>
      <w:r w:rsidR="00115CF5" w:rsidRPr="001565E0">
        <w:rPr>
          <w:rFonts w:ascii="Times New Roman" w:hAnsi="Times New Roman" w:cs="Times New Roman"/>
          <w:sz w:val="24"/>
          <w:szCs w:val="24"/>
        </w:rPr>
        <w:t>0,</w:t>
      </w:r>
      <w:r w:rsidR="00115CF5">
        <w:rPr>
          <w:rFonts w:ascii="Times New Roman" w:hAnsi="Times New Roman" w:cs="Times New Roman"/>
          <w:sz w:val="24"/>
          <w:szCs w:val="24"/>
        </w:rPr>
        <w:t>5</w:t>
      </w:r>
      <w:r w:rsidR="00115CF5" w:rsidRPr="001565E0">
        <w:rPr>
          <w:rFonts w:ascii="Times New Roman" w:hAnsi="Times New Roman" w:cs="Times New Roman"/>
          <w:sz w:val="24"/>
          <w:szCs w:val="24"/>
        </w:rPr>
        <w:t xml:space="preserve"> млн руб., и срочны</w:t>
      </w:r>
      <w:r w:rsidR="00115CF5">
        <w:rPr>
          <w:rFonts w:ascii="Times New Roman" w:hAnsi="Times New Roman" w:cs="Times New Roman"/>
          <w:sz w:val="24"/>
          <w:szCs w:val="24"/>
        </w:rPr>
        <w:t>е</w:t>
      </w:r>
      <w:r w:rsidR="00115CF5" w:rsidRPr="001565E0">
        <w:rPr>
          <w:rFonts w:ascii="Times New Roman" w:hAnsi="Times New Roman" w:cs="Times New Roman"/>
          <w:sz w:val="24"/>
          <w:szCs w:val="24"/>
        </w:rPr>
        <w:t xml:space="preserve"> депозит</w:t>
      </w:r>
      <w:r w:rsidR="00115CF5">
        <w:rPr>
          <w:rFonts w:ascii="Times New Roman" w:hAnsi="Times New Roman" w:cs="Times New Roman"/>
          <w:sz w:val="24"/>
          <w:szCs w:val="24"/>
        </w:rPr>
        <w:t>ы</w:t>
      </w:r>
      <w:r w:rsidR="00115CF5" w:rsidRPr="001565E0">
        <w:rPr>
          <w:rFonts w:ascii="Times New Roman" w:hAnsi="Times New Roman" w:cs="Times New Roman"/>
          <w:sz w:val="24"/>
          <w:szCs w:val="24"/>
        </w:rPr>
        <w:t xml:space="preserve"> на </w:t>
      </w:r>
      <w:r w:rsidR="00115CF5">
        <w:rPr>
          <w:rFonts w:ascii="Times New Roman" w:hAnsi="Times New Roman" w:cs="Times New Roman"/>
          <w:sz w:val="24"/>
          <w:szCs w:val="24"/>
        </w:rPr>
        <w:t>1</w:t>
      </w:r>
      <w:r w:rsidR="00115CF5" w:rsidRPr="001565E0">
        <w:rPr>
          <w:rFonts w:ascii="Times New Roman" w:hAnsi="Times New Roman" w:cs="Times New Roman"/>
          <w:sz w:val="24"/>
          <w:szCs w:val="24"/>
        </w:rPr>
        <w:t>8,</w:t>
      </w:r>
      <w:r w:rsidR="00115CF5">
        <w:rPr>
          <w:rFonts w:ascii="Times New Roman" w:hAnsi="Times New Roman" w:cs="Times New Roman"/>
          <w:sz w:val="24"/>
          <w:szCs w:val="24"/>
        </w:rPr>
        <w:t>4</w:t>
      </w:r>
      <w:r w:rsidR="00115CF5" w:rsidRPr="001565E0">
        <w:rPr>
          <w:rFonts w:ascii="Times New Roman" w:hAnsi="Times New Roman" w:cs="Times New Roman"/>
          <w:sz w:val="24"/>
          <w:szCs w:val="24"/>
        </w:rPr>
        <w:t>%, до 2</w:t>
      </w:r>
      <w:r w:rsidR="00115CF5">
        <w:rPr>
          <w:rFonts w:ascii="Times New Roman" w:hAnsi="Times New Roman" w:cs="Times New Roman"/>
          <w:sz w:val="24"/>
          <w:szCs w:val="24"/>
        </w:rPr>
        <w:t>82</w:t>
      </w:r>
      <w:r w:rsidR="00115CF5" w:rsidRPr="001565E0">
        <w:rPr>
          <w:rFonts w:ascii="Times New Roman" w:hAnsi="Times New Roman" w:cs="Times New Roman"/>
          <w:sz w:val="24"/>
          <w:szCs w:val="24"/>
        </w:rPr>
        <w:t>,</w:t>
      </w:r>
      <w:r w:rsidR="00115CF5">
        <w:rPr>
          <w:rFonts w:ascii="Times New Roman" w:hAnsi="Times New Roman" w:cs="Times New Roman"/>
          <w:sz w:val="24"/>
          <w:szCs w:val="24"/>
        </w:rPr>
        <w:t>8</w:t>
      </w:r>
      <w:r w:rsidR="00115CF5" w:rsidRPr="001565E0">
        <w:rPr>
          <w:rFonts w:ascii="Times New Roman" w:hAnsi="Times New Roman" w:cs="Times New Roman"/>
          <w:sz w:val="24"/>
          <w:szCs w:val="24"/>
        </w:rPr>
        <w:t xml:space="preserve"> млн руб. Остаток средств, участвующих в операциях с ценными бумагами, увеличился с 1,</w:t>
      </w:r>
      <w:r w:rsidR="00115CF5">
        <w:rPr>
          <w:rFonts w:ascii="Times New Roman" w:hAnsi="Times New Roman" w:cs="Times New Roman"/>
          <w:sz w:val="24"/>
          <w:szCs w:val="24"/>
        </w:rPr>
        <w:t>8</w:t>
      </w:r>
      <w:r w:rsidR="00115CF5" w:rsidRPr="001565E0">
        <w:rPr>
          <w:rFonts w:ascii="Times New Roman" w:hAnsi="Times New Roman" w:cs="Times New Roman"/>
          <w:sz w:val="24"/>
          <w:szCs w:val="24"/>
        </w:rPr>
        <w:t xml:space="preserve"> млн руб. до </w:t>
      </w:r>
      <w:r w:rsidR="00115CF5">
        <w:rPr>
          <w:rFonts w:ascii="Times New Roman" w:hAnsi="Times New Roman" w:cs="Times New Roman"/>
          <w:sz w:val="24"/>
          <w:szCs w:val="24"/>
        </w:rPr>
        <w:t>5</w:t>
      </w:r>
      <w:r w:rsidR="00115CF5" w:rsidRPr="001565E0">
        <w:rPr>
          <w:rFonts w:ascii="Times New Roman" w:hAnsi="Times New Roman" w:cs="Times New Roman"/>
          <w:sz w:val="24"/>
          <w:szCs w:val="24"/>
        </w:rPr>
        <w:t>,</w:t>
      </w:r>
      <w:r w:rsidR="00115CF5">
        <w:rPr>
          <w:rFonts w:ascii="Times New Roman" w:hAnsi="Times New Roman" w:cs="Times New Roman"/>
          <w:sz w:val="24"/>
          <w:szCs w:val="24"/>
        </w:rPr>
        <w:t>3</w:t>
      </w:r>
      <w:r w:rsidR="00115CF5" w:rsidRPr="001565E0">
        <w:rPr>
          <w:rFonts w:ascii="Times New Roman" w:hAnsi="Times New Roman" w:cs="Times New Roman"/>
          <w:sz w:val="24"/>
          <w:szCs w:val="24"/>
        </w:rPr>
        <w:t xml:space="preserve"> млн руб. Всего в безналичном сегменте на 1 января 202</w:t>
      </w:r>
      <w:r w:rsidR="00115CF5">
        <w:rPr>
          <w:rFonts w:ascii="Times New Roman" w:hAnsi="Times New Roman" w:cs="Times New Roman"/>
          <w:sz w:val="24"/>
          <w:szCs w:val="24"/>
        </w:rPr>
        <w:t>1</w:t>
      </w:r>
      <w:r w:rsidR="00115CF5" w:rsidRPr="001565E0">
        <w:rPr>
          <w:rFonts w:ascii="Times New Roman" w:hAnsi="Times New Roman" w:cs="Times New Roman"/>
          <w:sz w:val="24"/>
          <w:szCs w:val="24"/>
        </w:rPr>
        <w:t xml:space="preserve"> года сосредоточено 2 </w:t>
      </w:r>
      <w:r w:rsidR="00115CF5">
        <w:rPr>
          <w:rFonts w:ascii="Times New Roman" w:hAnsi="Times New Roman" w:cs="Times New Roman"/>
          <w:sz w:val="24"/>
          <w:szCs w:val="24"/>
        </w:rPr>
        <w:t>378</w:t>
      </w:r>
      <w:r w:rsidR="00115CF5" w:rsidRPr="001565E0">
        <w:rPr>
          <w:rFonts w:ascii="Times New Roman" w:hAnsi="Times New Roman" w:cs="Times New Roman"/>
          <w:sz w:val="24"/>
          <w:szCs w:val="24"/>
        </w:rPr>
        <w:t>,</w:t>
      </w:r>
      <w:r w:rsidR="00115CF5">
        <w:rPr>
          <w:rFonts w:ascii="Times New Roman" w:hAnsi="Times New Roman" w:cs="Times New Roman"/>
          <w:sz w:val="24"/>
          <w:szCs w:val="24"/>
        </w:rPr>
        <w:t>6</w:t>
      </w:r>
      <w:r w:rsidR="00115CF5" w:rsidRPr="001565E0">
        <w:rPr>
          <w:rFonts w:ascii="Times New Roman" w:hAnsi="Times New Roman" w:cs="Times New Roman"/>
          <w:sz w:val="24"/>
          <w:szCs w:val="24"/>
        </w:rPr>
        <w:t xml:space="preserve"> млн руб., или 65,</w:t>
      </w:r>
      <w:r w:rsidR="00115CF5">
        <w:rPr>
          <w:rFonts w:ascii="Times New Roman" w:hAnsi="Times New Roman" w:cs="Times New Roman"/>
          <w:sz w:val="24"/>
          <w:szCs w:val="24"/>
        </w:rPr>
        <w:t>0</w:t>
      </w:r>
      <w:r w:rsidR="00115CF5" w:rsidRPr="001565E0">
        <w:rPr>
          <w:rFonts w:ascii="Times New Roman" w:hAnsi="Times New Roman" w:cs="Times New Roman"/>
          <w:sz w:val="24"/>
          <w:szCs w:val="24"/>
        </w:rPr>
        <w:t>% национальной денежной массы (6</w:t>
      </w:r>
      <w:r w:rsidR="00115CF5">
        <w:rPr>
          <w:rFonts w:ascii="Times New Roman" w:hAnsi="Times New Roman" w:cs="Times New Roman"/>
          <w:sz w:val="24"/>
          <w:szCs w:val="24"/>
        </w:rPr>
        <w:t>5</w:t>
      </w:r>
      <w:r w:rsidR="00115CF5" w:rsidRPr="001565E0">
        <w:rPr>
          <w:rFonts w:ascii="Times New Roman" w:hAnsi="Times New Roman" w:cs="Times New Roman"/>
          <w:sz w:val="24"/>
          <w:szCs w:val="24"/>
        </w:rPr>
        <w:t>,</w:t>
      </w:r>
      <w:r w:rsidR="00115CF5">
        <w:rPr>
          <w:rFonts w:ascii="Times New Roman" w:hAnsi="Times New Roman" w:cs="Times New Roman"/>
          <w:sz w:val="24"/>
          <w:szCs w:val="24"/>
        </w:rPr>
        <w:t>7</w:t>
      </w:r>
      <w:r w:rsidR="00115CF5" w:rsidRPr="001565E0">
        <w:rPr>
          <w:rFonts w:ascii="Times New Roman" w:hAnsi="Times New Roman" w:cs="Times New Roman"/>
          <w:sz w:val="24"/>
          <w:szCs w:val="24"/>
        </w:rPr>
        <w:t>% на начало 20</w:t>
      </w:r>
      <w:r w:rsidR="00115CF5">
        <w:rPr>
          <w:rFonts w:ascii="Times New Roman" w:hAnsi="Times New Roman" w:cs="Times New Roman"/>
          <w:sz w:val="24"/>
          <w:szCs w:val="24"/>
        </w:rPr>
        <w:t>20</w:t>
      </w:r>
      <w:r w:rsidR="00115CF5" w:rsidRPr="001565E0">
        <w:rPr>
          <w:rFonts w:ascii="Times New Roman" w:hAnsi="Times New Roman" w:cs="Times New Roman"/>
          <w:sz w:val="24"/>
          <w:szCs w:val="24"/>
        </w:rPr>
        <w:t xml:space="preserve"> года). </w:t>
      </w:r>
    </w:p>
    <w:p w14:paraId="59B4335E" w14:textId="3B87B49F" w:rsidR="00115CF5" w:rsidRPr="001565E0" w:rsidRDefault="00115CF5" w:rsidP="00115CF5">
      <w:pPr>
        <w:spacing w:before="0" w:after="0" w:line="240" w:lineRule="auto"/>
        <w:ind w:firstLine="425"/>
        <w:jc w:val="both"/>
        <w:rPr>
          <w:rFonts w:ascii="Times New Roman" w:hAnsi="Times New Roman" w:cs="Times New Roman"/>
          <w:sz w:val="24"/>
          <w:szCs w:val="24"/>
        </w:rPr>
      </w:pPr>
      <w:r w:rsidRPr="001565E0">
        <w:rPr>
          <w:rFonts w:ascii="Times New Roman" w:hAnsi="Times New Roman" w:cs="Times New Roman"/>
          <w:sz w:val="24"/>
          <w:szCs w:val="24"/>
        </w:rPr>
        <w:lastRenderedPageBreak/>
        <w:t xml:space="preserve">Объём наличных денежных средств, находящихся в обращении вне касс кредитных организаций, увеличился на </w:t>
      </w:r>
      <w:r>
        <w:rPr>
          <w:rFonts w:ascii="Times New Roman" w:hAnsi="Times New Roman" w:cs="Times New Roman"/>
          <w:sz w:val="24"/>
          <w:szCs w:val="24"/>
        </w:rPr>
        <w:t>8</w:t>
      </w:r>
      <w:r w:rsidRPr="001565E0">
        <w:rPr>
          <w:rFonts w:ascii="Times New Roman" w:hAnsi="Times New Roman" w:cs="Times New Roman"/>
          <w:sz w:val="24"/>
          <w:szCs w:val="24"/>
        </w:rPr>
        <w:t>,</w:t>
      </w:r>
      <w:r>
        <w:rPr>
          <w:rFonts w:ascii="Times New Roman" w:hAnsi="Times New Roman" w:cs="Times New Roman"/>
          <w:sz w:val="24"/>
          <w:szCs w:val="24"/>
        </w:rPr>
        <w:t>6</w:t>
      </w:r>
      <w:r w:rsidRPr="001565E0">
        <w:rPr>
          <w:rFonts w:ascii="Times New Roman" w:hAnsi="Times New Roman" w:cs="Times New Roman"/>
          <w:sz w:val="24"/>
          <w:szCs w:val="24"/>
        </w:rPr>
        <w:t>% (+1</w:t>
      </w:r>
      <w:r>
        <w:rPr>
          <w:rFonts w:ascii="Times New Roman" w:hAnsi="Times New Roman" w:cs="Times New Roman"/>
          <w:sz w:val="24"/>
          <w:szCs w:val="24"/>
        </w:rPr>
        <w:t>01</w:t>
      </w:r>
      <w:r w:rsidRPr="001565E0">
        <w:rPr>
          <w:rFonts w:ascii="Times New Roman" w:hAnsi="Times New Roman" w:cs="Times New Roman"/>
          <w:sz w:val="24"/>
          <w:szCs w:val="24"/>
        </w:rPr>
        <w:t>,</w:t>
      </w:r>
      <w:r>
        <w:rPr>
          <w:rFonts w:ascii="Times New Roman" w:hAnsi="Times New Roman" w:cs="Times New Roman"/>
          <w:sz w:val="24"/>
          <w:szCs w:val="24"/>
        </w:rPr>
        <w:t>7</w:t>
      </w:r>
      <w:r w:rsidRPr="001565E0">
        <w:rPr>
          <w:rFonts w:ascii="Times New Roman" w:hAnsi="Times New Roman" w:cs="Times New Roman"/>
          <w:sz w:val="24"/>
          <w:szCs w:val="24"/>
        </w:rPr>
        <w:t xml:space="preserve"> млн руб.), до 1 </w:t>
      </w:r>
      <w:r>
        <w:rPr>
          <w:rFonts w:ascii="Times New Roman" w:hAnsi="Times New Roman" w:cs="Times New Roman"/>
          <w:sz w:val="24"/>
          <w:szCs w:val="24"/>
        </w:rPr>
        <w:t>279</w:t>
      </w:r>
      <w:r w:rsidRPr="001565E0">
        <w:rPr>
          <w:rFonts w:ascii="Times New Roman" w:hAnsi="Times New Roman" w:cs="Times New Roman"/>
          <w:sz w:val="24"/>
          <w:szCs w:val="24"/>
        </w:rPr>
        <w:t>,</w:t>
      </w:r>
      <w:r>
        <w:rPr>
          <w:rFonts w:ascii="Times New Roman" w:hAnsi="Times New Roman" w:cs="Times New Roman"/>
          <w:sz w:val="24"/>
          <w:szCs w:val="24"/>
        </w:rPr>
        <w:t>8</w:t>
      </w:r>
      <w:r w:rsidRPr="001565E0">
        <w:rPr>
          <w:rFonts w:ascii="Times New Roman" w:hAnsi="Times New Roman" w:cs="Times New Roman"/>
          <w:sz w:val="24"/>
          <w:szCs w:val="24"/>
        </w:rPr>
        <w:t xml:space="preserve"> млн руб. Внутригодовая динамика показателя характеризовалась умеренными колебаниями с повышением в конце года </w:t>
      </w:r>
      <w:r>
        <w:rPr>
          <w:rFonts w:ascii="Times New Roman" w:hAnsi="Times New Roman" w:cs="Times New Roman"/>
          <w:sz w:val="24"/>
          <w:szCs w:val="24"/>
        </w:rPr>
        <w:t>по причине осуществления крупных</w:t>
      </w:r>
      <w:r w:rsidRPr="001565E0">
        <w:rPr>
          <w:rFonts w:ascii="Times New Roman" w:hAnsi="Times New Roman" w:cs="Times New Roman"/>
          <w:sz w:val="24"/>
          <w:szCs w:val="24"/>
        </w:rPr>
        <w:t xml:space="preserve"> </w:t>
      </w:r>
      <w:r>
        <w:rPr>
          <w:rFonts w:ascii="Times New Roman" w:hAnsi="Times New Roman" w:cs="Times New Roman"/>
          <w:sz w:val="24"/>
          <w:szCs w:val="24"/>
        </w:rPr>
        <w:t>единовременных</w:t>
      </w:r>
      <w:r w:rsidRPr="001565E0">
        <w:rPr>
          <w:rFonts w:ascii="Times New Roman" w:hAnsi="Times New Roman" w:cs="Times New Roman"/>
          <w:sz w:val="24"/>
          <w:szCs w:val="24"/>
        </w:rPr>
        <w:t xml:space="preserve"> выплат социального характера из средств гуманитарной помощи. При этом уже в январе 202</w:t>
      </w:r>
      <w:r>
        <w:rPr>
          <w:rFonts w:ascii="Times New Roman" w:hAnsi="Times New Roman" w:cs="Times New Roman"/>
          <w:sz w:val="24"/>
          <w:szCs w:val="24"/>
        </w:rPr>
        <w:t>1</w:t>
      </w:r>
      <w:r w:rsidRPr="001565E0">
        <w:rPr>
          <w:rFonts w:ascii="Times New Roman" w:hAnsi="Times New Roman" w:cs="Times New Roman"/>
          <w:sz w:val="24"/>
          <w:szCs w:val="24"/>
        </w:rPr>
        <w:t xml:space="preserve"> года невостребованная в обороте денежная наличность вернулась в кассы кредитных организаций и Приднестровского республиканского банка, вследствие чего объём данного денежного агрегата сократился на </w:t>
      </w:r>
      <w:r>
        <w:rPr>
          <w:rFonts w:ascii="Times New Roman" w:hAnsi="Times New Roman" w:cs="Times New Roman"/>
          <w:sz w:val="24"/>
          <w:szCs w:val="24"/>
        </w:rPr>
        <w:t>64</w:t>
      </w:r>
      <w:r w:rsidRPr="00370CD1">
        <w:rPr>
          <w:rFonts w:ascii="Times New Roman" w:hAnsi="Times New Roman" w:cs="Times New Roman"/>
          <w:sz w:val="24"/>
          <w:szCs w:val="24"/>
        </w:rPr>
        <w:t>,</w:t>
      </w:r>
      <w:r>
        <w:rPr>
          <w:rFonts w:ascii="Times New Roman" w:hAnsi="Times New Roman" w:cs="Times New Roman"/>
          <w:sz w:val="24"/>
          <w:szCs w:val="24"/>
        </w:rPr>
        <w:t>2</w:t>
      </w:r>
      <w:r w:rsidRPr="001565E0">
        <w:rPr>
          <w:rFonts w:ascii="Times New Roman" w:hAnsi="Times New Roman" w:cs="Times New Roman"/>
          <w:sz w:val="24"/>
          <w:szCs w:val="24"/>
        </w:rPr>
        <w:t xml:space="preserve"> млн руб.</w:t>
      </w:r>
    </w:p>
    <w:p w14:paraId="73F256D1" w14:textId="77777777" w:rsidR="00684192" w:rsidRPr="008A651D" w:rsidRDefault="00684192" w:rsidP="00683E52">
      <w:pPr>
        <w:spacing w:before="120" w:after="120" w:line="240" w:lineRule="auto"/>
        <w:ind w:firstLine="425"/>
        <w:jc w:val="right"/>
        <w:rPr>
          <w:rFonts w:ascii="Times New Roman" w:hAnsi="Times New Roman" w:cs="Times New Roman"/>
          <w:b/>
          <w:i/>
          <w:color w:val="000000"/>
          <w:sz w:val="24"/>
          <w:szCs w:val="22"/>
        </w:rPr>
      </w:pPr>
      <w:r w:rsidRPr="008A651D">
        <w:rPr>
          <w:rFonts w:ascii="Times New Roman" w:hAnsi="Times New Roman" w:cs="Times New Roman"/>
          <w:b/>
          <w:i/>
          <w:color w:val="000000"/>
          <w:sz w:val="24"/>
          <w:szCs w:val="22"/>
        </w:rPr>
        <w:t>Таблица 1.6</w:t>
      </w:r>
    </w:p>
    <w:p w14:paraId="32F97F6C" w14:textId="77777777" w:rsidR="00684192" w:rsidRDefault="00684192" w:rsidP="00683E52">
      <w:pPr>
        <w:spacing w:before="0" w:after="120" w:line="240" w:lineRule="auto"/>
        <w:jc w:val="center"/>
        <w:rPr>
          <w:rFonts w:ascii="Times New Roman" w:hAnsi="Times New Roman" w:cs="Times New Roman"/>
          <w:b/>
          <w:i/>
          <w:color w:val="000000"/>
          <w:sz w:val="24"/>
          <w:szCs w:val="22"/>
        </w:rPr>
      </w:pPr>
      <w:r w:rsidRPr="008A651D">
        <w:rPr>
          <w:rFonts w:ascii="Times New Roman" w:hAnsi="Times New Roman" w:cs="Times New Roman"/>
          <w:b/>
          <w:i/>
          <w:color w:val="000000"/>
          <w:sz w:val="24"/>
          <w:szCs w:val="22"/>
        </w:rPr>
        <w:t xml:space="preserve">Структура и динамика денежного предложения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1197"/>
        <w:gridCol w:w="1054"/>
        <w:gridCol w:w="1199"/>
        <w:gridCol w:w="1053"/>
        <w:gridCol w:w="886"/>
      </w:tblGrid>
      <w:tr w:rsidR="00684192" w:rsidRPr="008A651D" w14:paraId="02BB8D44" w14:textId="77777777" w:rsidTr="00596112">
        <w:trPr>
          <w:cantSplit/>
          <w:trHeight w:val="75"/>
        </w:trPr>
        <w:tc>
          <w:tcPr>
            <w:tcW w:w="4250" w:type="dxa"/>
            <w:vMerge w:val="restart"/>
            <w:shd w:val="clear" w:color="auto" w:fill="C0C0C0"/>
          </w:tcPr>
          <w:p w14:paraId="3977D62B" w14:textId="77777777" w:rsidR="00684192" w:rsidRPr="008A651D" w:rsidRDefault="00684192" w:rsidP="008A651D">
            <w:pPr>
              <w:spacing w:before="0" w:after="0" w:line="240" w:lineRule="auto"/>
              <w:ind w:right="-1"/>
              <w:jc w:val="both"/>
              <w:rPr>
                <w:rFonts w:ascii="Times New Roman" w:hAnsi="Times New Roman" w:cs="Times New Roman"/>
                <w:color w:val="000000"/>
                <w:sz w:val="22"/>
                <w:szCs w:val="22"/>
              </w:rPr>
            </w:pPr>
          </w:p>
        </w:tc>
        <w:tc>
          <w:tcPr>
            <w:tcW w:w="2251" w:type="dxa"/>
            <w:gridSpan w:val="2"/>
            <w:shd w:val="clear" w:color="auto" w:fill="C0C0C0"/>
            <w:vAlign w:val="bottom"/>
          </w:tcPr>
          <w:p w14:paraId="455FF707" w14:textId="1C517DB7" w:rsidR="00684192" w:rsidRPr="008A651D" w:rsidRDefault="00684192" w:rsidP="004A656B">
            <w:pPr>
              <w:spacing w:before="0" w:after="0" w:line="240" w:lineRule="auto"/>
              <w:ind w:left="-107" w:right="-111"/>
              <w:jc w:val="center"/>
              <w:rPr>
                <w:rFonts w:ascii="Times New Roman" w:hAnsi="Times New Roman" w:cs="Times New Roman"/>
                <w:sz w:val="22"/>
                <w:szCs w:val="22"/>
              </w:rPr>
            </w:pPr>
            <w:r w:rsidRPr="008A651D">
              <w:rPr>
                <w:rFonts w:ascii="Times New Roman" w:hAnsi="Times New Roman" w:cs="Times New Roman"/>
                <w:sz w:val="22"/>
                <w:szCs w:val="22"/>
              </w:rPr>
              <w:t>на 01.01.20</w:t>
            </w:r>
            <w:r w:rsidR="004A656B">
              <w:rPr>
                <w:rFonts w:ascii="Times New Roman" w:hAnsi="Times New Roman" w:cs="Times New Roman"/>
                <w:sz w:val="22"/>
                <w:szCs w:val="22"/>
              </w:rPr>
              <w:t>20</w:t>
            </w:r>
          </w:p>
        </w:tc>
        <w:tc>
          <w:tcPr>
            <w:tcW w:w="2252" w:type="dxa"/>
            <w:gridSpan w:val="2"/>
            <w:shd w:val="clear" w:color="auto" w:fill="C0C0C0"/>
            <w:vAlign w:val="bottom"/>
          </w:tcPr>
          <w:p w14:paraId="0D94A55B" w14:textId="739CD175" w:rsidR="00684192" w:rsidRPr="008A651D" w:rsidRDefault="00684192" w:rsidP="004A656B">
            <w:pPr>
              <w:spacing w:before="0" w:after="0" w:line="240" w:lineRule="auto"/>
              <w:ind w:left="-107" w:right="-111"/>
              <w:jc w:val="center"/>
              <w:rPr>
                <w:rFonts w:ascii="Times New Roman" w:hAnsi="Times New Roman" w:cs="Times New Roman"/>
                <w:sz w:val="22"/>
                <w:szCs w:val="22"/>
              </w:rPr>
            </w:pPr>
            <w:r w:rsidRPr="008A651D">
              <w:rPr>
                <w:rFonts w:ascii="Times New Roman" w:hAnsi="Times New Roman" w:cs="Times New Roman"/>
                <w:sz w:val="22"/>
                <w:szCs w:val="22"/>
              </w:rPr>
              <w:t>на 01.01.202</w:t>
            </w:r>
            <w:r w:rsidR="004A656B">
              <w:rPr>
                <w:rFonts w:ascii="Times New Roman" w:hAnsi="Times New Roman" w:cs="Times New Roman"/>
                <w:sz w:val="22"/>
                <w:szCs w:val="22"/>
              </w:rPr>
              <w:t>1</w:t>
            </w:r>
          </w:p>
        </w:tc>
        <w:tc>
          <w:tcPr>
            <w:tcW w:w="886" w:type="dxa"/>
            <w:vMerge w:val="restart"/>
            <w:shd w:val="clear" w:color="auto" w:fill="C0C0C0"/>
          </w:tcPr>
          <w:p w14:paraId="1A98576C" w14:textId="77777777" w:rsidR="00684192" w:rsidRPr="008A651D" w:rsidRDefault="00684192" w:rsidP="008A651D">
            <w:pPr>
              <w:spacing w:before="0" w:after="0" w:line="240" w:lineRule="auto"/>
              <w:ind w:left="-108" w:right="-108"/>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темп</w:t>
            </w:r>
          </w:p>
          <w:p w14:paraId="615E8906" w14:textId="77777777" w:rsidR="00684192" w:rsidRPr="008A651D" w:rsidRDefault="00684192" w:rsidP="008A651D">
            <w:pPr>
              <w:spacing w:before="0" w:after="0" w:line="240" w:lineRule="auto"/>
              <w:ind w:left="-108" w:right="-108"/>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роста, %</w:t>
            </w:r>
          </w:p>
        </w:tc>
      </w:tr>
      <w:tr w:rsidR="00684192" w:rsidRPr="008A651D" w14:paraId="747D35A3" w14:textId="77777777" w:rsidTr="00596112">
        <w:trPr>
          <w:cantSplit/>
          <w:trHeight w:val="70"/>
        </w:trPr>
        <w:tc>
          <w:tcPr>
            <w:tcW w:w="4250" w:type="dxa"/>
            <w:vMerge/>
          </w:tcPr>
          <w:p w14:paraId="70271443" w14:textId="77777777" w:rsidR="00684192" w:rsidRPr="008A651D" w:rsidRDefault="00684192" w:rsidP="008A651D">
            <w:pPr>
              <w:spacing w:before="0" w:after="0" w:line="240" w:lineRule="auto"/>
              <w:ind w:right="-1"/>
              <w:jc w:val="both"/>
              <w:rPr>
                <w:rFonts w:ascii="Times New Roman" w:hAnsi="Times New Roman" w:cs="Times New Roman"/>
                <w:color w:val="000000"/>
                <w:sz w:val="22"/>
                <w:szCs w:val="22"/>
              </w:rPr>
            </w:pPr>
          </w:p>
        </w:tc>
        <w:tc>
          <w:tcPr>
            <w:tcW w:w="1197" w:type="dxa"/>
            <w:shd w:val="clear" w:color="auto" w:fill="C0C0C0"/>
          </w:tcPr>
          <w:p w14:paraId="26412EC7" w14:textId="77777777" w:rsidR="00684192" w:rsidRPr="008A651D" w:rsidRDefault="00684192" w:rsidP="008A651D">
            <w:pPr>
              <w:spacing w:before="0" w:after="0" w:line="240" w:lineRule="auto"/>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млн руб.</w:t>
            </w:r>
          </w:p>
        </w:tc>
        <w:tc>
          <w:tcPr>
            <w:tcW w:w="1054" w:type="dxa"/>
            <w:shd w:val="clear" w:color="auto" w:fill="C0C0C0"/>
          </w:tcPr>
          <w:p w14:paraId="2DAC4A02" w14:textId="77777777" w:rsidR="00684192" w:rsidRPr="008A651D" w:rsidRDefault="00684192" w:rsidP="008A651D">
            <w:pPr>
              <w:keepNext/>
              <w:spacing w:before="0" w:after="0" w:line="240" w:lineRule="auto"/>
              <w:ind w:left="-117" w:right="-108"/>
              <w:jc w:val="center"/>
              <w:outlineLvl w:val="2"/>
              <w:rPr>
                <w:rFonts w:ascii="Times New Roman" w:hAnsi="Times New Roman" w:cs="Times New Roman"/>
                <w:color w:val="000000"/>
                <w:sz w:val="22"/>
                <w:szCs w:val="22"/>
              </w:rPr>
            </w:pPr>
            <w:r w:rsidRPr="008A651D">
              <w:rPr>
                <w:rFonts w:ascii="Times New Roman" w:hAnsi="Times New Roman" w:cs="Times New Roman"/>
                <w:color w:val="000000"/>
                <w:sz w:val="22"/>
                <w:szCs w:val="22"/>
              </w:rPr>
              <w:t>уд. вес, %</w:t>
            </w:r>
          </w:p>
        </w:tc>
        <w:tc>
          <w:tcPr>
            <w:tcW w:w="1199" w:type="dxa"/>
            <w:tcBorders>
              <w:bottom w:val="double" w:sz="4" w:space="0" w:color="auto"/>
            </w:tcBorders>
            <w:shd w:val="clear" w:color="auto" w:fill="C0C0C0"/>
          </w:tcPr>
          <w:p w14:paraId="459FEDAB" w14:textId="77777777" w:rsidR="00684192" w:rsidRPr="008A651D" w:rsidRDefault="00684192" w:rsidP="008A651D">
            <w:pPr>
              <w:spacing w:before="0" w:after="0" w:line="240" w:lineRule="auto"/>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млн руб.</w:t>
            </w:r>
          </w:p>
        </w:tc>
        <w:tc>
          <w:tcPr>
            <w:tcW w:w="1053" w:type="dxa"/>
            <w:shd w:val="clear" w:color="auto" w:fill="C0C0C0"/>
          </w:tcPr>
          <w:p w14:paraId="236D82C7" w14:textId="77777777" w:rsidR="00684192" w:rsidRPr="008A651D" w:rsidRDefault="00684192" w:rsidP="008A651D">
            <w:pPr>
              <w:keepNext/>
              <w:spacing w:before="0" w:after="0" w:line="240" w:lineRule="auto"/>
              <w:ind w:left="-117" w:right="-108"/>
              <w:jc w:val="center"/>
              <w:outlineLvl w:val="2"/>
              <w:rPr>
                <w:rFonts w:ascii="Times New Roman" w:hAnsi="Times New Roman" w:cs="Times New Roman"/>
                <w:color w:val="000000"/>
                <w:sz w:val="22"/>
                <w:szCs w:val="22"/>
              </w:rPr>
            </w:pPr>
            <w:r w:rsidRPr="008A651D">
              <w:rPr>
                <w:rFonts w:ascii="Times New Roman" w:hAnsi="Times New Roman" w:cs="Times New Roman"/>
                <w:color w:val="000000"/>
                <w:sz w:val="22"/>
                <w:szCs w:val="22"/>
              </w:rPr>
              <w:t>уд. вес, %</w:t>
            </w:r>
          </w:p>
        </w:tc>
        <w:tc>
          <w:tcPr>
            <w:tcW w:w="886" w:type="dxa"/>
            <w:vMerge/>
            <w:shd w:val="clear" w:color="auto" w:fill="C0C0C0"/>
          </w:tcPr>
          <w:p w14:paraId="3B3ED4F9" w14:textId="77777777" w:rsidR="00684192" w:rsidRPr="008A651D" w:rsidRDefault="00684192" w:rsidP="008A651D">
            <w:pPr>
              <w:keepNext/>
              <w:spacing w:before="0" w:after="0" w:line="240" w:lineRule="auto"/>
              <w:ind w:left="-91" w:right="-94"/>
              <w:jc w:val="center"/>
              <w:outlineLvl w:val="2"/>
              <w:rPr>
                <w:rFonts w:ascii="Times New Roman" w:hAnsi="Times New Roman" w:cs="Times New Roman"/>
                <w:color w:val="000000"/>
                <w:sz w:val="22"/>
                <w:szCs w:val="22"/>
              </w:rPr>
            </w:pPr>
          </w:p>
        </w:tc>
      </w:tr>
      <w:tr w:rsidR="004A656B" w:rsidRPr="008A651D" w14:paraId="0F4F1E8F" w14:textId="77777777" w:rsidTr="00596112">
        <w:trPr>
          <w:cantSplit/>
          <w:trHeight w:val="50"/>
        </w:trPr>
        <w:tc>
          <w:tcPr>
            <w:tcW w:w="4250" w:type="dxa"/>
            <w:tcBorders>
              <w:top w:val="double" w:sz="4" w:space="0" w:color="auto"/>
              <w:bottom w:val="single" w:sz="4" w:space="0" w:color="auto"/>
            </w:tcBorders>
            <w:shd w:val="clear" w:color="auto" w:fill="E6E6E6"/>
          </w:tcPr>
          <w:p w14:paraId="027F9E9D" w14:textId="77777777" w:rsidR="004A656B" w:rsidRPr="008A651D" w:rsidRDefault="004A656B" w:rsidP="004A656B">
            <w:pPr>
              <w:keepNext/>
              <w:spacing w:before="0" w:after="0" w:line="240" w:lineRule="auto"/>
              <w:ind w:right="-1"/>
              <w:outlineLvl w:val="2"/>
              <w:rPr>
                <w:rFonts w:ascii="Times New Roman" w:hAnsi="Times New Roman" w:cs="Times New Roman"/>
                <w:color w:val="000000"/>
                <w:sz w:val="22"/>
                <w:szCs w:val="22"/>
              </w:rPr>
            </w:pPr>
            <w:r w:rsidRPr="008A651D">
              <w:rPr>
                <w:rFonts w:ascii="Times New Roman" w:hAnsi="Times New Roman" w:cs="Times New Roman"/>
                <w:color w:val="000000"/>
                <w:sz w:val="22"/>
                <w:szCs w:val="22"/>
              </w:rPr>
              <w:t>Полная денежная масса (М3)</w:t>
            </w:r>
          </w:p>
        </w:tc>
        <w:tc>
          <w:tcPr>
            <w:tcW w:w="1197" w:type="dxa"/>
            <w:tcBorders>
              <w:top w:val="double" w:sz="4" w:space="0" w:color="auto"/>
              <w:bottom w:val="single" w:sz="4" w:space="0" w:color="auto"/>
            </w:tcBorders>
            <w:shd w:val="clear" w:color="auto" w:fill="E6E6E6"/>
            <w:vAlign w:val="bottom"/>
          </w:tcPr>
          <w:p w14:paraId="74F48BD4" w14:textId="16004853"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9 319,2</w:t>
            </w:r>
          </w:p>
        </w:tc>
        <w:tc>
          <w:tcPr>
            <w:tcW w:w="1054" w:type="dxa"/>
            <w:tcBorders>
              <w:top w:val="double" w:sz="4" w:space="0" w:color="auto"/>
              <w:bottom w:val="single" w:sz="4" w:space="0" w:color="auto"/>
            </w:tcBorders>
            <w:shd w:val="clear" w:color="auto" w:fill="E6E6E6"/>
            <w:vAlign w:val="bottom"/>
          </w:tcPr>
          <w:p w14:paraId="64A536F5" w14:textId="634640BC"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100,0</w:t>
            </w:r>
          </w:p>
        </w:tc>
        <w:tc>
          <w:tcPr>
            <w:tcW w:w="1199" w:type="dxa"/>
            <w:tcBorders>
              <w:top w:val="double" w:sz="4" w:space="0" w:color="auto"/>
              <w:bottom w:val="single" w:sz="4" w:space="0" w:color="auto"/>
            </w:tcBorders>
            <w:shd w:val="clear" w:color="auto" w:fill="E6E6E6"/>
            <w:vAlign w:val="bottom"/>
          </w:tcPr>
          <w:p w14:paraId="313A37FC" w14:textId="276CD9D8" w:rsidR="004A656B" w:rsidRPr="008A651D" w:rsidRDefault="004A656B" w:rsidP="004A656B">
            <w:pPr>
              <w:spacing w:before="0" w:after="0" w:line="240" w:lineRule="auto"/>
              <w:ind w:right="170"/>
              <w:jc w:val="right"/>
              <w:rPr>
                <w:rFonts w:ascii="Times New Roman" w:hAnsi="Times New Roman" w:cs="Times New Roman"/>
                <w:sz w:val="22"/>
                <w:szCs w:val="22"/>
              </w:rPr>
            </w:pPr>
            <w:r>
              <w:rPr>
                <w:rFonts w:ascii="Times New Roman" w:hAnsi="Times New Roman" w:cs="Times New Roman"/>
                <w:sz w:val="22"/>
                <w:szCs w:val="22"/>
              </w:rPr>
              <w:t>10</w:t>
            </w:r>
            <w:r w:rsidRPr="008A651D">
              <w:rPr>
                <w:rFonts w:ascii="Times New Roman" w:hAnsi="Times New Roman" w:cs="Times New Roman"/>
                <w:sz w:val="22"/>
                <w:szCs w:val="22"/>
              </w:rPr>
              <w:t xml:space="preserve"> </w:t>
            </w:r>
            <w:r>
              <w:rPr>
                <w:rFonts w:ascii="Times New Roman" w:hAnsi="Times New Roman" w:cs="Times New Roman"/>
                <w:sz w:val="22"/>
                <w:szCs w:val="22"/>
              </w:rPr>
              <w:t>456</w:t>
            </w:r>
            <w:r w:rsidRPr="008A651D">
              <w:rPr>
                <w:rFonts w:ascii="Times New Roman" w:hAnsi="Times New Roman" w:cs="Times New Roman"/>
                <w:sz w:val="22"/>
                <w:szCs w:val="22"/>
              </w:rPr>
              <w:t>,</w:t>
            </w:r>
            <w:r>
              <w:rPr>
                <w:rFonts w:ascii="Times New Roman" w:hAnsi="Times New Roman" w:cs="Times New Roman"/>
                <w:sz w:val="22"/>
                <w:szCs w:val="22"/>
              </w:rPr>
              <w:t>0</w:t>
            </w:r>
          </w:p>
        </w:tc>
        <w:tc>
          <w:tcPr>
            <w:tcW w:w="1053" w:type="dxa"/>
            <w:tcBorders>
              <w:top w:val="double" w:sz="4" w:space="0" w:color="auto"/>
              <w:bottom w:val="single" w:sz="4" w:space="0" w:color="auto"/>
            </w:tcBorders>
            <w:shd w:val="clear" w:color="auto" w:fill="E6E6E6"/>
            <w:vAlign w:val="bottom"/>
          </w:tcPr>
          <w:p w14:paraId="2182965D" w14:textId="77777777"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100,0</w:t>
            </w:r>
          </w:p>
        </w:tc>
        <w:tc>
          <w:tcPr>
            <w:tcW w:w="886" w:type="dxa"/>
            <w:tcBorders>
              <w:top w:val="double" w:sz="4" w:space="0" w:color="auto"/>
              <w:bottom w:val="single" w:sz="4" w:space="0" w:color="auto"/>
            </w:tcBorders>
            <w:shd w:val="clear" w:color="auto" w:fill="E6E6E6"/>
            <w:vAlign w:val="bottom"/>
          </w:tcPr>
          <w:p w14:paraId="29CF4321" w14:textId="662C939E"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11</w:t>
            </w:r>
            <w:r>
              <w:rPr>
                <w:rFonts w:ascii="Times New Roman" w:hAnsi="Times New Roman" w:cs="Times New Roman"/>
                <w:sz w:val="22"/>
                <w:szCs w:val="22"/>
              </w:rPr>
              <w:t>2,2</w:t>
            </w:r>
          </w:p>
        </w:tc>
      </w:tr>
      <w:tr w:rsidR="004A656B" w:rsidRPr="008A651D" w14:paraId="2EAFF42E" w14:textId="77777777" w:rsidTr="00596112">
        <w:trPr>
          <w:cantSplit/>
          <w:trHeight w:val="50"/>
        </w:trPr>
        <w:tc>
          <w:tcPr>
            <w:tcW w:w="4250" w:type="dxa"/>
            <w:tcBorders>
              <w:top w:val="single" w:sz="4" w:space="0" w:color="auto"/>
              <w:bottom w:val="nil"/>
            </w:tcBorders>
            <w:shd w:val="clear" w:color="auto" w:fill="E6E6E6"/>
          </w:tcPr>
          <w:p w14:paraId="6954180F" w14:textId="77777777" w:rsidR="004A656B" w:rsidRPr="008A651D" w:rsidRDefault="004A656B" w:rsidP="004A656B">
            <w:pPr>
              <w:keepNext/>
              <w:spacing w:before="0" w:after="0" w:line="240" w:lineRule="auto"/>
              <w:ind w:left="32" w:right="-1" w:firstLine="112"/>
              <w:outlineLvl w:val="2"/>
              <w:rPr>
                <w:rFonts w:ascii="Times New Roman" w:hAnsi="Times New Roman" w:cs="Times New Roman"/>
                <w:color w:val="000000"/>
                <w:sz w:val="22"/>
                <w:szCs w:val="22"/>
              </w:rPr>
            </w:pPr>
            <w:r w:rsidRPr="008A651D">
              <w:rPr>
                <w:rFonts w:ascii="Times New Roman" w:hAnsi="Times New Roman" w:cs="Times New Roman"/>
                <w:color w:val="000000"/>
                <w:sz w:val="22"/>
                <w:szCs w:val="22"/>
              </w:rPr>
              <w:t>в том числе:</w:t>
            </w:r>
          </w:p>
        </w:tc>
        <w:tc>
          <w:tcPr>
            <w:tcW w:w="1197" w:type="dxa"/>
            <w:tcBorders>
              <w:top w:val="single" w:sz="4" w:space="0" w:color="auto"/>
              <w:bottom w:val="nil"/>
            </w:tcBorders>
            <w:shd w:val="clear" w:color="auto" w:fill="E6E6E6"/>
            <w:vAlign w:val="bottom"/>
          </w:tcPr>
          <w:p w14:paraId="5A2BD58F" w14:textId="21424780"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w:t>
            </w:r>
          </w:p>
        </w:tc>
        <w:tc>
          <w:tcPr>
            <w:tcW w:w="1054" w:type="dxa"/>
            <w:tcBorders>
              <w:top w:val="single" w:sz="4" w:space="0" w:color="auto"/>
              <w:bottom w:val="nil"/>
            </w:tcBorders>
            <w:shd w:val="clear" w:color="auto" w:fill="E6E6E6"/>
            <w:vAlign w:val="bottom"/>
          </w:tcPr>
          <w:p w14:paraId="5EACAE2E" w14:textId="357C662D"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w:t>
            </w:r>
          </w:p>
        </w:tc>
        <w:tc>
          <w:tcPr>
            <w:tcW w:w="1199" w:type="dxa"/>
            <w:tcBorders>
              <w:top w:val="single" w:sz="4" w:space="0" w:color="auto"/>
              <w:bottom w:val="nil"/>
            </w:tcBorders>
            <w:shd w:val="clear" w:color="auto" w:fill="E6E6E6"/>
            <w:vAlign w:val="bottom"/>
          </w:tcPr>
          <w:p w14:paraId="21A315BF" w14:textId="77777777"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w:t>
            </w:r>
          </w:p>
        </w:tc>
        <w:tc>
          <w:tcPr>
            <w:tcW w:w="1053" w:type="dxa"/>
            <w:tcBorders>
              <w:top w:val="single" w:sz="4" w:space="0" w:color="auto"/>
              <w:bottom w:val="nil"/>
            </w:tcBorders>
            <w:shd w:val="clear" w:color="auto" w:fill="E6E6E6"/>
            <w:vAlign w:val="bottom"/>
          </w:tcPr>
          <w:p w14:paraId="0885FD9B" w14:textId="77777777"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w:t>
            </w:r>
          </w:p>
        </w:tc>
        <w:tc>
          <w:tcPr>
            <w:tcW w:w="886" w:type="dxa"/>
            <w:tcBorders>
              <w:top w:val="single" w:sz="4" w:space="0" w:color="auto"/>
              <w:bottom w:val="nil"/>
            </w:tcBorders>
            <w:shd w:val="clear" w:color="auto" w:fill="E6E6E6"/>
            <w:vAlign w:val="bottom"/>
          </w:tcPr>
          <w:p w14:paraId="175EE626" w14:textId="77777777"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w:t>
            </w:r>
          </w:p>
        </w:tc>
      </w:tr>
      <w:tr w:rsidR="004A656B" w:rsidRPr="008A651D" w14:paraId="2B2E7564" w14:textId="77777777" w:rsidTr="00596112">
        <w:trPr>
          <w:cantSplit/>
          <w:trHeight w:val="77"/>
        </w:trPr>
        <w:tc>
          <w:tcPr>
            <w:tcW w:w="4250" w:type="dxa"/>
            <w:tcBorders>
              <w:top w:val="nil"/>
            </w:tcBorders>
            <w:shd w:val="clear" w:color="auto" w:fill="E6E6E6"/>
          </w:tcPr>
          <w:p w14:paraId="2F376147" w14:textId="77777777" w:rsidR="004A656B" w:rsidRPr="008A651D" w:rsidRDefault="004A656B" w:rsidP="004A656B">
            <w:pPr>
              <w:keepNext/>
              <w:spacing w:before="0" w:after="0" w:line="240" w:lineRule="auto"/>
              <w:ind w:left="116" w:right="-108" w:firstLine="12"/>
              <w:outlineLvl w:val="2"/>
              <w:rPr>
                <w:rFonts w:ascii="Times New Roman" w:hAnsi="Times New Roman" w:cs="Times New Roman"/>
                <w:color w:val="000000"/>
                <w:sz w:val="22"/>
                <w:szCs w:val="22"/>
              </w:rPr>
            </w:pPr>
            <w:r w:rsidRPr="008A651D">
              <w:rPr>
                <w:rFonts w:ascii="Times New Roman" w:hAnsi="Times New Roman" w:cs="Times New Roman"/>
                <w:color w:val="000000"/>
                <w:sz w:val="22"/>
                <w:szCs w:val="22"/>
              </w:rPr>
              <w:t>национальная денежная масса (</w:t>
            </w:r>
            <w:bookmarkStart w:id="1" w:name="OLE_LINK5"/>
            <w:bookmarkStart w:id="2" w:name="OLE_LINK6"/>
            <w:r w:rsidRPr="008A651D">
              <w:rPr>
                <w:rFonts w:ascii="Times New Roman" w:hAnsi="Times New Roman" w:cs="Times New Roman"/>
                <w:color w:val="000000"/>
                <w:sz w:val="22"/>
                <w:szCs w:val="22"/>
              </w:rPr>
              <w:t>М2х</w:t>
            </w:r>
            <w:bookmarkEnd w:id="1"/>
            <w:bookmarkEnd w:id="2"/>
            <w:r w:rsidRPr="008A651D">
              <w:rPr>
                <w:rFonts w:ascii="Times New Roman" w:hAnsi="Times New Roman" w:cs="Times New Roman"/>
                <w:color w:val="000000"/>
                <w:sz w:val="22"/>
                <w:szCs w:val="22"/>
              </w:rPr>
              <w:t>)</w:t>
            </w:r>
          </w:p>
        </w:tc>
        <w:tc>
          <w:tcPr>
            <w:tcW w:w="1197" w:type="dxa"/>
            <w:tcBorders>
              <w:top w:val="nil"/>
            </w:tcBorders>
            <w:shd w:val="clear" w:color="auto" w:fill="E6E6E6"/>
            <w:vAlign w:val="bottom"/>
          </w:tcPr>
          <w:p w14:paraId="7A9BAF17" w14:textId="4632D9D9"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3 439,6</w:t>
            </w:r>
          </w:p>
        </w:tc>
        <w:tc>
          <w:tcPr>
            <w:tcW w:w="1054" w:type="dxa"/>
            <w:tcBorders>
              <w:top w:val="nil"/>
            </w:tcBorders>
            <w:shd w:val="clear" w:color="auto" w:fill="E6E6E6"/>
            <w:vAlign w:val="bottom"/>
          </w:tcPr>
          <w:p w14:paraId="4198FE71" w14:textId="44B7590D"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36,9</w:t>
            </w:r>
          </w:p>
        </w:tc>
        <w:tc>
          <w:tcPr>
            <w:tcW w:w="1199" w:type="dxa"/>
            <w:tcBorders>
              <w:top w:val="nil"/>
            </w:tcBorders>
            <w:shd w:val="clear" w:color="auto" w:fill="E6E6E6"/>
            <w:vAlign w:val="bottom"/>
          </w:tcPr>
          <w:p w14:paraId="2565FCE9" w14:textId="5D134A4B"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3 </w:t>
            </w:r>
            <w:r>
              <w:rPr>
                <w:rFonts w:ascii="Times New Roman" w:hAnsi="Times New Roman" w:cs="Times New Roman"/>
                <w:sz w:val="22"/>
                <w:szCs w:val="22"/>
              </w:rPr>
              <w:t>658</w:t>
            </w:r>
            <w:r w:rsidRPr="008A651D">
              <w:rPr>
                <w:rFonts w:ascii="Times New Roman" w:hAnsi="Times New Roman" w:cs="Times New Roman"/>
                <w:sz w:val="22"/>
                <w:szCs w:val="22"/>
              </w:rPr>
              <w:t>,</w:t>
            </w:r>
            <w:r>
              <w:rPr>
                <w:rFonts w:ascii="Times New Roman" w:hAnsi="Times New Roman" w:cs="Times New Roman"/>
                <w:sz w:val="22"/>
                <w:szCs w:val="22"/>
              </w:rPr>
              <w:t>4</w:t>
            </w:r>
          </w:p>
        </w:tc>
        <w:tc>
          <w:tcPr>
            <w:tcW w:w="1053" w:type="dxa"/>
            <w:tcBorders>
              <w:top w:val="nil"/>
            </w:tcBorders>
            <w:shd w:val="clear" w:color="auto" w:fill="E6E6E6"/>
            <w:vAlign w:val="bottom"/>
          </w:tcPr>
          <w:p w14:paraId="54A4318A" w14:textId="0A585DD5"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3</w:t>
            </w:r>
            <w:r>
              <w:rPr>
                <w:rFonts w:ascii="Times New Roman" w:hAnsi="Times New Roman" w:cs="Times New Roman"/>
                <w:sz w:val="22"/>
                <w:szCs w:val="22"/>
              </w:rPr>
              <w:t>5</w:t>
            </w:r>
            <w:r w:rsidRPr="008A651D">
              <w:rPr>
                <w:rFonts w:ascii="Times New Roman" w:hAnsi="Times New Roman" w:cs="Times New Roman"/>
                <w:sz w:val="22"/>
                <w:szCs w:val="22"/>
              </w:rPr>
              <w:t>,</w:t>
            </w:r>
            <w:r>
              <w:rPr>
                <w:rFonts w:ascii="Times New Roman" w:hAnsi="Times New Roman" w:cs="Times New Roman"/>
                <w:sz w:val="22"/>
                <w:szCs w:val="22"/>
              </w:rPr>
              <w:t>0</w:t>
            </w:r>
          </w:p>
        </w:tc>
        <w:tc>
          <w:tcPr>
            <w:tcW w:w="886" w:type="dxa"/>
            <w:tcBorders>
              <w:top w:val="nil"/>
            </w:tcBorders>
            <w:shd w:val="clear" w:color="auto" w:fill="E6E6E6"/>
            <w:vAlign w:val="bottom"/>
          </w:tcPr>
          <w:p w14:paraId="3A0D4C22" w14:textId="7FC1E965"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1</w:t>
            </w:r>
            <w:r>
              <w:rPr>
                <w:rFonts w:ascii="Times New Roman" w:hAnsi="Times New Roman" w:cs="Times New Roman"/>
                <w:sz w:val="22"/>
                <w:szCs w:val="22"/>
              </w:rPr>
              <w:t>06</w:t>
            </w:r>
            <w:r w:rsidRPr="008A651D">
              <w:rPr>
                <w:rFonts w:ascii="Times New Roman" w:hAnsi="Times New Roman" w:cs="Times New Roman"/>
                <w:sz w:val="22"/>
                <w:szCs w:val="22"/>
              </w:rPr>
              <w:t>,</w:t>
            </w:r>
            <w:r>
              <w:rPr>
                <w:rFonts w:ascii="Times New Roman" w:hAnsi="Times New Roman" w:cs="Times New Roman"/>
                <w:sz w:val="22"/>
                <w:szCs w:val="22"/>
              </w:rPr>
              <w:t>4</w:t>
            </w:r>
          </w:p>
        </w:tc>
      </w:tr>
      <w:tr w:rsidR="004A656B" w:rsidRPr="008A651D" w14:paraId="26DE6C61" w14:textId="77777777" w:rsidTr="00596112">
        <w:trPr>
          <w:cantSplit/>
          <w:trHeight w:val="218"/>
        </w:trPr>
        <w:tc>
          <w:tcPr>
            <w:tcW w:w="4250" w:type="dxa"/>
            <w:tcBorders>
              <w:bottom w:val="single" w:sz="4" w:space="0" w:color="FFFFFF"/>
            </w:tcBorders>
          </w:tcPr>
          <w:p w14:paraId="305A4A48" w14:textId="77777777" w:rsidR="004A656B" w:rsidRPr="008A651D" w:rsidRDefault="004A656B" w:rsidP="004A656B">
            <w:pPr>
              <w:keepNext/>
              <w:tabs>
                <w:tab w:val="left" w:pos="612"/>
              </w:tabs>
              <w:spacing w:before="0" w:after="0" w:line="240" w:lineRule="auto"/>
              <w:ind w:left="252" w:right="-108"/>
              <w:outlineLvl w:val="2"/>
              <w:rPr>
                <w:rFonts w:ascii="Times New Roman" w:hAnsi="Times New Roman" w:cs="Times New Roman"/>
                <w:color w:val="000000"/>
                <w:sz w:val="22"/>
                <w:szCs w:val="22"/>
              </w:rPr>
            </w:pPr>
            <w:r w:rsidRPr="008A651D">
              <w:rPr>
                <w:rFonts w:ascii="Times New Roman" w:hAnsi="Times New Roman" w:cs="Times New Roman"/>
                <w:color w:val="000000"/>
                <w:sz w:val="22"/>
                <w:szCs w:val="22"/>
              </w:rPr>
              <w:t>в том числе</w:t>
            </w:r>
            <w:r w:rsidRPr="008A651D">
              <w:rPr>
                <w:rFonts w:ascii="Times New Roman" w:hAnsi="Times New Roman" w:cs="Times New Roman"/>
                <w:color w:val="000000"/>
                <w:sz w:val="22"/>
                <w:szCs w:val="22"/>
                <w:lang w:val="en-US"/>
              </w:rPr>
              <w:t>:</w:t>
            </w:r>
          </w:p>
        </w:tc>
        <w:tc>
          <w:tcPr>
            <w:tcW w:w="1197" w:type="dxa"/>
            <w:tcBorders>
              <w:bottom w:val="single" w:sz="4" w:space="0" w:color="FFFFFF"/>
            </w:tcBorders>
            <w:vAlign w:val="bottom"/>
          </w:tcPr>
          <w:p w14:paraId="12E0748A" w14:textId="5BE426EB"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w:t>
            </w:r>
          </w:p>
        </w:tc>
        <w:tc>
          <w:tcPr>
            <w:tcW w:w="1054" w:type="dxa"/>
            <w:tcBorders>
              <w:bottom w:val="single" w:sz="4" w:space="0" w:color="FFFFFF"/>
            </w:tcBorders>
            <w:vAlign w:val="bottom"/>
          </w:tcPr>
          <w:p w14:paraId="47E39771" w14:textId="77777777" w:rsidR="004A656B" w:rsidRPr="008A651D" w:rsidRDefault="004A656B" w:rsidP="004A656B">
            <w:pPr>
              <w:spacing w:before="0" w:after="0" w:line="240" w:lineRule="auto"/>
              <w:ind w:right="170"/>
              <w:jc w:val="right"/>
              <w:rPr>
                <w:rFonts w:ascii="Times New Roman" w:hAnsi="Times New Roman" w:cs="Times New Roman"/>
                <w:sz w:val="22"/>
                <w:szCs w:val="22"/>
              </w:rPr>
            </w:pPr>
          </w:p>
        </w:tc>
        <w:tc>
          <w:tcPr>
            <w:tcW w:w="1199" w:type="dxa"/>
            <w:tcBorders>
              <w:bottom w:val="single" w:sz="4" w:space="0" w:color="FFFFFF"/>
            </w:tcBorders>
            <w:vAlign w:val="bottom"/>
          </w:tcPr>
          <w:p w14:paraId="0135A491" w14:textId="77777777"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w:t>
            </w:r>
          </w:p>
        </w:tc>
        <w:tc>
          <w:tcPr>
            <w:tcW w:w="1053" w:type="dxa"/>
            <w:tcBorders>
              <w:bottom w:val="single" w:sz="4" w:space="0" w:color="FFFFFF"/>
            </w:tcBorders>
            <w:vAlign w:val="bottom"/>
          </w:tcPr>
          <w:p w14:paraId="01F71257" w14:textId="77777777" w:rsidR="004A656B" w:rsidRPr="008A651D" w:rsidRDefault="004A656B" w:rsidP="004A656B">
            <w:pPr>
              <w:spacing w:before="0" w:after="0" w:line="240" w:lineRule="auto"/>
              <w:ind w:right="170"/>
              <w:jc w:val="right"/>
              <w:rPr>
                <w:rFonts w:ascii="Times New Roman" w:hAnsi="Times New Roman" w:cs="Times New Roman"/>
                <w:sz w:val="22"/>
                <w:szCs w:val="22"/>
              </w:rPr>
            </w:pPr>
          </w:p>
        </w:tc>
        <w:tc>
          <w:tcPr>
            <w:tcW w:w="886" w:type="dxa"/>
            <w:tcBorders>
              <w:bottom w:val="single" w:sz="4" w:space="0" w:color="FFFFFF"/>
            </w:tcBorders>
            <w:vAlign w:val="bottom"/>
          </w:tcPr>
          <w:p w14:paraId="7E8747E7" w14:textId="77777777"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w:t>
            </w:r>
          </w:p>
        </w:tc>
      </w:tr>
      <w:tr w:rsidR="004A656B" w:rsidRPr="008A651D" w14:paraId="57F130C3" w14:textId="77777777" w:rsidTr="00596112">
        <w:trPr>
          <w:cantSplit/>
          <w:trHeight w:val="193"/>
        </w:trPr>
        <w:tc>
          <w:tcPr>
            <w:tcW w:w="4250" w:type="dxa"/>
            <w:tcBorders>
              <w:top w:val="single" w:sz="4" w:space="0" w:color="FFFFFF"/>
              <w:bottom w:val="single" w:sz="4" w:space="0" w:color="auto"/>
            </w:tcBorders>
          </w:tcPr>
          <w:p w14:paraId="3DF08F58" w14:textId="77777777" w:rsidR="004A656B" w:rsidRPr="008A651D" w:rsidRDefault="004A656B" w:rsidP="004A656B">
            <w:pPr>
              <w:keepNext/>
              <w:tabs>
                <w:tab w:val="left" w:pos="176"/>
                <w:tab w:val="left" w:pos="612"/>
              </w:tabs>
              <w:spacing w:before="0" w:after="0" w:line="240" w:lineRule="auto"/>
              <w:ind w:left="252" w:right="-108"/>
              <w:outlineLvl w:val="2"/>
              <w:rPr>
                <w:rFonts w:ascii="Times New Roman" w:hAnsi="Times New Roman" w:cs="Times New Roman"/>
                <w:color w:val="000000"/>
                <w:sz w:val="22"/>
                <w:szCs w:val="22"/>
              </w:rPr>
            </w:pPr>
            <w:r w:rsidRPr="008A651D">
              <w:rPr>
                <w:rFonts w:ascii="Times New Roman" w:hAnsi="Times New Roman" w:cs="Times New Roman"/>
                <w:color w:val="000000"/>
                <w:sz w:val="22"/>
                <w:szCs w:val="22"/>
              </w:rPr>
              <w:t>- наличные деньги в обращении</w:t>
            </w:r>
          </w:p>
        </w:tc>
        <w:tc>
          <w:tcPr>
            <w:tcW w:w="1197" w:type="dxa"/>
            <w:tcBorders>
              <w:top w:val="single" w:sz="4" w:space="0" w:color="FFFFFF"/>
              <w:bottom w:val="single" w:sz="4" w:space="0" w:color="auto"/>
            </w:tcBorders>
            <w:vAlign w:val="bottom"/>
          </w:tcPr>
          <w:p w14:paraId="50B7EF18" w14:textId="12265F6B"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1 178,1</w:t>
            </w:r>
          </w:p>
        </w:tc>
        <w:tc>
          <w:tcPr>
            <w:tcW w:w="1054" w:type="dxa"/>
            <w:tcBorders>
              <w:top w:val="single" w:sz="4" w:space="0" w:color="FFFFFF"/>
              <w:bottom w:val="single" w:sz="4" w:space="0" w:color="auto"/>
            </w:tcBorders>
            <w:vAlign w:val="bottom"/>
          </w:tcPr>
          <w:p w14:paraId="3B5C5A8A" w14:textId="2C0F7E04"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34,3</w:t>
            </w:r>
          </w:p>
        </w:tc>
        <w:tc>
          <w:tcPr>
            <w:tcW w:w="1199" w:type="dxa"/>
            <w:tcBorders>
              <w:top w:val="single" w:sz="4" w:space="0" w:color="FFFFFF"/>
              <w:bottom w:val="single" w:sz="4" w:space="0" w:color="auto"/>
            </w:tcBorders>
            <w:vAlign w:val="bottom"/>
          </w:tcPr>
          <w:p w14:paraId="610A2C68" w14:textId="0FA75AED"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 xml:space="preserve">1 </w:t>
            </w:r>
            <w:r>
              <w:rPr>
                <w:rFonts w:ascii="Times New Roman" w:hAnsi="Times New Roman" w:cs="Times New Roman"/>
                <w:sz w:val="22"/>
                <w:szCs w:val="22"/>
              </w:rPr>
              <w:t>279</w:t>
            </w:r>
            <w:r w:rsidRPr="008A651D">
              <w:rPr>
                <w:rFonts w:ascii="Times New Roman" w:hAnsi="Times New Roman" w:cs="Times New Roman"/>
                <w:sz w:val="22"/>
                <w:szCs w:val="22"/>
              </w:rPr>
              <w:t>,</w:t>
            </w:r>
            <w:r>
              <w:rPr>
                <w:rFonts w:ascii="Times New Roman" w:hAnsi="Times New Roman" w:cs="Times New Roman"/>
                <w:sz w:val="22"/>
                <w:szCs w:val="22"/>
              </w:rPr>
              <w:t>8</w:t>
            </w:r>
          </w:p>
        </w:tc>
        <w:tc>
          <w:tcPr>
            <w:tcW w:w="1053" w:type="dxa"/>
            <w:tcBorders>
              <w:top w:val="single" w:sz="4" w:space="0" w:color="FFFFFF"/>
              <w:bottom w:val="single" w:sz="4" w:space="0" w:color="auto"/>
            </w:tcBorders>
            <w:vAlign w:val="bottom"/>
          </w:tcPr>
          <w:p w14:paraId="5E568E89" w14:textId="684B07FC"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3</w:t>
            </w:r>
            <w:r>
              <w:rPr>
                <w:rFonts w:ascii="Times New Roman" w:hAnsi="Times New Roman" w:cs="Times New Roman"/>
                <w:sz w:val="22"/>
                <w:szCs w:val="22"/>
              </w:rPr>
              <w:t>5</w:t>
            </w:r>
            <w:r w:rsidRPr="008A651D">
              <w:rPr>
                <w:rFonts w:ascii="Times New Roman" w:hAnsi="Times New Roman" w:cs="Times New Roman"/>
                <w:sz w:val="22"/>
                <w:szCs w:val="22"/>
              </w:rPr>
              <w:t>,</w:t>
            </w:r>
            <w:r>
              <w:rPr>
                <w:rFonts w:ascii="Times New Roman" w:hAnsi="Times New Roman" w:cs="Times New Roman"/>
                <w:sz w:val="22"/>
                <w:szCs w:val="22"/>
              </w:rPr>
              <w:t>0</w:t>
            </w:r>
          </w:p>
        </w:tc>
        <w:tc>
          <w:tcPr>
            <w:tcW w:w="886" w:type="dxa"/>
            <w:tcBorders>
              <w:top w:val="single" w:sz="4" w:space="0" w:color="FFFFFF"/>
              <w:bottom w:val="single" w:sz="4" w:space="0" w:color="auto"/>
            </w:tcBorders>
            <w:vAlign w:val="bottom"/>
          </w:tcPr>
          <w:p w14:paraId="39A7082B" w14:textId="55375052" w:rsidR="004A656B" w:rsidRPr="008A651D" w:rsidRDefault="004A656B" w:rsidP="004A656B">
            <w:pPr>
              <w:spacing w:before="0" w:after="0" w:line="240" w:lineRule="auto"/>
              <w:ind w:right="170"/>
              <w:jc w:val="right"/>
              <w:rPr>
                <w:rFonts w:ascii="Times New Roman" w:hAnsi="Times New Roman" w:cs="Times New Roman"/>
                <w:sz w:val="22"/>
                <w:szCs w:val="22"/>
                <w:lang w:val="en-US"/>
              </w:rPr>
            </w:pPr>
            <w:r w:rsidRPr="008A651D">
              <w:rPr>
                <w:rFonts w:ascii="Times New Roman" w:hAnsi="Times New Roman" w:cs="Times New Roman"/>
                <w:sz w:val="22"/>
                <w:szCs w:val="22"/>
              </w:rPr>
              <w:t>1</w:t>
            </w:r>
            <w:r>
              <w:rPr>
                <w:rFonts w:ascii="Times New Roman" w:hAnsi="Times New Roman" w:cs="Times New Roman"/>
                <w:sz w:val="22"/>
                <w:szCs w:val="22"/>
              </w:rPr>
              <w:t>08</w:t>
            </w:r>
            <w:r w:rsidRPr="008A651D">
              <w:rPr>
                <w:rFonts w:ascii="Times New Roman" w:hAnsi="Times New Roman" w:cs="Times New Roman"/>
                <w:sz w:val="22"/>
                <w:szCs w:val="22"/>
              </w:rPr>
              <w:t>,</w:t>
            </w:r>
            <w:r>
              <w:rPr>
                <w:rFonts w:ascii="Times New Roman" w:hAnsi="Times New Roman" w:cs="Times New Roman"/>
                <w:sz w:val="22"/>
                <w:szCs w:val="22"/>
              </w:rPr>
              <w:t>6</w:t>
            </w:r>
          </w:p>
        </w:tc>
      </w:tr>
      <w:tr w:rsidR="004A656B" w:rsidRPr="008A651D" w14:paraId="00ACE8C0" w14:textId="77777777" w:rsidTr="00596112">
        <w:trPr>
          <w:cantSplit/>
          <w:trHeight w:val="193"/>
        </w:trPr>
        <w:tc>
          <w:tcPr>
            <w:tcW w:w="4250" w:type="dxa"/>
            <w:tcBorders>
              <w:top w:val="single" w:sz="4" w:space="0" w:color="FFFFFF"/>
              <w:bottom w:val="single" w:sz="4" w:space="0" w:color="auto"/>
            </w:tcBorders>
          </w:tcPr>
          <w:p w14:paraId="5AE88C32" w14:textId="77777777" w:rsidR="004A656B" w:rsidRPr="008A651D" w:rsidRDefault="004A656B" w:rsidP="004A656B">
            <w:pPr>
              <w:keepNext/>
              <w:tabs>
                <w:tab w:val="left" w:pos="176"/>
                <w:tab w:val="left" w:pos="612"/>
              </w:tabs>
              <w:spacing w:before="0" w:after="0" w:line="240" w:lineRule="auto"/>
              <w:ind w:left="252" w:right="-108"/>
              <w:outlineLvl w:val="2"/>
              <w:rPr>
                <w:rFonts w:ascii="Times New Roman" w:hAnsi="Times New Roman" w:cs="Times New Roman"/>
                <w:color w:val="000000"/>
                <w:sz w:val="22"/>
                <w:szCs w:val="22"/>
              </w:rPr>
            </w:pPr>
            <w:r w:rsidRPr="008A651D">
              <w:rPr>
                <w:rFonts w:ascii="Times New Roman" w:hAnsi="Times New Roman" w:cs="Times New Roman"/>
                <w:color w:val="000000"/>
                <w:sz w:val="22"/>
                <w:szCs w:val="22"/>
                <w:lang w:val="en-US"/>
              </w:rPr>
              <w:t>-</w:t>
            </w:r>
            <w:r w:rsidRPr="008A651D">
              <w:rPr>
                <w:rFonts w:ascii="Times New Roman" w:hAnsi="Times New Roman" w:cs="Times New Roman"/>
                <w:color w:val="000000"/>
                <w:sz w:val="22"/>
                <w:szCs w:val="22"/>
              </w:rPr>
              <w:t xml:space="preserve"> безналичные денежные средства</w:t>
            </w:r>
          </w:p>
        </w:tc>
        <w:tc>
          <w:tcPr>
            <w:tcW w:w="1197" w:type="dxa"/>
            <w:tcBorders>
              <w:top w:val="single" w:sz="4" w:space="0" w:color="FFFFFF"/>
              <w:bottom w:val="single" w:sz="4" w:space="0" w:color="auto"/>
            </w:tcBorders>
            <w:vAlign w:val="bottom"/>
          </w:tcPr>
          <w:p w14:paraId="26572E76" w14:textId="76F7F287"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2 261,5</w:t>
            </w:r>
          </w:p>
        </w:tc>
        <w:tc>
          <w:tcPr>
            <w:tcW w:w="1054" w:type="dxa"/>
            <w:tcBorders>
              <w:top w:val="single" w:sz="4" w:space="0" w:color="FFFFFF"/>
              <w:bottom w:val="single" w:sz="4" w:space="0" w:color="auto"/>
            </w:tcBorders>
            <w:vAlign w:val="bottom"/>
          </w:tcPr>
          <w:p w14:paraId="799E259A" w14:textId="69FC8B26"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65,7</w:t>
            </w:r>
          </w:p>
        </w:tc>
        <w:tc>
          <w:tcPr>
            <w:tcW w:w="1199" w:type="dxa"/>
            <w:tcBorders>
              <w:top w:val="single" w:sz="4" w:space="0" w:color="FFFFFF"/>
              <w:bottom w:val="single" w:sz="4" w:space="0" w:color="auto"/>
            </w:tcBorders>
            <w:vAlign w:val="bottom"/>
          </w:tcPr>
          <w:p w14:paraId="431582C0" w14:textId="750A95FD"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2 </w:t>
            </w:r>
            <w:r>
              <w:rPr>
                <w:rFonts w:ascii="Times New Roman" w:hAnsi="Times New Roman" w:cs="Times New Roman"/>
                <w:sz w:val="22"/>
                <w:szCs w:val="22"/>
              </w:rPr>
              <w:t>378</w:t>
            </w:r>
            <w:r w:rsidRPr="008A651D">
              <w:rPr>
                <w:rFonts w:ascii="Times New Roman" w:hAnsi="Times New Roman" w:cs="Times New Roman"/>
                <w:sz w:val="22"/>
                <w:szCs w:val="22"/>
              </w:rPr>
              <w:t>,</w:t>
            </w:r>
            <w:r>
              <w:rPr>
                <w:rFonts w:ascii="Times New Roman" w:hAnsi="Times New Roman" w:cs="Times New Roman"/>
                <w:sz w:val="22"/>
                <w:szCs w:val="22"/>
              </w:rPr>
              <w:t>6</w:t>
            </w:r>
          </w:p>
        </w:tc>
        <w:tc>
          <w:tcPr>
            <w:tcW w:w="1053" w:type="dxa"/>
            <w:tcBorders>
              <w:top w:val="single" w:sz="4" w:space="0" w:color="FFFFFF"/>
              <w:bottom w:val="single" w:sz="4" w:space="0" w:color="auto"/>
            </w:tcBorders>
            <w:vAlign w:val="bottom"/>
          </w:tcPr>
          <w:p w14:paraId="2B45D8B1" w14:textId="3F0E0648"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65,</w:t>
            </w:r>
            <w:r>
              <w:rPr>
                <w:rFonts w:ascii="Times New Roman" w:hAnsi="Times New Roman" w:cs="Times New Roman"/>
                <w:sz w:val="22"/>
                <w:szCs w:val="22"/>
              </w:rPr>
              <w:t>0</w:t>
            </w:r>
          </w:p>
        </w:tc>
        <w:tc>
          <w:tcPr>
            <w:tcW w:w="886" w:type="dxa"/>
            <w:tcBorders>
              <w:top w:val="single" w:sz="4" w:space="0" w:color="FFFFFF"/>
              <w:bottom w:val="single" w:sz="4" w:space="0" w:color="auto"/>
            </w:tcBorders>
            <w:vAlign w:val="bottom"/>
          </w:tcPr>
          <w:p w14:paraId="3196C915" w14:textId="2D42AF56"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1</w:t>
            </w:r>
            <w:r>
              <w:rPr>
                <w:rFonts w:ascii="Times New Roman" w:hAnsi="Times New Roman" w:cs="Times New Roman"/>
                <w:sz w:val="22"/>
                <w:szCs w:val="22"/>
              </w:rPr>
              <w:t>05</w:t>
            </w:r>
            <w:r w:rsidRPr="008A651D">
              <w:rPr>
                <w:rFonts w:ascii="Times New Roman" w:hAnsi="Times New Roman" w:cs="Times New Roman"/>
                <w:sz w:val="22"/>
                <w:szCs w:val="22"/>
              </w:rPr>
              <w:t>,</w:t>
            </w:r>
            <w:r w:rsidRPr="008A651D">
              <w:rPr>
                <w:rFonts w:ascii="Times New Roman" w:hAnsi="Times New Roman" w:cs="Times New Roman"/>
                <w:sz w:val="22"/>
                <w:szCs w:val="22"/>
                <w:lang w:val="en-US"/>
              </w:rPr>
              <w:t>2</w:t>
            </w:r>
          </w:p>
        </w:tc>
      </w:tr>
      <w:tr w:rsidR="004A656B" w:rsidRPr="008A651D" w14:paraId="15E99473" w14:textId="77777777" w:rsidTr="00596112">
        <w:trPr>
          <w:trHeight w:val="170"/>
        </w:trPr>
        <w:tc>
          <w:tcPr>
            <w:tcW w:w="4250" w:type="dxa"/>
            <w:shd w:val="clear" w:color="auto" w:fill="E6E6E6"/>
          </w:tcPr>
          <w:p w14:paraId="0469B11F" w14:textId="77777777" w:rsidR="004A656B" w:rsidRPr="008A651D" w:rsidRDefault="004A656B" w:rsidP="004A656B">
            <w:pPr>
              <w:tabs>
                <w:tab w:val="left" w:pos="0"/>
                <w:tab w:val="left" w:pos="612"/>
              </w:tabs>
              <w:spacing w:before="0" w:after="0" w:line="240" w:lineRule="auto"/>
              <w:ind w:left="144" w:right="-1"/>
              <w:rPr>
                <w:rFonts w:ascii="Times New Roman" w:hAnsi="Times New Roman" w:cs="Times New Roman"/>
                <w:color w:val="000000"/>
                <w:sz w:val="22"/>
                <w:szCs w:val="22"/>
              </w:rPr>
            </w:pPr>
            <w:r w:rsidRPr="008A651D">
              <w:rPr>
                <w:rFonts w:ascii="Times New Roman" w:hAnsi="Times New Roman" w:cs="Times New Roman"/>
                <w:color w:val="000000"/>
                <w:sz w:val="22"/>
                <w:szCs w:val="22"/>
              </w:rPr>
              <w:t>денежная масса в иностранной валюте</w:t>
            </w:r>
          </w:p>
        </w:tc>
        <w:tc>
          <w:tcPr>
            <w:tcW w:w="1197" w:type="dxa"/>
            <w:shd w:val="clear" w:color="auto" w:fill="E6E6E6"/>
            <w:vAlign w:val="bottom"/>
          </w:tcPr>
          <w:p w14:paraId="65BC9B8C" w14:textId="16348B03"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5 879,5</w:t>
            </w:r>
          </w:p>
        </w:tc>
        <w:tc>
          <w:tcPr>
            <w:tcW w:w="1054" w:type="dxa"/>
            <w:shd w:val="clear" w:color="auto" w:fill="E6E6E6"/>
            <w:vAlign w:val="bottom"/>
          </w:tcPr>
          <w:p w14:paraId="0FA8326C" w14:textId="5541B13F"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63,1</w:t>
            </w:r>
          </w:p>
        </w:tc>
        <w:tc>
          <w:tcPr>
            <w:tcW w:w="1199" w:type="dxa"/>
            <w:shd w:val="clear" w:color="auto" w:fill="E6E6E6"/>
            <w:vAlign w:val="bottom"/>
          </w:tcPr>
          <w:p w14:paraId="42A30451" w14:textId="3FE38F3E" w:rsidR="004A656B" w:rsidRPr="008A651D" w:rsidRDefault="004A656B" w:rsidP="004A656B">
            <w:pPr>
              <w:spacing w:before="0" w:after="0" w:line="240" w:lineRule="auto"/>
              <w:ind w:right="170"/>
              <w:jc w:val="right"/>
              <w:rPr>
                <w:rFonts w:ascii="Times New Roman" w:hAnsi="Times New Roman" w:cs="Times New Roman"/>
                <w:sz w:val="22"/>
                <w:szCs w:val="22"/>
              </w:rPr>
            </w:pPr>
            <w:r>
              <w:rPr>
                <w:rFonts w:ascii="Times New Roman" w:hAnsi="Times New Roman" w:cs="Times New Roman"/>
                <w:sz w:val="22"/>
                <w:szCs w:val="22"/>
              </w:rPr>
              <w:t>6</w:t>
            </w:r>
            <w:r w:rsidRPr="008A651D">
              <w:rPr>
                <w:rFonts w:ascii="Times New Roman" w:hAnsi="Times New Roman" w:cs="Times New Roman"/>
                <w:sz w:val="22"/>
                <w:szCs w:val="22"/>
              </w:rPr>
              <w:t xml:space="preserve"> </w:t>
            </w:r>
            <w:r>
              <w:rPr>
                <w:rFonts w:ascii="Times New Roman" w:hAnsi="Times New Roman" w:cs="Times New Roman"/>
                <w:sz w:val="22"/>
                <w:szCs w:val="22"/>
              </w:rPr>
              <w:t>797</w:t>
            </w:r>
            <w:r w:rsidRPr="008A651D">
              <w:rPr>
                <w:rFonts w:ascii="Times New Roman" w:hAnsi="Times New Roman" w:cs="Times New Roman"/>
                <w:sz w:val="22"/>
                <w:szCs w:val="22"/>
              </w:rPr>
              <w:t>,</w:t>
            </w:r>
            <w:r>
              <w:rPr>
                <w:rFonts w:ascii="Times New Roman" w:hAnsi="Times New Roman" w:cs="Times New Roman"/>
                <w:sz w:val="22"/>
                <w:szCs w:val="22"/>
              </w:rPr>
              <w:t>6</w:t>
            </w:r>
          </w:p>
        </w:tc>
        <w:tc>
          <w:tcPr>
            <w:tcW w:w="1053" w:type="dxa"/>
            <w:shd w:val="clear" w:color="auto" w:fill="E6E6E6"/>
            <w:vAlign w:val="bottom"/>
          </w:tcPr>
          <w:p w14:paraId="02E98247" w14:textId="5449E460"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6</w:t>
            </w:r>
            <w:r>
              <w:rPr>
                <w:rFonts w:ascii="Times New Roman" w:hAnsi="Times New Roman" w:cs="Times New Roman"/>
                <w:sz w:val="22"/>
                <w:szCs w:val="22"/>
              </w:rPr>
              <w:t>5</w:t>
            </w:r>
            <w:r w:rsidRPr="008A651D">
              <w:rPr>
                <w:rFonts w:ascii="Times New Roman" w:hAnsi="Times New Roman" w:cs="Times New Roman"/>
                <w:sz w:val="22"/>
                <w:szCs w:val="22"/>
              </w:rPr>
              <w:t>,</w:t>
            </w:r>
            <w:r>
              <w:rPr>
                <w:rFonts w:ascii="Times New Roman" w:hAnsi="Times New Roman" w:cs="Times New Roman"/>
                <w:sz w:val="22"/>
                <w:szCs w:val="22"/>
              </w:rPr>
              <w:t>0</w:t>
            </w:r>
          </w:p>
        </w:tc>
        <w:tc>
          <w:tcPr>
            <w:tcW w:w="886" w:type="dxa"/>
            <w:shd w:val="clear" w:color="auto" w:fill="E6E6E6"/>
            <w:vAlign w:val="bottom"/>
          </w:tcPr>
          <w:p w14:paraId="53379204" w14:textId="6A7C7E4C" w:rsidR="004A656B" w:rsidRPr="008A651D" w:rsidRDefault="004A656B" w:rsidP="004A656B">
            <w:pPr>
              <w:spacing w:before="0" w:after="0" w:line="240" w:lineRule="auto"/>
              <w:ind w:right="170"/>
              <w:jc w:val="right"/>
              <w:rPr>
                <w:rFonts w:ascii="Times New Roman" w:hAnsi="Times New Roman" w:cs="Times New Roman"/>
                <w:sz w:val="22"/>
                <w:szCs w:val="22"/>
              </w:rPr>
            </w:pPr>
            <w:r w:rsidRPr="008A651D">
              <w:rPr>
                <w:rFonts w:ascii="Times New Roman" w:hAnsi="Times New Roman" w:cs="Times New Roman"/>
                <w:sz w:val="22"/>
                <w:szCs w:val="22"/>
              </w:rPr>
              <w:t>1</w:t>
            </w:r>
            <w:r>
              <w:rPr>
                <w:rFonts w:ascii="Times New Roman" w:hAnsi="Times New Roman" w:cs="Times New Roman"/>
                <w:sz w:val="22"/>
                <w:szCs w:val="22"/>
              </w:rPr>
              <w:t>15</w:t>
            </w:r>
            <w:r w:rsidRPr="008A651D">
              <w:rPr>
                <w:rFonts w:ascii="Times New Roman" w:hAnsi="Times New Roman" w:cs="Times New Roman"/>
                <w:sz w:val="22"/>
                <w:szCs w:val="22"/>
              </w:rPr>
              <w:t>,</w:t>
            </w:r>
            <w:r>
              <w:rPr>
                <w:rFonts w:ascii="Times New Roman" w:hAnsi="Times New Roman" w:cs="Times New Roman"/>
                <w:sz w:val="22"/>
                <w:szCs w:val="22"/>
              </w:rPr>
              <w:t>6</w:t>
            </w:r>
          </w:p>
        </w:tc>
      </w:tr>
    </w:tbl>
    <w:p w14:paraId="0420FC26" w14:textId="77777777" w:rsidR="008B0A05" w:rsidRPr="001565E0" w:rsidRDefault="008B0A05" w:rsidP="00115CF5">
      <w:pPr>
        <w:widowControl w:val="0"/>
        <w:spacing w:before="120" w:after="0" w:line="240" w:lineRule="auto"/>
        <w:ind w:firstLine="425"/>
        <w:jc w:val="both"/>
        <w:rPr>
          <w:rFonts w:ascii="Times New Roman" w:hAnsi="Times New Roman" w:cs="Times New Roman"/>
          <w:sz w:val="24"/>
          <w:szCs w:val="24"/>
        </w:rPr>
      </w:pPr>
      <w:r w:rsidRPr="001565E0">
        <w:rPr>
          <w:rFonts w:ascii="Times New Roman" w:hAnsi="Times New Roman" w:cs="Times New Roman"/>
          <w:sz w:val="24"/>
          <w:szCs w:val="24"/>
        </w:rPr>
        <w:t xml:space="preserve">В результате </w:t>
      </w:r>
      <w:r>
        <w:rPr>
          <w:rFonts w:ascii="Times New Roman" w:hAnsi="Times New Roman" w:cs="Times New Roman"/>
          <w:sz w:val="24"/>
          <w:szCs w:val="24"/>
        </w:rPr>
        <w:t>более умеренного темпа</w:t>
      </w:r>
      <w:r w:rsidRPr="001565E0">
        <w:rPr>
          <w:rFonts w:ascii="Times New Roman" w:hAnsi="Times New Roman" w:cs="Times New Roman"/>
          <w:sz w:val="24"/>
          <w:szCs w:val="24"/>
        </w:rPr>
        <w:t xml:space="preserve"> роста величины безналичных средств коэффициент наличности национальной денежной массы на 1 января 202</w:t>
      </w:r>
      <w:r>
        <w:rPr>
          <w:rFonts w:ascii="Times New Roman" w:hAnsi="Times New Roman" w:cs="Times New Roman"/>
          <w:sz w:val="24"/>
          <w:szCs w:val="24"/>
        </w:rPr>
        <w:t>1</w:t>
      </w:r>
      <w:r w:rsidRPr="001565E0">
        <w:rPr>
          <w:rFonts w:ascii="Times New Roman" w:hAnsi="Times New Roman" w:cs="Times New Roman"/>
          <w:sz w:val="24"/>
          <w:szCs w:val="24"/>
        </w:rPr>
        <w:t xml:space="preserve"> года </w:t>
      </w:r>
      <w:r>
        <w:rPr>
          <w:rFonts w:ascii="Times New Roman" w:hAnsi="Times New Roman" w:cs="Times New Roman"/>
          <w:sz w:val="24"/>
          <w:szCs w:val="24"/>
        </w:rPr>
        <w:t>увеличился</w:t>
      </w:r>
      <w:r w:rsidRPr="001565E0">
        <w:rPr>
          <w:rFonts w:ascii="Times New Roman" w:hAnsi="Times New Roman" w:cs="Times New Roman"/>
          <w:sz w:val="24"/>
          <w:szCs w:val="24"/>
        </w:rPr>
        <w:t xml:space="preserve"> на</w:t>
      </w:r>
      <w:r>
        <w:rPr>
          <w:rFonts w:ascii="Times New Roman" w:hAnsi="Times New Roman" w:cs="Times New Roman"/>
          <w:sz w:val="24"/>
          <w:szCs w:val="24"/>
        </w:rPr>
        <w:t xml:space="preserve"> 0</w:t>
      </w:r>
      <w:r w:rsidRPr="001565E0">
        <w:rPr>
          <w:rFonts w:ascii="Times New Roman" w:hAnsi="Times New Roman" w:cs="Times New Roman"/>
          <w:sz w:val="24"/>
          <w:szCs w:val="24"/>
        </w:rPr>
        <w:t>,</w:t>
      </w:r>
      <w:r>
        <w:rPr>
          <w:rFonts w:ascii="Times New Roman" w:hAnsi="Times New Roman" w:cs="Times New Roman"/>
          <w:sz w:val="24"/>
          <w:szCs w:val="24"/>
        </w:rPr>
        <w:t>7</w:t>
      </w:r>
      <w:r w:rsidRPr="001565E0">
        <w:rPr>
          <w:rFonts w:ascii="Times New Roman" w:hAnsi="Times New Roman" w:cs="Times New Roman"/>
          <w:sz w:val="24"/>
          <w:szCs w:val="24"/>
        </w:rPr>
        <w:t xml:space="preserve"> п.п., до </w:t>
      </w:r>
      <w:r w:rsidRPr="003E7426">
        <w:rPr>
          <w:rFonts w:ascii="Times New Roman" w:hAnsi="Times New Roman" w:cs="Times New Roman"/>
          <w:sz w:val="24"/>
          <w:szCs w:val="24"/>
        </w:rPr>
        <w:t>35,0%.</w:t>
      </w:r>
      <w:r w:rsidRPr="001565E0">
        <w:rPr>
          <w:rFonts w:ascii="Times New Roman" w:hAnsi="Times New Roman" w:cs="Times New Roman"/>
          <w:sz w:val="24"/>
          <w:szCs w:val="24"/>
        </w:rPr>
        <w:t xml:space="preserve"> На один рубль, задействованный в наличном обороте, пришлось 1,</w:t>
      </w:r>
      <w:r>
        <w:rPr>
          <w:rFonts w:ascii="Times New Roman" w:hAnsi="Times New Roman" w:cs="Times New Roman"/>
          <w:sz w:val="24"/>
          <w:szCs w:val="24"/>
        </w:rPr>
        <w:t>86</w:t>
      </w:r>
      <w:r w:rsidRPr="001565E0">
        <w:rPr>
          <w:rFonts w:ascii="Times New Roman" w:hAnsi="Times New Roman" w:cs="Times New Roman"/>
          <w:sz w:val="24"/>
          <w:szCs w:val="24"/>
        </w:rPr>
        <w:t xml:space="preserve"> безналичного рубля против 1,</w:t>
      </w:r>
      <w:r>
        <w:rPr>
          <w:rFonts w:ascii="Times New Roman" w:hAnsi="Times New Roman" w:cs="Times New Roman"/>
          <w:sz w:val="24"/>
          <w:szCs w:val="24"/>
        </w:rPr>
        <w:t>92</w:t>
      </w:r>
      <w:r w:rsidRPr="001565E0">
        <w:rPr>
          <w:rFonts w:ascii="Times New Roman" w:hAnsi="Times New Roman" w:cs="Times New Roman"/>
          <w:sz w:val="24"/>
          <w:szCs w:val="24"/>
        </w:rPr>
        <w:t xml:space="preserve"> рубля на начало отчётного года.</w:t>
      </w:r>
    </w:p>
    <w:p w14:paraId="0075F435" w14:textId="77777777" w:rsidR="008B0A05" w:rsidRPr="001565E0" w:rsidRDefault="008B0A05" w:rsidP="008B0A05">
      <w:pPr>
        <w:widowControl w:val="0"/>
        <w:spacing w:before="0" w:after="0" w:line="240" w:lineRule="auto"/>
        <w:ind w:firstLine="425"/>
        <w:jc w:val="both"/>
        <w:rPr>
          <w:rFonts w:ascii="Times New Roman" w:hAnsi="Times New Roman" w:cs="Times New Roman"/>
          <w:sz w:val="24"/>
          <w:szCs w:val="24"/>
        </w:rPr>
      </w:pPr>
      <w:r w:rsidRPr="001565E0">
        <w:rPr>
          <w:rFonts w:ascii="Times New Roman" w:hAnsi="Times New Roman" w:cs="Times New Roman"/>
          <w:sz w:val="24"/>
          <w:szCs w:val="24"/>
        </w:rPr>
        <w:t xml:space="preserve">Денежная масса в иностранной валюте, сложившись на уровне </w:t>
      </w:r>
      <w:r>
        <w:rPr>
          <w:rFonts w:ascii="Times New Roman" w:hAnsi="Times New Roman" w:cs="Times New Roman"/>
          <w:sz w:val="24"/>
          <w:szCs w:val="24"/>
        </w:rPr>
        <w:t>6</w:t>
      </w:r>
      <w:r w:rsidRPr="001565E0">
        <w:rPr>
          <w:rFonts w:ascii="Times New Roman" w:hAnsi="Times New Roman" w:cs="Times New Roman"/>
          <w:sz w:val="24"/>
          <w:szCs w:val="24"/>
        </w:rPr>
        <w:t> </w:t>
      </w:r>
      <w:r>
        <w:rPr>
          <w:rFonts w:ascii="Times New Roman" w:hAnsi="Times New Roman" w:cs="Times New Roman"/>
          <w:sz w:val="24"/>
          <w:szCs w:val="24"/>
        </w:rPr>
        <w:t>797</w:t>
      </w:r>
      <w:r w:rsidRPr="001565E0">
        <w:rPr>
          <w:rFonts w:ascii="Times New Roman" w:hAnsi="Times New Roman" w:cs="Times New Roman"/>
          <w:sz w:val="24"/>
          <w:szCs w:val="24"/>
        </w:rPr>
        <w:t>,</w:t>
      </w:r>
      <w:r>
        <w:rPr>
          <w:rFonts w:ascii="Times New Roman" w:hAnsi="Times New Roman" w:cs="Times New Roman"/>
          <w:sz w:val="24"/>
          <w:szCs w:val="24"/>
        </w:rPr>
        <w:t>6</w:t>
      </w:r>
      <w:r w:rsidRPr="001565E0">
        <w:rPr>
          <w:rFonts w:ascii="Times New Roman" w:hAnsi="Times New Roman" w:cs="Times New Roman"/>
          <w:sz w:val="24"/>
          <w:szCs w:val="24"/>
        </w:rPr>
        <w:t xml:space="preserve"> млн руб., возросла на </w:t>
      </w:r>
      <w:r>
        <w:rPr>
          <w:rFonts w:ascii="Times New Roman" w:hAnsi="Times New Roman" w:cs="Times New Roman"/>
          <w:sz w:val="24"/>
          <w:szCs w:val="24"/>
        </w:rPr>
        <w:t>15</w:t>
      </w:r>
      <w:r w:rsidRPr="001565E0">
        <w:rPr>
          <w:rFonts w:ascii="Times New Roman" w:hAnsi="Times New Roman" w:cs="Times New Roman"/>
          <w:sz w:val="24"/>
          <w:szCs w:val="24"/>
        </w:rPr>
        <w:t>,</w:t>
      </w:r>
      <w:r>
        <w:rPr>
          <w:rFonts w:ascii="Times New Roman" w:hAnsi="Times New Roman" w:cs="Times New Roman"/>
          <w:sz w:val="24"/>
          <w:szCs w:val="24"/>
        </w:rPr>
        <w:t>6</w:t>
      </w:r>
      <w:r w:rsidRPr="001565E0">
        <w:rPr>
          <w:rFonts w:ascii="Times New Roman" w:hAnsi="Times New Roman" w:cs="Times New Roman"/>
          <w:sz w:val="24"/>
          <w:szCs w:val="24"/>
        </w:rPr>
        <w:t xml:space="preserve">%, или на </w:t>
      </w:r>
      <w:r>
        <w:rPr>
          <w:rFonts w:ascii="Times New Roman" w:hAnsi="Times New Roman" w:cs="Times New Roman"/>
          <w:sz w:val="24"/>
          <w:szCs w:val="24"/>
        </w:rPr>
        <w:t>918</w:t>
      </w:r>
      <w:r w:rsidRPr="001565E0">
        <w:rPr>
          <w:rFonts w:ascii="Times New Roman" w:hAnsi="Times New Roman" w:cs="Times New Roman"/>
          <w:sz w:val="24"/>
          <w:szCs w:val="24"/>
        </w:rPr>
        <w:t>,</w:t>
      </w:r>
      <w:r>
        <w:rPr>
          <w:rFonts w:ascii="Times New Roman" w:hAnsi="Times New Roman" w:cs="Times New Roman"/>
          <w:sz w:val="24"/>
          <w:szCs w:val="24"/>
        </w:rPr>
        <w:t>1</w:t>
      </w:r>
      <w:r w:rsidRPr="001565E0">
        <w:rPr>
          <w:rFonts w:ascii="Times New Roman" w:hAnsi="Times New Roman" w:cs="Times New Roman"/>
          <w:sz w:val="24"/>
          <w:szCs w:val="24"/>
        </w:rPr>
        <w:t xml:space="preserve"> млн руб. </w:t>
      </w:r>
    </w:p>
    <w:p w14:paraId="482643C9" w14:textId="77777777" w:rsidR="008B0A05" w:rsidRPr="001565E0" w:rsidRDefault="008B0A05" w:rsidP="008B0A05">
      <w:pPr>
        <w:widowControl w:val="0"/>
        <w:spacing w:before="0" w:after="0" w:line="240" w:lineRule="auto"/>
        <w:ind w:firstLine="425"/>
        <w:jc w:val="both"/>
        <w:rPr>
          <w:rFonts w:ascii="Times New Roman" w:hAnsi="Times New Roman" w:cs="Times New Roman"/>
          <w:sz w:val="24"/>
          <w:szCs w:val="24"/>
        </w:rPr>
      </w:pPr>
      <w:r w:rsidRPr="001565E0">
        <w:rPr>
          <w:rFonts w:ascii="Times New Roman" w:hAnsi="Times New Roman" w:cs="Times New Roman"/>
          <w:sz w:val="24"/>
          <w:szCs w:val="24"/>
        </w:rPr>
        <w:t>Таким образом, объём совокупного денежного предложения на 1 января 202</w:t>
      </w:r>
      <w:r>
        <w:rPr>
          <w:rFonts w:ascii="Times New Roman" w:hAnsi="Times New Roman" w:cs="Times New Roman"/>
          <w:sz w:val="24"/>
          <w:szCs w:val="24"/>
        </w:rPr>
        <w:t>1</w:t>
      </w:r>
      <w:r w:rsidRPr="001565E0">
        <w:rPr>
          <w:rFonts w:ascii="Times New Roman" w:hAnsi="Times New Roman" w:cs="Times New Roman"/>
          <w:sz w:val="24"/>
          <w:szCs w:val="24"/>
        </w:rPr>
        <w:t xml:space="preserve"> года составил </w:t>
      </w:r>
      <w:r>
        <w:rPr>
          <w:rFonts w:ascii="Times New Roman" w:hAnsi="Times New Roman" w:cs="Times New Roman"/>
          <w:sz w:val="24"/>
          <w:szCs w:val="24"/>
        </w:rPr>
        <w:t>10</w:t>
      </w:r>
      <w:r w:rsidRPr="001565E0">
        <w:rPr>
          <w:rFonts w:ascii="Times New Roman" w:hAnsi="Times New Roman" w:cs="Times New Roman"/>
          <w:sz w:val="24"/>
          <w:szCs w:val="24"/>
        </w:rPr>
        <w:t> </w:t>
      </w:r>
      <w:r>
        <w:rPr>
          <w:rFonts w:ascii="Times New Roman" w:hAnsi="Times New Roman" w:cs="Times New Roman"/>
          <w:sz w:val="24"/>
          <w:szCs w:val="24"/>
        </w:rPr>
        <w:t>456</w:t>
      </w:r>
      <w:r w:rsidRPr="001565E0">
        <w:rPr>
          <w:rFonts w:ascii="Times New Roman" w:hAnsi="Times New Roman" w:cs="Times New Roman"/>
          <w:sz w:val="24"/>
          <w:szCs w:val="24"/>
        </w:rPr>
        <w:t>,</w:t>
      </w:r>
      <w:r>
        <w:rPr>
          <w:rFonts w:ascii="Times New Roman" w:hAnsi="Times New Roman" w:cs="Times New Roman"/>
          <w:sz w:val="24"/>
          <w:szCs w:val="24"/>
        </w:rPr>
        <w:t>0</w:t>
      </w:r>
      <w:r w:rsidRPr="001565E0">
        <w:rPr>
          <w:rFonts w:ascii="Times New Roman" w:hAnsi="Times New Roman" w:cs="Times New Roman"/>
          <w:sz w:val="24"/>
          <w:szCs w:val="24"/>
        </w:rPr>
        <w:t xml:space="preserve"> млн руб., превысив уровень начала 20</w:t>
      </w:r>
      <w:r>
        <w:rPr>
          <w:rFonts w:ascii="Times New Roman" w:hAnsi="Times New Roman" w:cs="Times New Roman"/>
          <w:sz w:val="24"/>
          <w:szCs w:val="24"/>
        </w:rPr>
        <w:t>20</w:t>
      </w:r>
      <w:r w:rsidRPr="001565E0">
        <w:rPr>
          <w:rFonts w:ascii="Times New Roman" w:hAnsi="Times New Roman" w:cs="Times New Roman"/>
          <w:sz w:val="24"/>
          <w:szCs w:val="24"/>
        </w:rPr>
        <w:t xml:space="preserve"> года на 1</w:t>
      </w:r>
      <w:r>
        <w:rPr>
          <w:rFonts w:ascii="Times New Roman" w:hAnsi="Times New Roman" w:cs="Times New Roman"/>
          <w:sz w:val="24"/>
          <w:szCs w:val="24"/>
        </w:rPr>
        <w:t>2</w:t>
      </w:r>
      <w:r w:rsidRPr="001565E0">
        <w:rPr>
          <w:rFonts w:ascii="Times New Roman" w:hAnsi="Times New Roman" w:cs="Times New Roman"/>
          <w:sz w:val="24"/>
          <w:szCs w:val="24"/>
        </w:rPr>
        <w:t>,</w:t>
      </w:r>
      <w:r>
        <w:rPr>
          <w:rFonts w:ascii="Times New Roman" w:hAnsi="Times New Roman" w:cs="Times New Roman"/>
          <w:sz w:val="24"/>
          <w:szCs w:val="24"/>
        </w:rPr>
        <w:t>2</w:t>
      </w:r>
      <w:r w:rsidRPr="001565E0">
        <w:rPr>
          <w:rFonts w:ascii="Times New Roman" w:hAnsi="Times New Roman" w:cs="Times New Roman"/>
          <w:sz w:val="24"/>
          <w:szCs w:val="24"/>
        </w:rPr>
        <w:t>% (+1 1</w:t>
      </w:r>
      <w:r>
        <w:rPr>
          <w:rFonts w:ascii="Times New Roman" w:hAnsi="Times New Roman" w:cs="Times New Roman"/>
          <w:sz w:val="24"/>
          <w:szCs w:val="24"/>
        </w:rPr>
        <w:t>36</w:t>
      </w:r>
      <w:r w:rsidRPr="001565E0">
        <w:rPr>
          <w:rFonts w:ascii="Times New Roman" w:hAnsi="Times New Roman" w:cs="Times New Roman"/>
          <w:sz w:val="24"/>
          <w:szCs w:val="24"/>
        </w:rPr>
        <w:t>,</w:t>
      </w:r>
      <w:r>
        <w:rPr>
          <w:rFonts w:ascii="Times New Roman" w:hAnsi="Times New Roman" w:cs="Times New Roman"/>
          <w:sz w:val="24"/>
          <w:szCs w:val="24"/>
        </w:rPr>
        <w:t>8</w:t>
      </w:r>
      <w:r w:rsidRPr="001565E0">
        <w:rPr>
          <w:rFonts w:ascii="Times New Roman" w:hAnsi="Times New Roman" w:cs="Times New Roman"/>
          <w:sz w:val="24"/>
          <w:szCs w:val="24"/>
        </w:rPr>
        <w:t xml:space="preserve"> млн руб.). Коэффициент валютизации </w:t>
      </w:r>
      <w:r>
        <w:rPr>
          <w:rFonts w:ascii="Times New Roman" w:hAnsi="Times New Roman" w:cs="Times New Roman"/>
          <w:sz w:val="24"/>
          <w:szCs w:val="24"/>
        </w:rPr>
        <w:t>сложился на отметке 65,0%, увеличившись</w:t>
      </w:r>
      <w:r w:rsidRPr="001565E0">
        <w:rPr>
          <w:rFonts w:ascii="Times New Roman" w:hAnsi="Times New Roman" w:cs="Times New Roman"/>
          <w:sz w:val="24"/>
          <w:szCs w:val="24"/>
        </w:rPr>
        <w:t xml:space="preserve"> на </w:t>
      </w:r>
      <w:r>
        <w:rPr>
          <w:rFonts w:ascii="Times New Roman" w:hAnsi="Times New Roman" w:cs="Times New Roman"/>
          <w:sz w:val="24"/>
          <w:szCs w:val="24"/>
        </w:rPr>
        <w:t>1</w:t>
      </w:r>
      <w:r w:rsidRPr="001565E0">
        <w:rPr>
          <w:rFonts w:ascii="Times New Roman" w:hAnsi="Times New Roman" w:cs="Times New Roman"/>
          <w:sz w:val="24"/>
          <w:szCs w:val="24"/>
        </w:rPr>
        <w:t>,</w:t>
      </w:r>
      <w:r>
        <w:rPr>
          <w:rFonts w:ascii="Times New Roman" w:hAnsi="Times New Roman" w:cs="Times New Roman"/>
          <w:sz w:val="24"/>
          <w:szCs w:val="24"/>
        </w:rPr>
        <w:t>9</w:t>
      </w:r>
      <w:r w:rsidRPr="001565E0">
        <w:rPr>
          <w:rFonts w:ascii="Times New Roman" w:hAnsi="Times New Roman" w:cs="Times New Roman"/>
          <w:sz w:val="24"/>
          <w:szCs w:val="24"/>
        </w:rPr>
        <w:t xml:space="preserve"> п.п.</w:t>
      </w:r>
    </w:p>
    <w:p w14:paraId="3A9F6093" w14:textId="13634B9D" w:rsidR="008B0A05" w:rsidRDefault="008B0A05" w:rsidP="008B0A05">
      <w:pPr>
        <w:spacing w:before="0" w:after="0" w:line="240" w:lineRule="auto"/>
        <w:ind w:firstLine="425"/>
        <w:jc w:val="both"/>
        <w:rPr>
          <w:rFonts w:ascii="Times New Roman" w:hAnsi="Times New Roman" w:cs="Times New Roman"/>
          <w:color w:val="000000"/>
          <w:sz w:val="24"/>
          <w:szCs w:val="24"/>
        </w:rPr>
      </w:pPr>
      <w:r w:rsidRPr="001565E0">
        <w:rPr>
          <w:rFonts w:ascii="Times New Roman" w:hAnsi="Times New Roman" w:cs="Times New Roman"/>
          <w:color w:val="000000"/>
          <w:sz w:val="24"/>
          <w:szCs w:val="24"/>
        </w:rPr>
        <w:t>По итогам 20</w:t>
      </w:r>
      <w:r>
        <w:rPr>
          <w:rFonts w:ascii="Times New Roman" w:hAnsi="Times New Roman" w:cs="Times New Roman"/>
          <w:color w:val="000000"/>
          <w:sz w:val="24"/>
          <w:szCs w:val="24"/>
        </w:rPr>
        <w:t>20</w:t>
      </w:r>
      <w:r w:rsidRPr="001565E0">
        <w:rPr>
          <w:rFonts w:ascii="Times New Roman" w:hAnsi="Times New Roman" w:cs="Times New Roman"/>
          <w:color w:val="000000"/>
          <w:sz w:val="24"/>
          <w:szCs w:val="24"/>
        </w:rPr>
        <w:t xml:space="preserve"> года размер денежной базы </w:t>
      </w:r>
      <w:r w:rsidR="000B4A6A">
        <w:rPr>
          <w:rFonts w:ascii="Times New Roman" w:hAnsi="Times New Roman" w:cs="Times New Roman"/>
          <w:color w:val="000000"/>
          <w:sz w:val="24"/>
          <w:szCs w:val="24"/>
        </w:rPr>
        <w:t>повысился</w:t>
      </w:r>
      <w:r w:rsidRPr="001565E0">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9</w:t>
      </w:r>
      <w:r w:rsidRPr="001565E0">
        <w:rPr>
          <w:rFonts w:ascii="Times New Roman" w:hAnsi="Times New Roman" w:cs="Times New Roman"/>
          <w:color w:val="000000"/>
          <w:sz w:val="24"/>
          <w:szCs w:val="24"/>
        </w:rPr>
        <w:t>,1% (+</w:t>
      </w:r>
      <w:r>
        <w:rPr>
          <w:rFonts w:ascii="Times New Roman" w:hAnsi="Times New Roman" w:cs="Times New Roman"/>
          <w:color w:val="000000"/>
          <w:sz w:val="24"/>
          <w:szCs w:val="24"/>
        </w:rPr>
        <w:t>278</w:t>
      </w:r>
      <w:r w:rsidRPr="001565E0">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565E0">
        <w:rPr>
          <w:rFonts w:ascii="Times New Roman" w:hAnsi="Times New Roman" w:cs="Times New Roman"/>
          <w:color w:val="000000"/>
          <w:sz w:val="24"/>
          <w:szCs w:val="24"/>
        </w:rPr>
        <w:t xml:space="preserve"> млн руб.), сложившись на 1 января 202</w:t>
      </w:r>
      <w:r>
        <w:rPr>
          <w:rFonts w:ascii="Times New Roman" w:hAnsi="Times New Roman" w:cs="Times New Roman"/>
          <w:color w:val="000000"/>
          <w:sz w:val="24"/>
          <w:szCs w:val="24"/>
        </w:rPr>
        <w:t>1</w:t>
      </w:r>
      <w:r w:rsidRPr="001565E0">
        <w:rPr>
          <w:rFonts w:ascii="Times New Roman" w:hAnsi="Times New Roman" w:cs="Times New Roman"/>
          <w:color w:val="000000"/>
          <w:sz w:val="24"/>
          <w:szCs w:val="24"/>
        </w:rPr>
        <w:t xml:space="preserve"> года в сумме 3 </w:t>
      </w:r>
      <w:r>
        <w:rPr>
          <w:rFonts w:ascii="Times New Roman" w:hAnsi="Times New Roman" w:cs="Times New Roman"/>
          <w:color w:val="000000"/>
          <w:sz w:val="24"/>
          <w:szCs w:val="24"/>
        </w:rPr>
        <w:t>328</w:t>
      </w:r>
      <w:r w:rsidRPr="001565E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1565E0">
        <w:rPr>
          <w:rFonts w:ascii="Times New Roman" w:hAnsi="Times New Roman" w:cs="Times New Roman"/>
          <w:color w:val="000000"/>
          <w:sz w:val="24"/>
          <w:szCs w:val="24"/>
        </w:rPr>
        <w:t xml:space="preserve"> млн руб.</w:t>
      </w:r>
      <w:r w:rsidRPr="001565E0">
        <w:rPr>
          <w:rStyle w:val="ae"/>
          <w:rFonts w:ascii="Times New Roman" w:hAnsi="Times New Roman"/>
          <w:color w:val="000000"/>
          <w:sz w:val="24"/>
          <w:szCs w:val="24"/>
        </w:rPr>
        <w:footnoteReference w:id="14"/>
      </w:r>
      <w:r w:rsidRPr="001565E0">
        <w:rPr>
          <w:rFonts w:ascii="Times New Roman" w:hAnsi="Times New Roman" w:cs="Times New Roman"/>
          <w:color w:val="000000"/>
          <w:sz w:val="24"/>
          <w:szCs w:val="24"/>
        </w:rPr>
        <w:t xml:space="preserve"> (табл. 1.7). </w:t>
      </w:r>
    </w:p>
    <w:p w14:paraId="63587A69" w14:textId="77777777" w:rsidR="00A92714" w:rsidRDefault="00A92714" w:rsidP="008B0A05">
      <w:pPr>
        <w:spacing w:before="0" w:after="0" w:line="240" w:lineRule="auto"/>
        <w:ind w:firstLine="425"/>
        <w:jc w:val="both"/>
        <w:rPr>
          <w:rFonts w:ascii="Times New Roman" w:hAnsi="Times New Roman" w:cs="Times New Roman"/>
          <w:color w:val="000000"/>
          <w:sz w:val="24"/>
          <w:szCs w:val="24"/>
        </w:rPr>
      </w:pPr>
    </w:p>
    <w:p w14:paraId="479A9784" w14:textId="25D35492" w:rsidR="00684192" w:rsidRPr="008A651D" w:rsidRDefault="00684192" w:rsidP="007301FC">
      <w:pPr>
        <w:spacing w:before="120" w:after="120" w:line="240" w:lineRule="auto"/>
        <w:ind w:firstLine="425"/>
        <w:jc w:val="right"/>
        <w:rPr>
          <w:rFonts w:ascii="Times New Roman" w:hAnsi="Times New Roman" w:cs="Times New Roman"/>
          <w:b/>
          <w:i/>
          <w:sz w:val="24"/>
          <w:szCs w:val="22"/>
        </w:rPr>
      </w:pPr>
      <w:r w:rsidRPr="008A651D">
        <w:rPr>
          <w:rFonts w:ascii="Times New Roman" w:hAnsi="Times New Roman" w:cs="Times New Roman"/>
          <w:b/>
          <w:i/>
          <w:sz w:val="24"/>
          <w:szCs w:val="22"/>
        </w:rPr>
        <w:t>Таблица 1.7</w:t>
      </w:r>
    </w:p>
    <w:p w14:paraId="10B36D23" w14:textId="77777777" w:rsidR="003F3109" w:rsidRDefault="003F3109" w:rsidP="00683E52">
      <w:pPr>
        <w:spacing w:before="0" w:after="120" w:line="240" w:lineRule="auto"/>
        <w:jc w:val="center"/>
        <w:rPr>
          <w:rFonts w:ascii="Times New Roman" w:hAnsi="Times New Roman" w:cs="Times New Roman"/>
          <w:b/>
          <w:i/>
          <w:color w:val="000000"/>
          <w:sz w:val="24"/>
          <w:szCs w:val="22"/>
        </w:rPr>
      </w:pPr>
      <w:r w:rsidRPr="008A651D">
        <w:rPr>
          <w:rFonts w:ascii="Times New Roman" w:hAnsi="Times New Roman" w:cs="Times New Roman"/>
          <w:b/>
          <w:i/>
          <w:color w:val="000000"/>
          <w:sz w:val="24"/>
          <w:szCs w:val="22"/>
        </w:rPr>
        <w:t xml:space="preserve">Структура и динамика денежной базы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1269"/>
        <w:gridCol w:w="1269"/>
        <w:gridCol w:w="1269"/>
        <w:gridCol w:w="1270"/>
        <w:gridCol w:w="932"/>
      </w:tblGrid>
      <w:tr w:rsidR="003F3109" w:rsidRPr="008A651D" w14:paraId="41FE83F0" w14:textId="77777777" w:rsidTr="00EF13D3">
        <w:trPr>
          <w:cantSplit/>
          <w:trHeight w:val="151"/>
        </w:trPr>
        <w:tc>
          <w:tcPr>
            <w:tcW w:w="3630" w:type="dxa"/>
            <w:vMerge w:val="restart"/>
            <w:shd w:val="clear" w:color="auto" w:fill="CCCCCC"/>
          </w:tcPr>
          <w:p w14:paraId="00DBF41E" w14:textId="77777777" w:rsidR="003F3109" w:rsidRPr="008A651D" w:rsidRDefault="003F3109" w:rsidP="008A651D">
            <w:pPr>
              <w:spacing w:before="0" w:after="0" w:line="240" w:lineRule="auto"/>
              <w:ind w:left="-108"/>
              <w:jc w:val="both"/>
              <w:rPr>
                <w:rFonts w:ascii="Times New Roman" w:hAnsi="Times New Roman" w:cs="Times New Roman"/>
                <w:color w:val="000000"/>
                <w:sz w:val="22"/>
                <w:szCs w:val="22"/>
              </w:rPr>
            </w:pPr>
          </w:p>
        </w:tc>
        <w:tc>
          <w:tcPr>
            <w:tcW w:w="2538" w:type="dxa"/>
            <w:gridSpan w:val="2"/>
            <w:shd w:val="clear" w:color="auto" w:fill="CCCCCC"/>
            <w:vAlign w:val="bottom"/>
          </w:tcPr>
          <w:p w14:paraId="1130C931" w14:textId="5CEADE2B" w:rsidR="003F3109" w:rsidRPr="008A651D" w:rsidRDefault="003F3109" w:rsidP="001420EA">
            <w:pPr>
              <w:spacing w:before="0" w:after="0" w:line="240" w:lineRule="auto"/>
              <w:ind w:left="-107" w:right="-111"/>
              <w:jc w:val="center"/>
              <w:rPr>
                <w:rFonts w:ascii="Times New Roman" w:hAnsi="Times New Roman" w:cs="Times New Roman"/>
                <w:sz w:val="22"/>
                <w:szCs w:val="22"/>
              </w:rPr>
            </w:pPr>
            <w:r w:rsidRPr="008A651D">
              <w:rPr>
                <w:rFonts w:ascii="Times New Roman" w:hAnsi="Times New Roman" w:cs="Times New Roman"/>
                <w:sz w:val="22"/>
                <w:szCs w:val="22"/>
              </w:rPr>
              <w:t>на 01.01.20</w:t>
            </w:r>
            <w:r w:rsidR="001420EA">
              <w:rPr>
                <w:rFonts w:ascii="Times New Roman" w:hAnsi="Times New Roman" w:cs="Times New Roman"/>
                <w:sz w:val="22"/>
                <w:szCs w:val="22"/>
              </w:rPr>
              <w:t>20</w:t>
            </w:r>
          </w:p>
        </w:tc>
        <w:tc>
          <w:tcPr>
            <w:tcW w:w="2539" w:type="dxa"/>
            <w:gridSpan w:val="2"/>
            <w:shd w:val="clear" w:color="auto" w:fill="CCCCCC"/>
            <w:vAlign w:val="bottom"/>
          </w:tcPr>
          <w:p w14:paraId="17A30950" w14:textId="6E10EFDD" w:rsidR="003F3109" w:rsidRPr="008A651D" w:rsidRDefault="003F3109" w:rsidP="001420EA">
            <w:pPr>
              <w:spacing w:before="0" w:after="0" w:line="240" w:lineRule="auto"/>
              <w:ind w:left="-107" w:right="-111"/>
              <w:jc w:val="center"/>
              <w:rPr>
                <w:rFonts w:ascii="Times New Roman" w:hAnsi="Times New Roman" w:cs="Times New Roman"/>
                <w:sz w:val="22"/>
                <w:szCs w:val="22"/>
              </w:rPr>
            </w:pPr>
            <w:r w:rsidRPr="008A651D">
              <w:rPr>
                <w:rFonts w:ascii="Times New Roman" w:hAnsi="Times New Roman" w:cs="Times New Roman"/>
                <w:sz w:val="22"/>
                <w:szCs w:val="22"/>
              </w:rPr>
              <w:t>на 01.01.202</w:t>
            </w:r>
            <w:r w:rsidR="001420EA">
              <w:rPr>
                <w:rFonts w:ascii="Times New Roman" w:hAnsi="Times New Roman" w:cs="Times New Roman"/>
                <w:sz w:val="22"/>
                <w:szCs w:val="22"/>
              </w:rPr>
              <w:t>1</w:t>
            </w:r>
          </w:p>
        </w:tc>
        <w:tc>
          <w:tcPr>
            <w:tcW w:w="932" w:type="dxa"/>
            <w:vMerge w:val="restart"/>
            <w:shd w:val="clear" w:color="auto" w:fill="CCCCCC"/>
            <w:vAlign w:val="center"/>
          </w:tcPr>
          <w:p w14:paraId="64A8FCFE" w14:textId="77777777" w:rsidR="003F3109" w:rsidRPr="008A651D" w:rsidRDefault="003F3109" w:rsidP="008A651D">
            <w:pPr>
              <w:spacing w:before="0" w:after="0" w:line="240" w:lineRule="auto"/>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темп роста, %</w:t>
            </w:r>
          </w:p>
        </w:tc>
      </w:tr>
      <w:tr w:rsidR="003F3109" w:rsidRPr="008A651D" w14:paraId="19049106" w14:textId="77777777" w:rsidTr="00EF13D3">
        <w:trPr>
          <w:cantSplit/>
          <w:trHeight w:val="117"/>
        </w:trPr>
        <w:tc>
          <w:tcPr>
            <w:tcW w:w="3630" w:type="dxa"/>
            <w:vMerge/>
            <w:tcBorders>
              <w:bottom w:val="double" w:sz="4" w:space="0" w:color="auto"/>
            </w:tcBorders>
          </w:tcPr>
          <w:p w14:paraId="5C18604F" w14:textId="77777777" w:rsidR="003F3109" w:rsidRPr="008A651D" w:rsidRDefault="003F3109" w:rsidP="008A651D">
            <w:pPr>
              <w:spacing w:before="0" w:after="0" w:line="240" w:lineRule="auto"/>
              <w:ind w:left="-108"/>
              <w:jc w:val="both"/>
              <w:rPr>
                <w:rFonts w:ascii="Times New Roman" w:hAnsi="Times New Roman" w:cs="Times New Roman"/>
                <w:color w:val="000000"/>
                <w:sz w:val="22"/>
                <w:szCs w:val="22"/>
              </w:rPr>
            </w:pPr>
          </w:p>
        </w:tc>
        <w:tc>
          <w:tcPr>
            <w:tcW w:w="1269" w:type="dxa"/>
            <w:tcBorders>
              <w:bottom w:val="double" w:sz="4" w:space="0" w:color="auto"/>
            </w:tcBorders>
            <w:shd w:val="clear" w:color="auto" w:fill="CCCCCC"/>
            <w:vAlign w:val="center"/>
          </w:tcPr>
          <w:p w14:paraId="2E339389" w14:textId="77777777" w:rsidR="003F3109" w:rsidRPr="008A651D" w:rsidRDefault="003F3109" w:rsidP="008A651D">
            <w:pPr>
              <w:spacing w:before="0" w:after="0" w:line="240" w:lineRule="auto"/>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млн руб.</w:t>
            </w:r>
          </w:p>
        </w:tc>
        <w:tc>
          <w:tcPr>
            <w:tcW w:w="1269" w:type="dxa"/>
            <w:tcBorders>
              <w:bottom w:val="double" w:sz="4" w:space="0" w:color="auto"/>
            </w:tcBorders>
            <w:shd w:val="clear" w:color="auto" w:fill="CCCCCC"/>
            <w:vAlign w:val="center"/>
          </w:tcPr>
          <w:p w14:paraId="0BAFCAA3" w14:textId="77777777" w:rsidR="003F3109" w:rsidRPr="008A651D" w:rsidRDefault="003F3109" w:rsidP="008A651D">
            <w:pPr>
              <w:spacing w:before="0" w:after="0" w:line="240" w:lineRule="auto"/>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уд. вес, %</w:t>
            </w:r>
          </w:p>
        </w:tc>
        <w:tc>
          <w:tcPr>
            <w:tcW w:w="1269" w:type="dxa"/>
            <w:tcBorders>
              <w:bottom w:val="double" w:sz="4" w:space="0" w:color="auto"/>
            </w:tcBorders>
            <w:shd w:val="clear" w:color="auto" w:fill="CCCCCC"/>
            <w:vAlign w:val="center"/>
          </w:tcPr>
          <w:p w14:paraId="71FD76D9" w14:textId="77777777" w:rsidR="003F3109" w:rsidRPr="008A651D" w:rsidRDefault="003F3109" w:rsidP="008A651D">
            <w:pPr>
              <w:spacing w:before="0" w:after="0" w:line="240" w:lineRule="auto"/>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млн руб.</w:t>
            </w:r>
          </w:p>
        </w:tc>
        <w:tc>
          <w:tcPr>
            <w:tcW w:w="1270" w:type="dxa"/>
            <w:tcBorders>
              <w:bottom w:val="double" w:sz="4" w:space="0" w:color="auto"/>
            </w:tcBorders>
            <w:shd w:val="clear" w:color="auto" w:fill="CCCCCC"/>
            <w:vAlign w:val="center"/>
          </w:tcPr>
          <w:p w14:paraId="23C56668" w14:textId="77777777" w:rsidR="003F3109" w:rsidRPr="008A651D" w:rsidRDefault="003F3109" w:rsidP="008A651D">
            <w:pPr>
              <w:spacing w:before="0" w:after="0" w:line="240" w:lineRule="auto"/>
              <w:jc w:val="center"/>
              <w:rPr>
                <w:rFonts w:ascii="Times New Roman" w:hAnsi="Times New Roman" w:cs="Times New Roman"/>
                <w:color w:val="000000"/>
                <w:sz w:val="22"/>
                <w:szCs w:val="22"/>
              </w:rPr>
            </w:pPr>
            <w:r w:rsidRPr="008A651D">
              <w:rPr>
                <w:rFonts w:ascii="Times New Roman" w:hAnsi="Times New Roman" w:cs="Times New Roman"/>
                <w:color w:val="000000"/>
                <w:sz w:val="22"/>
                <w:szCs w:val="22"/>
              </w:rPr>
              <w:t>уд. вес, %</w:t>
            </w:r>
          </w:p>
        </w:tc>
        <w:tc>
          <w:tcPr>
            <w:tcW w:w="932" w:type="dxa"/>
            <w:vMerge/>
            <w:tcBorders>
              <w:bottom w:val="double" w:sz="4" w:space="0" w:color="auto"/>
            </w:tcBorders>
            <w:vAlign w:val="center"/>
          </w:tcPr>
          <w:p w14:paraId="66F67C1F" w14:textId="77777777" w:rsidR="003F3109" w:rsidRPr="008A651D" w:rsidRDefault="003F3109" w:rsidP="008A651D">
            <w:pPr>
              <w:spacing w:before="0" w:after="0" w:line="240" w:lineRule="auto"/>
              <w:jc w:val="both"/>
              <w:rPr>
                <w:rFonts w:ascii="Times New Roman" w:hAnsi="Times New Roman" w:cs="Times New Roman"/>
                <w:color w:val="000000"/>
                <w:sz w:val="22"/>
                <w:szCs w:val="22"/>
              </w:rPr>
            </w:pPr>
          </w:p>
        </w:tc>
      </w:tr>
      <w:tr w:rsidR="001420EA" w:rsidRPr="008A651D" w14:paraId="2F12F977" w14:textId="77777777" w:rsidTr="00EF13D3">
        <w:trPr>
          <w:trHeight w:val="221"/>
        </w:trPr>
        <w:tc>
          <w:tcPr>
            <w:tcW w:w="3630" w:type="dxa"/>
            <w:tcBorders>
              <w:top w:val="double" w:sz="4" w:space="0" w:color="auto"/>
              <w:bottom w:val="single" w:sz="4" w:space="0" w:color="auto"/>
            </w:tcBorders>
            <w:shd w:val="clear" w:color="auto" w:fill="E0E0E0"/>
            <w:vAlign w:val="center"/>
          </w:tcPr>
          <w:p w14:paraId="5F3C4BE6" w14:textId="77777777" w:rsidR="001420EA" w:rsidRPr="008A651D" w:rsidRDefault="001420EA" w:rsidP="001420EA">
            <w:pPr>
              <w:spacing w:before="0" w:after="0" w:line="240" w:lineRule="auto"/>
              <w:rPr>
                <w:rFonts w:ascii="Times New Roman" w:hAnsi="Times New Roman" w:cs="Times New Roman"/>
                <w:color w:val="000000"/>
                <w:sz w:val="22"/>
                <w:szCs w:val="22"/>
              </w:rPr>
            </w:pPr>
            <w:r w:rsidRPr="008A651D">
              <w:rPr>
                <w:rFonts w:ascii="Times New Roman" w:hAnsi="Times New Roman" w:cs="Times New Roman"/>
                <w:color w:val="000000"/>
                <w:sz w:val="22"/>
                <w:szCs w:val="22"/>
              </w:rPr>
              <w:t>Денежная база</w:t>
            </w:r>
          </w:p>
        </w:tc>
        <w:tc>
          <w:tcPr>
            <w:tcW w:w="1269" w:type="dxa"/>
            <w:tcBorders>
              <w:top w:val="double" w:sz="4" w:space="0" w:color="auto"/>
              <w:bottom w:val="single" w:sz="4" w:space="0" w:color="auto"/>
            </w:tcBorders>
            <w:shd w:val="clear" w:color="auto" w:fill="E0E0E0"/>
            <w:vAlign w:val="bottom"/>
          </w:tcPr>
          <w:p w14:paraId="2738A3A7" w14:textId="3D40D452"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3 050,2</w:t>
            </w:r>
          </w:p>
        </w:tc>
        <w:tc>
          <w:tcPr>
            <w:tcW w:w="1269" w:type="dxa"/>
            <w:tcBorders>
              <w:top w:val="double" w:sz="4" w:space="0" w:color="auto"/>
              <w:bottom w:val="single" w:sz="4" w:space="0" w:color="auto"/>
            </w:tcBorders>
            <w:shd w:val="clear" w:color="auto" w:fill="E0E0E0"/>
            <w:vAlign w:val="bottom"/>
          </w:tcPr>
          <w:p w14:paraId="42EB0320" w14:textId="4CE3742E"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100,0</w:t>
            </w:r>
          </w:p>
        </w:tc>
        <w:tc>
          <w:tcPr>
            <w:tcW w:w="1269" w:type="dxa"/>
            <w:tcBorders>
              <w:top w:val="double" w:sz="4" w:space="0" w:color="auto"/>
              <w:bottom w:val="single" w:sz="4" w:space="0" w:color="auto"/>
            </w:tcBorders>
            <w:shd w:val="clear" w:color="auto" w:fill="E0E0E0"/>
            <w:vAlign w:val="bottom"/>
          </w:tcPr>
          <w:p w14:paraId="4CE3CB13" w14:textId="59FF6F98"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3</w:t>
            </w:r>
            <w:r>
              <w:rPr>
                <w:rFonts w:ascii="Times New Roman" w:hAnsi="Times New Roman" w:cs="Times New Roman"/>
                <w:color w:val="000000"/>
                <w:sz w:val="22"/>
                <w:szCs w:val="22"/>
              </w:rPr>
              <w:t xml:space="preserve"> 328</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3</w:t>
            </w:r>
          </w:p>
        </w:tc>
        <w:tc>
          <w:tcPr>
            <w:tcW w:w="1270" w:type="dxa"/>
            <w:tcBorders>
              <w:top w:val="double" w:sz="4" w:space="0" w:color="auto"/>
              <w:bottom w:val="single" w:sz="4" w:space="0" w:color="auto"/>
            </w:tcBorders>
            <w:shd w:val="clear" w:color="auto" w:fill="E0E0E0"/>
            <w:vAlign w:val="bottom"/>
          </w:tcPr>
          <w:p w14:paraId="59F279AF" w14:textId="7777777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100,0</w:t>
            </w:r>
          </w:p>
        </w:tc>
        <w:tc>
          <w:tcPr>
            <w:tcW w:w="932" w:type="dxa"/>
            <w:tcBorders>
              <w:top w:val="double" w:sz="4" w:space="0" w:color="auto"/>
              <w:bottom w:val="single" w:sz="4" w:space="0" w:color="auto"/>
            </w:tcBorders>
            <w:shd w:val="clear" w:color="auto" w:fill="E0E0E0"/>
            <w:vAlign w:val="bottom"/>
          </w:tcPr>
          <w:p w14:paraId="463309FD" w14:textId="51BCD50B"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w:t>
            </w:r>
            <w:r>
              <w:rPr>
                <w:rFonts w:ascii="Times New Roman" w:hAnsi="Times New Roman" w:cs="Times New Roman"/>
                <w:color w:val="000000"/>
                <w:sz w:val="22"/>
                <w:szCs w:val="22"/>
              </w:rPr>
              <w:t>09</w:t>
            </w:r>
            <w:r w:rsidRPr="008A651D">
              <w:rPr>
                <w:rFonts w:ascii="Times New Roman" w:hAnsi="Times New Roman" w:cs="Times New Roman"/>
                <w:color w:val="000000"/>
                <w:sz w:val="22"/>
                <w:szCs w:val="22"/>
              </w:rPr>
              <w:t>,1</w:t>
            </w:r>
          </w:p>
        </w:tc>
      </w:tr>
      <w:tr w:rsidR="001420EA" w:rsidRPr="008A651D" w14:paraId="65B558EA" w14:textId="77777777" w:rsidTr="00EF13D3">
        <w:trPr>
          <w:trHeight w:val="140"/>
        </w:trPr>
        <w:tc>
          <w:tcPr>
            <w:tcW w:w="3630" w:type="dxa"/>
            <w:tcBorders>
              <w:bottom w:val="nil"/>
            </w:tcBorders>
            <w:vAlign w:val="center"/>
          </w:tcPr>
          <w:p w14:paraId="05F919CF" w14:textId="77777777" w:rsidR="001420EA" w:rsidRPr="008A651D" w:rsidRDefault="001420EA" w:rsidP="001420EA">
            <w:pPr>
              <w:spacing w:before="0" w:after="0" w:line="240" w:lineRule="auto"/>
              <w:ind w:left="74" w:firstLine="102"/>
              <w:rPr>
                <w:rFonts w:ascii="Times New Roman" w:hAnsi="Times New Roman" w:cs="Times New Roman"/>
                <w:color w:val="000000"/>
                <w:sz w:val="22"/>
                <w:szCs w:val="22"/>
              </w:rPr>
            </w:pPr>
            <w:r w:rsidRPr="008A651D">
              <w:rPr>
                <w:rFonts w:ascii="Times New Roman" w:hAnsi="Times New Roman" w:cs="Times New Roman"/>
                <w:color w:val="000000"/>
                <w:sz w:val="22"/>
                <w:szCs w:val="22"/>
              </w:rPr>
              <w:t>в том числе:</w:t>
            </w:r>
          </w:p>
        </w:tc>
        <w:tc>
          <w:tcPr>
            <w:tcW w:w="1269" w:type="dxa"/>
            <w:tcBorders>
              <w:bottom w:val="nil"/>
            </w:tcBorders>
            <w:vAlign w:val="bottom"/>
          </w:tcPr>
          <w:p w14:paraId="405FC9EE" w14:textId="375D05A7" w:rsidR="001420EA" w:rsidRPr="008A651D" w:rsidRDefault="001420EA" w:rsidP="001420EA">
            <w:pPr>
              <w:spacing w:before="0" w:after="0" w:line="240" w:lineRule="auto"/>
              <w:ind w:right="176"/>
              <w:rPr>
                <w:rFonts w:ascii="Times New Roman" w:hAnsi="Times New Roman" w:cs="Times New Roman"/>
                <w:sz w:val="22"/>
                <w:szCs w:val="22"/>
              </w:rPr>
            </w:pPr>
            <w:r w:rsidRPr="008A651D">
              <w:rPr>
                <w:rFonts w:ascii="Times New Roman" w:hAnsi="Times New Roman" w:cs="Times New Roman"/>
                <w:sz w:val="22"/>
                <w:szCs w:val="22"/>
              </w:rPr>
              <w:t> </w:t>
            </w:r>
          </w:p>
        </w:tc>
        <w:tc>
          <w:tcPr>
            <w:tcW w:w="1269" w:type="dxa"/>
            <w:tcBorders>
              <w:bottom w:val="nil"/>
            </w:tcBorders>
            <w:vAlign w:val="bottom"/>
          </w:tcPr>
          <w:p w14:paraId="35D27DFD" w14:textId="76B45BB5"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 </w:t>
            </w:r>
          </w:p>
        </w:tc>
        <w:tc>
          <w:tcPr>
            <w:tcW w:w="1269" w:type="dxa"/>
            <w:tcBorders>
              <w:bottom w:val="nil"/>
              <w:right w:val="single" w:sz="4" w:space="0" w:color="auto"/>
            </w:tcBorders>
            <w:vAlign w:val="bottom"/>
          </w:tcPr>
          <w:p w14:paraId="6738142C" w14:textId="77777777" w:rsidR="001420EA" w:rsidRPr="008A651D" w:rsidRDefault="001420EA" w:rsidP="001420EA">
            <w:pPr>
              <w:spacing w:before="0" w:after="0" w:line="240" w:lineRule="auto"/>
              <w:ind w:right="176"/>
              <w:rPr>
                <w:rFonts w:ascii="Times New Roman" w:hAnsi="Times New Roman" w:cs="Times New Roman"/>
                <w:sz w:val="22"/>
                <w:szCs w:val="22"/>
              </w:rPr>
            </w:pPr>
            <w:r w:rsidRPr="008A651D">
              <w:rPr>
                <w:rFonts w:ascii="Times New Roman" w:hAnsi="Times New Roman" w:cs="Times New Roman"/>
                <w:sz w:val="22"/>
                <w:szCs w:val="22"/>
              </w:rPr>
              <w:t> </w:t>
            </w:r>
          </w:p>
        </w:tc>
        <w:tc>
          <w:tcPr>
            <w:tcW w:w="1270" w:type="dxa"/>
            <w:tcBorders>
              <w:top w:val="single" w:sz="4" w:space="0" w:color="auto"/>
              <w:left w:val="single" w:sz="4" w:space="0" w:color="auto"/>
              <w:bottom w:val="nil"/>
              <w:right w:val="single" w:sz="4" w:space="0" w:color="auto"/>
            </w:tcBorders>
            <w:vAlign w:val="bottom"/>
          </w:tcPr>
          <w:p w14:paraId="6D6ABDD7" w14:textId="7777777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 </w:t>
            </w:r>
          </w:p>
        </w:tc>
        <w:tc>
          <w:tcPr>
            <w:tcW w:w="932" w:type="dxa"/>
            <w:tcBorders>
              <w:left w:val="single" w:sz="4" w:space="0" w:color="auto"/>
              <w:bottom w:val="nil"/>
            </w:tcBorders>
            <w:vAlign w:val="bottom"/>
          </w:tcPr>
          <w:p w14:paraId="3301C37D" w14:textId="7777777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 </w:t>
            </w:r>
          </w:p>
        </w:tc>
      </w:tr>
      <w:tr w:rsidR="001420EA" w:rsidRPr="008A651D" w14:paraId="1BC5C631" w14:textId="77777777" w:rsidTr="00EF13D3">
        <w:tc>
          <w:tcPr>
            <w:tcW w:w="3630" w:type="dxa"/>
            <w:tcBorders>
              <w:top w:val="nil"/>
              <w:bottom w:val="nil"/>
            </w:tcBorders>
            <w:vAlign w:val="center"/>
          </w:tcPr>
          <w:p w14:paraId="79210649" w14:textId="77777777" w:rsidR="001420EA" w:rsidRPr="008A651D" w:rsidRDefault="001420EA" w:rsidP="001420EA">
            <w:pPr>
              <w:spacing w:before="0" w:after="0" w:line="240" w:lineRule="auto"/>
              <w:ind w:left="176"/>
              <w:rPr>
                <w:rFonts w:ascii="Times New Roman" w:hAnsi="Times New Roman" w:cs="Times New Roman"/>
                <w:color w:val="000000"/>
                <w:sz w:val="22"/>
                <w:szCs w:val="22"/>
              </w:rPr>
            </w:pPr>
            <w:r w:rsidRPr="008A651D">
              <w:rPr>
                <w:rFonts w:ascii="Times New Roman" w:hAnsi="Times New Roman" w:cs="Times New Roman"/>
                <w:color w:val="000000"/>
                <w:sz w:val="22"/>
                <w:szCs w:val="22"/>
              </w:rPr>
              <w:t>- наличные деньги в обращении</w:t>
            </w:r>
          </w:p>
        </w:tc>
        <w:tc>
          <w:tcPr>
            <w:tcW w:w="1269" w:type="dxa"/>
            <w:tcBorders>
              <w:top w:val="nil"/>
              <w:bottom w:val="nil"/>
            </w:tcBorders>
            <w:vAlign w:val="bottom"/>
          </w:tcPr>
          <w:p w14:paraId="02FB1356" w14:textId="2A3DE061"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1 178,1</w:t>
            </w:r>
          </w:p>
        </w:tc>
        <w:tc>
          <w:tcPr>
            <w:tcW w:w="1269" w:type="dxa"/>
            <w:tcBorders>
              <w:top w:val="nil"/>
              <w:bottom w:val="nil"/>
            </w:tcBorders>
            <w:vAlign w:val="bottom"/>
          </w:tcPr>
          <w:p w14:paraId="7521849C" w14:textId="787C91F1"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38,6</w:t>
            </w:r>
          </w:p>
        </w:tc>
        <w:tc>
          <w:tcPr>
            <w:tcW w:w="1269" w:type="dxa"/>
            <w:tcBorders>
              <w:top w:val="nil"/>
              <w:bottom w:val="nil"/>
              <w:right w:val="single" w:sz="4" w:space="0" w:color="auto"/>
            </w:tcBorders>
            <w:vAlign w:val="bottom"/>
          </w:tcPr>
          <w:p w14:paraId="21E9419F" w14:textId="60A33A8D"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 xml:space="preserve">1 </w:t>
            </w:r>
            <w:r>
              <w:rPr>
                <w:rFonts w:ascii="Times New Roman" w:hAnsi="Times New Roman" w:cs="Times New Roman"/>
                <w:color w:val="000000"/>
                <w:sz w:val="22"/>
                <w:szCs w:val="22"/>
              </w:rPr>
              <w:t>279</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8</w:t>
            </w:r>
          </w:p>
        </w:tc>
        <w:tc>
          <w:tcPr>
            <w:tcW w:w="1270" w:type="dxa"/>
            <w:tcBorders>
              <w:top w:val="nil"/>
              <w:left w:val="single" w:sz="4" w:space="0" w:color="auto"/>
              <w:bottom w:val="nil"/>
              <w:right w:val="single" w:sz="4" w:space="0" w:color="auto"/>
            </w:tcBorders>
            <w:vAlign w:val="bottom"/>
          </w:tcPr>
          <w:p w14:paraId="0C873F5D" w14:textId="50A9AF58"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38,</w:t>
            </w:r>
            <w:r>
              <w:rPr>
                <w:rFonts w:ascii="Times New Roman" w:hAnsi="Times New Roman" w:cs="Times New Roman"/>
                <w:color w:val="000000"/>
                <w:sz w:val="22"/>
                <w:szCs w:val="22"/>
              </w:rPr>
              <w:t>4</w:t>
            </w:r>
          </w:p>
        </w:tc>
        <w:tc>
          <w:tcPr>
            <w:tcW w:w="932" w:type="dxa"/>
            <w:tcBorders>
              <w:top w:val="nil"/>
              <w:left w:val="single" w:sz="4" w:space="0" w:color="auto"/>
              <w:bottom w:val="nil"/>
            </w:tcBorders>
            <w:vAlign w:val="bottom"/>
          </w:tcPr>
          <w:p w14:paraId="3B969B04" w14:textId="27564D5B"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w:t>
            </w:r>
            <w:r>
              <w:rPr>
                <w:rFonts w:ascii="Times New Roman" w:hAnsi="Times New Roman" w:cs="Times New Roman"/>
                <w:color w:val="000000"/>
                <w:sz w:val="22"/>
                <w:szCs w:val="22"/>
              </w:rPr>
              <w:t>08</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6</w:t>
            </w:r>
          </w:p>
        </w:tc>
      </w:tr>
      <w:tr w:rsidR="001420EA" w:rsidRPr="008A651D" w14:paraId="0FCD6290" w14:textId="77777777" w:rsidTr="00EF13D3">
        <w:tc>
          <w:tcPr>
            <w:tcW w:w="3630" w:type="dxa"/>
            <w:tcBorders>
              <w:top w:val="nil"/>
              <w:left w:val="single" w:sz="4" w:space="0" w:color="auto"/>
              <w:bottom w:val="nil"/>
              <w:right w:val="single" w:sz="4" w:space="0" w:color="auto"/>
            </w:tcBorders>
            <w:vAlign w:val="center"/>
          </w:tcPr>
          <w:p w14:paraId="0D510232" w14:textId="77777777" w:rsidR="001420EA" w:rsidRPr="008A651D" w:rsidRDefault="001420EA" w:rsidP="001420EA">
            <w:pPr>
              <w:spacing w:before="0" w:after="0" w:line="240" w:lineRule="auto"/>
              <w:ind w:left="74" w:firstLine="102"/>
              <w:rPr>
                <w:rFonts w:ascii="Times New Roman" w:hAnsi="Times New Roman" w:cs="Times New Roman"/>
                <w:color w:val="000000"/>
                <w:sz w:val="22"/>
                <w:szCs w:val="22"/>
              </w:rPr>
            </w:pPr>
            <w:r w:rsidRPr="008A651D">
              <w:rPr>
                <w:rFonts w:ascii="Times New Roman" w:hAnsi="Times New Roman" w:cs="Times New Roman"/>
                <w:color w:val="000000"/>
                <w:sz w:val="22"/>
                <w:szCs w:val="22"/>
              </w:rPr>
              <w:t>- средства в кассах банков</w:t>
            </w:r>
            <w:r w:rsidRPr="008A651D">
              <w:rPr>
                <w:rFonts w:ascii="Times New Roman" w:hAnsi="Times New Roman" w:cs="Times New Roman"/>
                <w:color w:val="000000"/>
                <w:sz w:val="22"/>
                <w:szCs w:val="22"/>
                <w:vertAlign w:val="superscript"/>
              </w:rPr>
              <w:t>26</w:t>
            </w:r>
          </w:p>
        </w:tc>
        <w:tc>
          <w:tcPr>
            <w:tcW w:w="1269" w:type="dxa"/>
            <w:tcBorders>
              <w:top w:val="nil"/>
              <w:left w:val="single" w:sz="4" w:space="0" w:color="auto"/>
              <w:bottom w:val="nil"/>
              <w:right w:val="single" w:sz="4" w:space="0" w:color="auto"/>
            </w:tcBorders>
            <w:vAlign w:val="bottom"/>
          </w:tcPr>
          <w:p w14:paraId="77CDFB12" w14:textId="02A0A88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445,4</w:t>
            </w:r>
          </w:p>
        </w:tc>
        <w:tc>
          <w:tcPr>
            <w:tcW w:w="1269" w:type="dxa"/>
            <w:tcBorders>
              <w:top w:val="nil"/>
              <w:left w:val="single" w:sz="4" w:space="0" w:color="auto"/>
              <w:bottom w:val="nil"/>
              <w:right w:val="single" w:sz="4" w:space="0" w:color="auto"/>
            </w:tcBorders>
            <w:vAlign w:val="bottom"/>
          </w:tcPr>
          <w:p w14:paraId="3425E99C" w14:textId="5C974980"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14,6</w:t>
            </w:r>
          </w:p>
        </w:tc>
        <w:tc>
          <w:tcPr>
            <w:tcW w:w="1269" w:type="dxa"/>
            <w:tcBorders>
              <w:top w:val="nil"/>
              <w:left w:val="single" w:sz="4" w:space="0" w:color="auto"/>
              <w:bottom w:val="nil"/>
              <w:right w:val="single" w:sz="4" w:space="0" w:color="auto"/>
            </w:tcBorders>
            <w:vAlign w:val="bottom"/>
          </w:tcPr>
          <w:p w14:paraId="2D7FDA1E" w14:textId="69E176C4"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Pr>
                <w:rFonts w:ascii="Times New Roman" w:hAnsi="Times New Roman" w:cs="Times New Roman"/>
                <w:color w:val="000000"/>
                <w:sz w:val="22"/>
                <w:szCs w:val="22"/>
              </w:rPr>
              <w:t>516</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3</w:t>
            </w:r>
          </w:p>
        </w:tc>
        <w:tc>
          <w:tcPr>
            <w:tcW w:w="1270" w:type="dxa"/>
            <w:tcBorders>
              <w:top w:val="nil"/>
              <w:left w:val="single" w:sz="4" w:space="0" w:color="auto"/>
              <w:bottom w:val="nil"/>
              <w:right w:val="single" w:sz="4" w:space="0" w:color="auto"/>
            </w:tcBorders>
            <w:vAlign w:val="bottom"/>
          </w:tcPr>
          <w:p w14:paraId="1CDF7F93" w14:textId="00D3662D"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w:t>
            </w:r>
            <w:r>
              <w:rPr>
                <w:rFonts w:ascii="Times New Roman" w:hAnsi="Times New Roman" w:cs="Times New Roman"/>
                <w:color w:val="000000"/>
                <w:sz w:val="22"/>
                <w:szCs w:val="22"/>
              </w:rPr>
              <w:t>5</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5</w:t>
            </w:r>
          </w:p>
        </w:tc>
        <w:tc>
          <w:tcPr>
            <w:tcW w:w="932" w:type="dxa"/>
            <w:tcBorders>
              <w:top w:val="nil"/>
              <w:left w:val="single" w:sz="4" w:space="0" w:color="auto"/>
              <w:bottom w:val="nil"/>
              <w:right w:val="single" w:sz="4" w:space="0" w:color="auto"/>
            </w:tcBorders>
            <w:vAlign w:val="bottom"/>
          </w:tcPr>
          <w:p w14:paraId="452DF99A" w14:textId="31FFFDCD"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11</w:t>
            </w:r>
            <w:r>
              <w:rPr>
                <w:rFonts w:ascii="Times New Roman" w:hAnsi="Times New Roman" w:cs="Times New Roman"/>
                <w:color w:val="000000"/>
                <w:sz w:val="22"/>
                <w:szCs w:val="22"/>
              </w:rPr>
              <w:t>5</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9</w:t>
            </w:r>
          </w:p>
        </w:tc>
      </w:tr>
      <w:tr w:rsidR="001420EA" w:rsidRPr="008A651D" w14:paraId="44EDF9FF" w14:textId="77777777" w:rsidTr="00EF13D3">
        <w:tc>
          <w:tcPr>
            <w:tcW w:w="3630" w:type="dxa"/>
            <w:tcBorders>
              <w:top w:val="nil"/>
              <w:left w:val="single" w:sz="4" w:space="0" w:color="auto"/>
              <w:bottom w:val="single" w:sz="4" w:space="0" w:color="auto"/>
              <w:right w:val="single" w:sz="4" w:space="0" w:color="auto"/>
            </w:tcBorders>
            <w:vAlign w:val="center"/>
          </w:tcPr>
          <w:p w14:paraId="554AEB14" w14:textId="77777777" w:rsidR="001420EA" w:rsidRPr="008A651D" w:rsidRDefault="001420EA" w:rsidP="001420EA">
            <w:pPr>
              <w:spacing w:before="0" w:after="0" w:line="240" w:lineRule="auto"/>
              <w:ind w:left="312" w:hanging="136"/>
              <w:rPr>
                <w:rFonts w:ascii="Times New Roman" w:hAnsi="Times New Roman" w:cs="Times New Roman"/>
                <w:color w:val="000000"/>
                <w:sz w:val="22"/>
                <w:szCs w:val="22"/>
              </w:rPr>
            </w:pPr>
            <w:r w:rsidRPr="008A651D">
              <w:rPr>
                <w:rFonts w:ascii="Times New Roman" w:hAnsi="Times New Roman" w:cs="Times New Roman"/>
                <w:color w:val="000000"/>
                <w:sz w:val="22"/>
                <w:szCs w:val="22"/>
              </w:rPr>
              <w:t>- корреспондентские счета банков</w:t>
            </w:r>
          </w:p>
          <w:p w14:paraId="36294405" w14:textId="77777777" w:rsidR="001420EA" w:rsidRPr="008A651D" w:rsidRDefault="001420EA" w:rsidP="001420EA">
            <w:pPr>
              <w:spacing w:before="0" w:after="0" w:line="240" w:lineRule="auto"/>
              <w:ind w:left="312" w:hanging="136"/>
              <w:rPr>
                <w:rFonts w:ascii="Times New Roman" w:hAnsi="Times New Roman" w:cs="Times New Roman"/>
                <w:color w:val="000000"/>
                <w:sz w:val="22"/>
                <w:szCs w:val="22"/>
              </w:rPr>
            </w:pPr>
            <w:r w:rsidRPr="008A651D">
              <w:rPr>
                <w:rFonts w:ascii="Times New Roman" w:hAnsi="Times New Roman" w:cs="Times New Roman"/>
                <w:color w:val="000000"/>
                <w:sz w:val="22"/>
                <w:szCs w:val="22"/>
              </w:rPr>
              <w:t>- депозиты банков</w:t>
            </w:r>
          </w:p>
        </w:tc>
        <w:tc>
          <w:tcPr>
            <w:tcW w:w="1269" w:type="dxa"/>
            <w:tcBorders>
              <w:top w:val="nil"/>
              <w:left w:val="single" w:sz="4" w:space="0" w:color="auto"/>
              <w:bottom w:val="single" w:sz="4" w:space="0" w:color="auto"/>
              <w:right w:val="single" w:sz="4" w:space="0" w:color="auto"/>
            </w:tcBorders>
            <w:vAlign w:val="bottom"/>
          </w:tcPr>
          <w:p w14:paraId="12748A74" w14:textId="7777777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1 414,2</w:t>
            </w:r>
          </w:p>
          <w:p w14:paraId="2B7E4DB1" w14:textId="1BF030E0"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12,5</w:t>
            </w:r>
          </w:p>
        </w:tc>
        <w:tc>
          <w:tcPr>
            <w:tcW w:w="1269" w:type="dxa"/>
            <w:tcBorders>
              <w:top w:val="nil"/>
              <w:left w:val="single" w:sz="4" w:space="0" w:color="auto"/>
              <w:bottom w:val="single" w:sz="4" w:space="0" w:color="auto"/>
              <w:right w:val="single" w:sz="4" w:space="0" w:color="auto"/>
            </w:tcBorders>
            <w:vAlign w:val="bottom"/>
          </w:tcPr>
          <w:p w14:paraId="6EA0A3C4" w14:textId="7777777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46,4</w:t>
            </w:r>
          </w:p>
          <w:p w14:paraId="2453BD6A" w14:textId="23B78F70"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0,4</w:t>
            </w:r>
          </w:p>
        </w:tc>
        <w:tc>
          <w:tcPr>
            <w:tcW w:w="1269" w:type="dxa"/>
            <w:tcBorders>
              <w:top w:val="nil"/>
              <w:left w:val="single" w:sz="4" w:space="0" w:color="auto"/>
              <w:bottom w:val="single" w:sz="4" w:space="0" w:color="auto"/>
              <w:right w:val="single" w:sz="4" w:space="0" w:color="auto"/>
            </w:tcBorders>
            <w:vAlign w:val="bottom"/>
          </w:tcPr>
          <w:p w14:paraId="3B964820" w14:textId="2E37D4C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w:t>
            </w:r>
            <w:r>
              <w:rPr>
                <w:rFonts w:ascii="Times New Roman" w:hAnsi="Times New Roman" w:cs="Times New Roman"/>
                <w:color w:val="000000"/>
                <w:sz w:val="22"/>
                <w:szCs w:val="22"/>
              </w:rPr>
              <w:t xml:space="preserve"> 519</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7</w:t>
            </w:r>
          </w:p>
          <w:p w14:paraId="0F59CB72" w14:textId="7777777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12,5</w:t>
            </w:r>
          </w:p>
        </w:tc>
        <w:tc>
          <w:tcPr>
            <w:tcW w:w="1270" w:type="dxa"/>
            <w:tcBorders>
              <w:top w:val="nil"/>
              <w:left w:val="single" w:sz="4" w:space="0" w:color="auto"/>
              <w:bottom w:val="single" w:sz="4" w:space="0" w:color="auto"/>
              <w:right w:val="single" w:sz="4" w:space="0" w:color="auto"/>
            </w:tcBorders>
            <w:vAlign w:val="bottom"/>
          </w:tcPr>
          <w:p w14:paraId="02DE8366" w14:textId="0C508A73"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4</w:t>
            </w:r>
            <w:r>
              <w:rPr>
                <w:rFonts w:ascii="Times New Roman" w:hAnsi="Times New Roman" w:cs="Times New Roman"/>
                <w:color w:val="000000"/>
                <w:sz w:val="22"/>
                <w:szCs w:val="22"/>
              </w:rPr>
              <w:t>5</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7</w:t>
            </w:r>
          </w:p>
          <w:p w14:paraId="2D638F43" w14:textId="77777777"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0,4</w:t>
            </w:r>
          </w:p>
        </w:tc>
        <w:tc>
          <w:tcPr>
            <w:tcW w:w="932" w:type="dxa"/>
            <w:tcBorders>
              <w:top w:val="nil"/>
              <w:left w:val="single" w:sz="4" w:space="0" w:color="auto"/>
              <w:bottom w:val="single" w:sz="4" w:space="0" w:color="auto"/>
              <w:right w:val="single" w:sz="4" w:space="0" w:color="auto"/>
            </w:tcBorders>
            <w:vAlign w:val="bottom"/>
          </w:tcPr>
          <w:p w14:paraId="5F7BC173" w14:textId="74D775E5" w:rsidR="001420EA" w:rsidRPr="008A651D" w:rsidRDefault="001420EA" w:rsidP="001420EA">
            <w:pPr>
              <w:spacing w:before="0" w:after="0" w:line="240" w:lineRule="auto"/>
              <w:ind w:right="176"/>
              <w:jc w:val="right"/>
              <w:rPr>
                <w:rFonts w:ascii="Times New Roman" w:hAnsi="Times New Roman" w:cs="Times New Roman"/>
                <w:color w:val="000000"/>
                <w:sz w:val="22"/>
                <w:szCs w:val="22"/>
              </w:rPr>
            </w:pPr>
            <w:r w:rsidRPr="008A651D">
              <w:rPr>
                <w:rFonts w:ascii="Times New Roman" w:hAnsi="Times New Roman" w:cs="Times New Roman"/>
                <w:color w:val="000000"/>
                <w:sz w:val="22"/>
                <w:szCs w:val="22"/>
              </w:rPr>
              <w:t>1</w:t>
            </w:r>
            <w:r>
              <w:rPr>
                <w:rFonts w:ascii="Times New Roman" w:hAnsi="Times New Roman" w:cs="Times New Roman"/>
                <w:color w:val="000000"/>
                <w:sz w:val="22"/>
                <w:szCs w:val="22"/>
              </w:rPr>
              <w:t>07</w:t>
            </w:r>
            <w:r w:rsidRPr="008A651D">
              <w:rPr>
                <w:rFonts w:ascii="Times New Roman" w:hAnsi="Times New Roman" w:cs="Times New Roman"/>
                <w:color w:val="000000"/>
                <w:sz w:val="22"/>
                <w:szCs w:val="22"/>
              </w:rPr>
              <w:t>,</w:t>
            </w:r>
            <w:r>
              <w:rPr>
                <w:rFonts w:ascii="Times New Roman" w:hAnsi="Times New Roman" w:cs="Times New Roman"/>
                <w:color w:val="000000"/>
                <w:sz w:val="22"/>
                <w:szCs w:val="22"/>
              </w:rPr>
              <w:t>5</w:t>
            </w:r>
          </w:p>
          <w:p w14:paraId="29B94DE4" w14:textId="0CB684CE" w:rsidR="001420EA" w:rsidRPr="008A651D" w:rsidRDefault="00CD3938" w:rsidP="001420EA">
            <w:pPr>
              <w:spacing w:before="0" w:after="0" w:line="240" w:lineRule="auto"/>
              <w:ind w:right="176"/>
              <w:jc w:val="right"/>
              <w:rPr>
                <w:rFonts w:ascii="Times New Roman" w:hAnsi="Times New Roman" w:cs="Times New Roman"/>
                <w:color w:val="000000"/>
                <w:sz w:val="22"/>
                <w:szCs w:val="22"/>
              </w:rPr>
            </w:pPr>
            <w:r>
              <w:rPr>
                <w:rFonts w:ascii="Times New Roman" w:hAnsi="Times New Roman" w:cs="Times New Roman"/>
                <w:color w:val="000000"/>
                <w:sz w:val="22"/>
                <w:szCs w:val="22"/>
              </w:rPr>
              <w:t>100,0</w:t>
            </w:r>
          </w:p>
        </w:tc>
      </w:tr>
    </w:tbl>
    <w:p w14:paraId="5C31B0A7" w14:textId="646DAC28" w:rsidR="00F50BAF" w:rsidRDefault="00F50BAF" w:rsidP="00F50BAF">
      <w:pPr>
        <w:spacing w:before="12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О</w:t>
      </w:r>
      <w:r w:rsidRPr="00C124B2">
        <w:rPr>
          <w:rFonts w:ascii="Times New Roman" w:hAnsi="Times New Roman" w:cs="Times New Roman"/>
          <w:sz w:val="24"/>
          <w:szCs w:val="24"/>
        </w:rPr>
        <w:t>сновное воздействие на изменение объёма денежной базы оказывало расширение обязательств центрального банка по выпущенным наличным денежным средствам</w:t>
      </w:r>
      <w:r>
        <w:rPr>
          <w:rFonts w:ascii="Times New Roman" w:hAnsi="Times New Roman" w:cs="Times New Roman"/>
          <w:sz w:val="24"/>
          <w:szCs w:val="24"/>
        </w:rPr>
        <w:t xml:space="preserve"> на 10,6% </w:t>
      </w:r>
      <w:r>
        <w:rPr>
          <w:rFonts w:ascii="Times New Roman" w:hAnsi="Times New Roman" w:cs="Times New Roman"/>
          <w:sz w:val="24"/>
          <w:szCs w:val="24"/>
        </w:rPr>
        <w:lastRenderedPageBreak/>
        <w:t xml:space="preserve">(+172,6 млн руб.), до 1 796,1 млн руб., из которых </w:t>
      </w:r>
      <w:r w:rsidRPr="001565E0">
        <w:rPr>
          <w:rFonts w:ascii="Times New Roman" w:hAnsi="Times New Roman" w:cs="Times New Roman"/>
          <w:sz w:val="24"/>
          <w:szCs w:val="24"/>
        </w:rPr>
        <w:t xml:space="preserve">остатки наличности в кассах кредитных организаций </w:t>
      </w:r>
      <w:r>
        <w:rPr>
          <w:rFonts w:ascii="Times New Roman" w:hAnsi="Times New Roman" w:cs="Times New Roman"/>
          <w:sz w:val="24"/>
          <w:szCs w:val="24"/>
        </w:rPr>
        <w:t>возросли</w:t>
      </w:r>
      <w:r w:rsidRPr="001565E0">
        <w:rPr>
          <w:rFonts w:ascii="Times New Roman" w:hAnsi="Times New Roman" w:cs="Times New Roman"/>
          <w:sz w:val="24"/>
          <w:szCs w:val="24"/>
        </w:rPr>
        <w:t xml:space="preserve"> на 1</w:t>
      </w:r>
      <w:r>
        <w:rPr>
          <w:rFonts w:ascii="Times New Roman" w:hAnsi="Times New Roman" w:cs="Times New Roman"/>
          <w:sz w:val="24"/>
          <w:szCs w:val="24"/>
        </w:rPr>
        <w:t>5</w:t>
      </w:r>
      <w:r w:rsidRPr="001565E0">
        <w:rPr>
          <w:rFonts w:ascii="Times New Roman" w:hAnsi="Times New Roman" w:cs="Times New Roman"/>
          <w:sz w:val="24"/>
          <w:szCs w:val="24"/>
        </w:rPr>
        <w:t>,</w:t>
      </w:r>
      <w:r>
        <w:rPr>
          <w:rFonts w:ascii="Times New Roman" w:hAnsi="Times New Roman" w:cs="Times New Roman"/>
          <w:sz w:val="24"/>
          <w:szCs w:val="24"/>
        </w:rPr>
        <w:t>9</w:t>
      </w:r>
      <w:r w:rsidRPr="001565E0">
        <w:rPr>
          <w:rFonts w:ascii="Times New Roman" w:hAnsi="Times New Roman" w:cs="Times New Roman"/>
          <w:sz w:val="24"/>
          <w:szCs w:val="24"/>
        </w:rPr>
        <w:t>% (+7</w:t>
      </w:r>
      <w:r>
        <w:rPr>
          <w:rFonts w:ascii="Times New Roman" w:hAnsi="Times New Roman" w:cs="Times New Roman"/>
          <w:sz w:val="24"/>
          <w:szCs w:val="24"/>
        </w:rPr>
        <w:t>0</w:t>
      </w:r>
      <w:r w:rsidRPr="001565E0">
        <w:rPr>
          <w:rFonts w:ascii="Times New Roman" w:hAnsi="Times New Roman" w:cs="Times New Roman"/>
          <w:sz w:val="24"/>
          <w:szCs w:val="24"/>
        </w:rPr>
        <w:t>,</w:t>
      </w:r>
      <w:r>
        <w:rPr>
          <w:rFonts w:ascii="Times New Roman" w:hAnsi="Times New Roman" w:cs="Times New Roman"/>
          <w:sz w:val="24"/>
          <w:szCs w:val="24"/>
        </w:rPr>
        <w:t>9</w:t>
      </w:r>
      <w:r w:rsidRPr="001565E0">
        <w:rPr>
          <w:rFonts w:ascii="Times New Roman" w:hAnsi="Times New Roman" w:cs="Times New Roman"/>
          <w:sz w:val="24"/>
          <w:szCs w:val="24"/>
        </w:rPr>
        <w:t xml:space="preserve"> млн руб.), до</w:t>
      </w:r>
      <w:r w:rsidR="00CD3938">
        <w:rPr>
          <w:rFonts w:ascii="Times New Roman" w:hAnsi="Times New Roman" w:cs="Times New Roman"/>
          <w:sz w:val="24"/>
          <w:szCs w:val="24"/>
        </w:rPr>
        <w:t xml:space="preserve"> </w:t>
      </w:r>
      <w:r>
        <w:rPr>
          <w:rFonts w:ascii="Times New Roman" w:hAnsi="Times New Roman" w:cs="Times New Roman"/>
          <w:sz w:val="24"/>
          <w:szCs w:val="24"/>
        </w:rPr>
        <w:t>516</w:t>
      </w:r>
      <w:r w:rsidRPr="001565E0">
        <w:rPr>
          <w:rFonts w:ascii="Times New Roman" w:hAnsi="Times New Roman" w:cs="Times New Roman"/>
          <w:sz w:val="24"/>
          <w:szCs w:val="24"/>
        </w:rPr>
        <w:t>,</w:t>
      </w:r>
      <w:r>
        <w:rPr>
          <w:rFonts w:ascii="Times New Roman" w:hAnsi="Times New Roman" w:cs="Times New Roman"/>
          <w:sz w:val="24"/>
          <w:szCs w:val="24"/>
        </w:rPr>
        <w:t>3</w:t>
      </w:r>
      <w:r w:rsidRPr="001565E0">
        <w:rPr>
          <w:rFonts w:ascii="Times New Roman" w:hAnsi="Times New Roman" w:cs="Times New Roman"/>
          <w:sz w:val="24"/>
          <w:szCs w:val="24"/>
        </w:rPr>
        <w:t xml:space="preserve"> млн руб.</w:t>
      </w:r>
    </w:p>
    <w:p w14:paraId="642DA622" w14:textId="609C0326" w:rsidR="008B0A05" w:rsidRPr="001565E0" w:rsidRDefault="008B0A05" w:rsidP="00F50BAF">
      <w:pPr>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О</w:t>
      </w:r>
      <w:r w:rsidRPr="001565E0">
        <w:rPr>
          <w:rFonts w:ascii="Times New Roman" w:hAnsi="Times New Roman" w:cs="Times New Roman"/>
          <w:sz w:val="24"/>
          <w:szCs w:val="24"/>
        </w:rPr>
        <w:t>статк</w:t>
      </w:r>
      <w:r>
        <w:rPr>
          <w:rFonts w:ascii="Times New Roman" w:hAnsi="Times New Roman" w:cs="Times New Roman"/>
          <w:sz w:val="24"/>
          <w:szCs w:val="24"/>
        </w:rPr>
        <w:t>и</w:t>
      </w:r>
      <w:r w:rsidRPr="001565E0">
        <w:rPr>
          <w:rFonts w:ascii="Times New Roman" w:hAnsi="Times New Roman" w:cs="Times New Roman"/>
          <w:sz w:val="24"/>
          <w:szCs w:val="24"/>
        </w:rPr>
        <w:t xml:space="preserve"> средств, размещённы</w:t>
      </w:r>
      <w:r>
        <w:rPr>
          <w:rFonts w:ascii="Times New Roman" w:hAnsi="Times New Roman" w:cs="Times New Roman"/>
          <w:sz w:val="24"/>
          <w:szCs w:val="24"/>
        </w:rPr>
        <w:t>е</w:t>
      </w:r>
      <w:r w:rsidRPr="001565E0">
        <w:rPr>
          <w:rFonts w:ascii="Times New Roman" w:hAnsi="Times New Roman" w:cs="Times New Roman"/>
          <w:sz w:val="24"/>
          <w:szCs w:val="24"/>
        </w:rPr>
        <w:t xml:space="preserve"> на корреспондентских счетах коммерческих банков в ПРБ, </w:t>
      </w:r>
      <w:r>
        <w:rPr>
          <w:rFonts w:ascii="Times New Roman" w:hAnsi="Times New Roman" w:cs="Times New Roman"/>
          <w:sz w:val="24"/>
          <w:szCs w:val="24"/>
        </w:rPr>
        <w:t xml:space="preserve">увеличились </w:t>
      </w:r>
      <w:r w:rsidRPr="001565E0">
        <w:rPr>
          <w:rFonts w:ascii="Times New Roman" w:hAnsi="Times New Roman" w:cs="Times New Roman"/>
          <w:sz w:val="24"/>
          <w:szCs w:val="24"/>
        </w:rPr>
        <w:t xml:space="preserve">на </w:t>
      </w:r>
      <w:r>
        <w:rPr>
          <w:rFonts w:ascii="Times New Roman" w:hAnsi="Times New Roman" w:cs="Times New Roman"/>
          <w:sz w:val="24"/>
          <w:szCs w:val="24"/>
        </w:rPr>
        <w:t>7</w:t>
      </w:r>
      <w:r w:rsidRPr="001565E0">
        <w:rPr>
          <w:rFonts w:ascii="Times New Roman" w:hAnsi="Times New Roman" w:cs="Times New Roman"/>
          <w:sz w:val="24"/>
          <w:szCs w:val="24"/>
        </w:rPr>
        <w:t>,</w:t>
      </w:r>
      <w:r>
        <w:rPr>
          <w:rFonts w:ascii="Times New Roman" w:hAnsi="Times New Roman" w:cs="Times New Roman"/>
          <w:sz w:val="24"/>
          <w:szCs w:val="24"/>
        </w:rPr>
        <w:t>5</w:t>
      </w:r>
      <w:r w:rsidRPr="001565E0">
        <w:rPr>
          <w:rFonts w:ascii="Times New Roman" w:hAnsi="Times New Roman" w:cs="Times New Roman"/>
          <w:sz w:val="24"/>
          <w:szCs w:val="24"/>
        </w:rPr>
        <w:t>% (+</w:t>
      </w:r>
      <w:r>
        <w:rPr>
          <w:rFonts w:ascii="Times New Roman" w:hAnsi="Times New Roman" w:cs="Times New Roman"/>
          <w:sz w:val="24"/>
          <w:szCs w:val="24"/>
        </w:rPr>
        <w:t>105</w:t>
      </w:r>
      <w:r w:rsidRPr="001565E0">
        <w:rPr>
          <w:rFonts w:ascii="Times New Roman" w:hAnsi="Times New Roman" w:cs="Times New Roman"/>
          <w:sz w:val="24"/>
          <w:szCs w:val="24"/>
        </w:rPr>
        <w:t>,</w:t>
      </w:r>
      <w:r>
        <w:rPr>
          <w:rFonts w:ascii="Times New Roman" w:hAnsi="Times New Roman" w:cs="Times New Roman"/>
          <w:sz w:val="24"/>
          <w:szCs w:val="24"/>
        </w:rPr>
        <w:t>5</w:t>
      </w:r>
      <w:r w:rsidRPr="001565E0">
        <w:rPr>
          <w:rFonts w:ascii="Times New Roman" w:hAnsi="Times New Roman" w:cs="Times New Roman"/>
          <w:sz w:val="24"/>
          <w:szCs w:val="24"/>
        </w:rPr>
        <w:t xml:space="preserve"> млн руб.), до 1 </w:t>
      </w:r>
      <w:r>
        <w:rPr>
          <w:rFonts w:ascii="Times New Roman" w:hAnsi="Times New Roman" w:cs="Times New Roman"/>
          <w:sz w:val="24"/>
          <w:szCs w:val="24"/>
        </w:rPr>
        <w:t>519</w:t>
      </w:r>
      <w:r w:rsidRPr="001565E0">
        <w:rPr>
          <w:rFonts w:ascii="Times New Roman" w:hAnsi="Times New Roman" w:cs="Times New Roman"/>
          <w:sz w:val="24"/>
          <w:szCs w:val="24"/>
        </w:rPr>
        <w:t>,</w:t>
      </w:r>
      <w:r>
        <w:rPr>
          <w:rFonts w:ascii="Times New Roman" w:hAnsi="Times New Roman" w:cs="Times New Roman"/>
          <w:sz w:val="24"/>
          <w:szCs w:val="24"/>
        </w:rPr>
        <w:t>7</w:t>
      </w:r>
      <w:r w:rsidRPr="001565E0">
        <w:rPr>
          <w:rFonts w:ascii="Times New Roman" w:hAnsi="Times New Roman" w:cs="Times New Roman"/>
          <w:sz w:val="24"/>
          <w:szCs w:val="24"/>
        </w:rPr>
        <w:t xml:space="preserve"> млн руб. В их числе фонды обязательного резервирования и страхования возросли на </w:t>
      </w:r>
      <w:r>
        <w:rPr>
          <w:rFonts w:ascii="Times New Roman" w:hAnsi="Times New Roman" w:cs="Times New Roman"/>
          <w:sz w:val="24"/>
          <w:szCs w:val="24"/>
        </w:rPr>
        <w:t>18</w:t>
      </w:r>
      <w:r w:rsidRPr="001565E0">
        <w:rPr>
          <w:rFonts w:ascii="Times New Roman" w:hAnsi="Times New Roman" w:cs="Times New Roman"/>
          <w:sz w:val="24"/>
          <w:szCs w:val="24"/>
        </w:rPr>
        <w:t>,</w:t>
      </w:r>
      <w:r>
        <w:rPr>
          <w:rFonts w:ascii="Times New Roman" w:hAnsi="Times New Roman" w:cs="Times New Roman"/>
          <w:sz w:val="24"/>
          <w:szCs w:val="24"/>
        </w:rPr>
        <w:t>4</w:t>
      </w:r>
      <w:r w:rsidRPr="001565E0">
        <w:rPr>
          <w:rFonts w:ascii="Times New Roman" w:hAnsi="Times New Roman" w:cs="Times New Roman"/>
          <w:sz w:val="24"/>
          <w:szCs w:val="24"/>
        </w:rPr>
        <w:t xml:space="preserve">% и составили </w:t>
      </w:r>
      <w:r>
        <w:rPr>
          <w:rFonts w:ascii="Times New Roman" w:hAnsi="Times New Roman" w:cs="Times New Roman"/>
          <w:sz w:val="24"/>
          <w:szCs w:val="24"/>
        </w:rPr>
        <w:t>863</w:t>
      </w:r>
      <w:r w:rsidRPr="001565E0">
        <w:rPr>
          <w:rFonts w:ascii="Times New Roman" w:hAnsi="Times New Roman" w:cs="Times New Roman"/>
          <w:sz w:val="24"/>
          <w:szCs w:val="24"/>
        </w:rPr>
        <w:t>,</w:t>
      </w:r>
      <w:r>
        <w:rPr>
          <w:rFonts w:ascii="Times New Roman" w:hAnsi="Times New Roman" w:cs="Times New Roman"/>
          <w:sz w:val="24"/>
          <w:szCs w:val="24"/>
        </w:rPr>
        <w:t>1</w:t>
      </w:r>
      <w:r w:rsidRPr="001565E0">
        <w:rPr>
          <w:rFonts w:ascii="Times New Roman" w:hAnsi="Times New Roman" w:cs="Times New Roman"/>
          <w:sz w:val="24"/>
          <w:szCs w:val="24"/>
        </w:rPr>
        <w:t xml:space="preserve"> млн руб., </w:t>
      </w:r>
      <w:r w:rsidRPr="00753EE6">
        <w:rPr>
          <w:rFonts w:ascii="Times New Roman" w:hAnsi="Times New Roman" w:cs="Times New Roman"/>
          <w:sz w:val="24"/>
          <w:szCs w:val="24"/>
        </w:rPr>
        <w:t>что обусловлено ростом объёма привлечённых средств кредитных организаций.</w:t>
      </w:r>
      <w:r w:rsidRPr="001565E0">
        <w:rPr>
          <w:rFonts w:ascii="Times New Roman" w:hAnsi="Times New Roman" w:cs="Times New Roman"/>
          <w:sz w:val="24"/>
          <w:szCs w:val="24"/>
        </w:rPr>
        <w:t xml:space="preserve"> </w:t>
      </w:r>
    </w:p>
    <w:p w14:paraId="464B45F6" w14:textId="32D8A5C6" w:rsidR="008B0A05" w:rsidRDefault="008B0A05" w:rsidP="008B0A05">
      <w:pPr>
        <w:spacing w:before="0" w:after="0" w:line="240" w:lineRule="auto"/>
        <w:ind w:firstLine="425"/>
        <w:jc w:val="both"/>
        <w:rPr>
          <w:rFonts w:ascii="Times New Roman" w:hAnsi="Times New Roman" w:cs="Times New Roman"/>
          <w:sz w:val="24"/>
          <w:szCs w:val="24"/>
        </w:rPr>
      </w:pPr>
    </w:p>
    <w:p w14:paraId="4409F674" w14:textId="77777777" w:rsidR="00E053D8" w:rsidRPr="00071AA5" w:rsidRDefault="00E053D8" w:rsidP="00822F2A">
      <w:pPr>
        <w:pStyle w:val="2"/>
        <w:jc w:val="center"/>
        <w:rPr>
          <w:rFonts w:ascii="Times New Roman" w:hAnsi="Times New Roman" w:cs="Times New Roman"/>
          <w:b/>
          <w:noProof/>
        </w:rPr>
      </w:pPr>
      <w:r w:rsidRPr="004D7D79">
        <w:rPr>
          <w:b/>
          <w:noProof/>
        </w:rPr>
        <w:t>Валютный рынок</w:t>
      </w:r>
    </w:p>
    <w:p w14:paraId="2F84FC0A" w14:textId="050966DC" w:rsidR="000C13FB" w:rsidRPr="00160362" w:rsidRDefault="000C13FB" w:rsidP="000C13FB">
      <w:pPr>
        <w:shd w:val="clear" w:color="auto" w:fill="FFFFFF"/>
        <w:spacing w:before="120" w:after="0" w:line="240" w:lineRule="auto"/>
        <w:ind w:right="57"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Отчётный год для финансовых рынков стал наиболее непредсказуемым. Преобладавшая в первой половине </w:t>
      </w:r>
      <w:r w:rsidR="000B5C71">
        <w:rPr>
          <w:rFonts w:ascii="Times New Roman" w:hAnsi="Times New Roman" w:cs="Times New Roman"/>
          <w:sz w:val="24"/>
          <w:szCs w:val="24"/>
        </w:rPr>
        <w:t xml:space="preserve">2020 </w:t>
      </w:r>
      <w:r w:rsidRPr="00160362">
        <w:rPr>
          <w:rFonts w:ascii="Times New Roman" w:hAnsi="Times New Roman" w:cs="Times New Roman"/>
          <w:sz w:val="24"/>
          <w:szCs w:val="24"/>
        </w:rPr>
        <w:t>года беспрецедентная волатильность котировок, спровоцированная введёнными карантинами и локдаунами, определила переток инвестиций в защитные активы</w:t>
      </w:r>
      <w:r w:rsidR="00D658E0">
        <w:rPr>
          <w:rFonts w:ascii="Times New Roman" w:hAnsi="Times New Roman" w:cs="Times New Roman"/>
          <w:sz w:val="24"/>
          <w:szCs w:val="24"/>
        </w:rPr>
        <w:t xml:space="preserve"> (драгоценные металлы, недвижимость, иностранная валюта (главным образом доллар США), отдельные виды ценных бумаг</w:t>
      </w:r>
      <w:r w:rsidR="000B5C71">
        <w:rPr>
          <w:rFonts w:ascii="Times New Roman" w:hAnsi="Times New Roman" w:cs="Times New Roman"/>
          <w:sz w:val="24"/>
          <w:szCs w:val="24"/>
        </w:rPr>
        <w:t>)</w:t>
      </w:r>
      <w:r w:rsidR="00D658E0">
        <w:rPr>
          <w:rFonts w:ascii="Times New Roman" w:hAnsi="Times New Roman" w:cs="Times New Roman"/>
          <w:sz w:val="24"/>
          <w:szCs w:val="24"/>
        </w:rPr>
        <w:t>.</w:t>
      </w:r>
      <w:r w:rsidRPr="00160362">
        <w:rPr>
          <w:rFonts w:ascii="Times New Roman" w:hAnsi="Times New Roman" w:cs="Times New Roman"/>
          <w:sz w:val="24"/>
          <w:szCs w:val="24"/>
        </w:rPr>
        <w:t xml:space="preserve"> В аутсайдерах оказались валюты стран с формирующимися рынками. В то же время следует отметить, что несколько нивелировать падение их стоимости позволило оживление рынка в III квартале на фоне </w:t>
      </w:r>
      <w:r w:rsidR="008E37E6" w:rsidRPr="00160362">
        <w:rPr>
          <w:rFonts w:ascii="Times New Roman" w:hAnsi="Times New Roman" w:cs="Times New Roman"/>
          <w:sz w:val="24"/>
          <w:szCs w:val="24"/>
        </w:rPr>
        <w:t>снятия</w:t>
      </w:r>
      <w:r w:rsidRPr="00160362">
        <w:rPr>
          <w:rFonts w:ascii="Times New Roman" w:hAnsi="Times New Roman" w:cs="Times New Roman"/>
          <w:sz w:val="24"/>
          <w:szCs w:val="24"/>
        </w:rPr>
        <w:t xml:space="preserve"> ограничений. </w:t>
      </w:r>
    </w:p>
    <w:p w14:paraId="017DFDE6" w14:textId="4791947A" w:rsidR="00DC37D8" w:rsidRPr="00D658E0" w:rsidRDefault="00D92BFF" w:rsidP="00500FC7">
      <w:pPr>
        <w:widowControl w:val="0"/>
        <w:shd w:val="clear" w:color="auto" w:fill="FFFFFF"/>
        <w:spacing w:before="0" w:after="0" w:line="240" w:lineRule="auto"/>
        <w:ind w:firstLine="425"/>
        <w:jc w:val="both"/>
        <w:rPr>
          <w:rFonts w:ascii="Times New Roman" w:hAnsi="Times New Roman" w:cs="Times New Roman"/>
          <w:sz w:val="24"/>
          <w:szCs w:val="24"/>
        </w:rPr>
      </w:pPr>
      <w:r w:rsidRPr="006C5DD8">
        <w:rPr>
          <w:rFonts w:ascii="Times New Roman" w:hAnsi="Times New Roman" w:cs="Times New Roman"/>
          <w:sz w:val="24"/>
          <w:szCs w:val="24"/>
        </w:rPr>
        <w:t xml:space="preserve">В период разгара первой волны пандемии котировка </w:t>
      </w:r>
      <w:r w:rsidRPr="006C5DD8">
        <w:rPr>
          <w:rFonts w:ascii="Times New Roman" w:hAnsi="Times New Roman" w:cs="Times New Roman"/>
          <w:sz w:val="24"/>
          <w:szCs w:val="24"/>
          <w:lang w:val="en-US"/>
        </w:rPr>
        <w:t>EUR</w:t>
      </w:r>
      <w:r w:rsidRPr="006C5DD8">
        <w:rPr>
          <w:rFonts w:ascii="Times New Roman" w:hAnsi="Times New Roman" w:cs="Times New Roman"/>
          <w:sz w:val="24"/>
          <w:szCs w:val="24"/>
        </w:rPr>
        <w:t>/</w:t>
      </w:r>
      <w:r w:rsidRPr="006C5DD8">
        <w:rPr>
          <w:rFonts w:ascii="Times New Roman" w:hAnsi="Times New Roman" w:cs="Times New Roman"/>
          <w:sz w:val="24"/>
          <w:szCs w:val="24"/>
          <w:lang w:val="en-US"/>
        </w:rPr>
        <w:t>USD</w:t>
      </w:r>
      <w:r w:rsidRPr="006C5DD8">
        <w:rPr>
          <w:rFonts w:ascii="Times New Roman" w:hAnsi="Times New Roman" w:cs="Times New Roman"/>
          <w:sz w:val="24"/>
          <w:szCs w:val="24"/>
        </w:rPr>
        <w:t xml:space="preserve"> снизилась до 1,07 – наименьшего значения с весны 2017 года. После принятия в начале июня Европейским </w:t>
      </w:r>
      <w:r w:rsidR="00401111" w:rsidRPr="006C5DD8">
        <w:rPr>
          <w:rFonts w:ascii="Times New Roman" w:hAnsi="Times New Roman" w:cs="Times New Roman"/>
          <w:sz w:val="24"/>
          <w:szCs w:val="24"/>
        </w:rPr>
        <w:t>центральным банком</w:t>
      </w:r>
      <w:r w:rsidRPr="006C5DD8">
        <w:rPr>
          <w:rFonts w:ascii="Times New Roman" w:hAnsi="Times New Roman" w:cs="Times New Roman"/>
          <w:sz w:val="24"/>
          <w:szCs w:val="24"/>
        </w:rPr>
        <w:t xml:space="preserve"> решения о расширении программы покупки активов (PEPP) до 1,35 трлн евро (с 750 млрд евро) и продлении её до июня 2021 года, а также о реинвестировании выручки по крайней мере до конца 2022 года</w:t>
      </w:r>
      <w:r w:rsidR="00401111">
        <w:rPr>
          <w:rFonts w:ascii="Times New Roman" w:hAnsi="Times New Roman" w:cs="Times New Roman"/>
          <w:sz w:val="24"/>
          <w:szCs w:val="24"/>
        </w:rPr>
        <w:t>,</w:t>
      </w:r>
      <w:r w:rsidRPr="006C5DD8">
        <w:rPr>
          <w:rFonts w:ascii="Times New Roman" w:hAnsi="Times New Roman" w:cs="Times New Roman"/>
          <w:sz w:val="24"/>
          <w:szCs w:val="24"/>
        </w:rPr>
        <w:t xml:space="preserve"> отмеч</w:t>
      </w:r>
      <w:r w:rsidR="00DF5AAA" w:rsidRPr="006C5DD8">
        <w:rPr>
          <w:rFonts w:ascii="Times New Roman" w:hAnsi="Times New Roman" w:cs="Times New Roman"/>
          <w:sz w:val="24"/>
          <w:szCs w:val="24"/>
        </w:rPr>
        <w:t>алось</w:t>
      </w:r>
      <w:r w:rsidRPr="006C5DD8">
        <w:rPr>
          <w:rFonts w:ascii="Times New Roman" w:hAnsi="Times New Roman" w:cs="Times New Roman"/>
          <w:sz w:val="24"/>
          <w:szCs w:val="24"/>
        </w:rPr>
        <w:t xml:space="preserve"> активное укрепление евро. </w:t>
      </w:r>
      <w:r w:rsidR="00DF5AAA" w:rsidRPr="006C5DD8">
        <w:rPr>
          <w:rFonts w:ascii="Times New Roman" w:hAnsi="Times New Roman" w:cs="Times New Roman"/>
          <w:sz w:val="24"/>
          <w:szCs w:val="24"/>
        </w:rPr>
        <w:t>К концу года оптимизм по поводу торговой сделки ЕС и Великобритании, различающиеся тренды заболеваемости коронавирусной инфекцией в США и Европе, прогресс в разработке вакцины стимулировали рост котировки EUR/USD до уровня 1,23 долл.</w:t>
      </w:r>
      <w:r w:rsidR="00144A36" w:rsidRPr="006C5DD8">
        <w:rPr>
          <w:rFonts w:ascii="Times New Roman" w:hAnsi="Times New Roman" w:cs="Times New Roman"/>
          <w:sz w:val="24"/>
          <w:szCs w:val="24"/>
        </w:rPr>
        <w:t xml:space="preserve"> </w:t>
      </w:r>
      <w:r w:rsidR="006C3F41" w:rsidRPr="006C5DD8">
        <w:rPr>
          <w:rFonts w:ascii="Times New Roman" w:hAnsi="Times New Roman" w:cs="Times New Roman"/>
          <w:sz w:val="24"/>
          <w:szCs w:val="24"/>
        </w:rPr>
        <w:t>по состоянию на 1 января 2021 года (+9,2% к 01.01.2020).</w:t>
      </w:r>
      <w:r w:rsidR="00401111">
        <w:rPr>
          <w:rFonts w:ascii="Times New Roman" w:hAnsi="Times New Roman" w:cs="Times New Roman"/>
          <w:sz w:val="24"/>
          <w:szCs w:val="24"/>
        </w:rPr>
        <w:t xml:space="preserve"> </w:t>
      </w:r>
      <w:r w:rsidR="00DC37D8" w:rsidRPr="00D658E0">
        <w:rPr>
          <w:rFonts w:ascii="Times New Roman" w:hAnsi="Times New Roman" w:cs="Times New Roman"/>
          <w:sz w:val="24"/>
          <w:szCs w:val="24"/>
        </w:rPr>
        <w:t>В результате данных колебаний евро на валютном рынке Приднестровья за год укрепился</w:t>
      </w:r>
      <w:r w:rsidR="00D658E0" w:rsidRPr="00D658E0">
        <w:rPr>
          <w:rFonts w:ascii="Times New Roman" w:hAnsi="Times New Roman" w:cs="Times New Roman"/>
          <w:sz w:val="24"/>
          <w:szCs w:val="24"/>
        </w:rPr>
        <w:t xml:space="preserve"> на 9,5%</w:t>
      </w:r>
      <w:r w:rsidR="00DC37D8" w:rsidRPr="00D658E0">
        <w:rPr>
          <w:rFonts w:ascii="Times New Roman" w:hAnsi="Times New Roman" w:cs="Times New Roman"/>
          <w:sz w:val="24"/>
          <w:szCs w:val="24"/>
        </w:rPr>
        <w:t>, его официальный курс на 01.01.2021 составил</w:t>
      </w:r>
      <w:r w:rsidR="00DA3D60" w:rsidRPr="00D658E0">
        <w:rPr>
          <w:rFonts w:ascii="Times New Roman" w:hAnsi="Times New Roman" w:cs="Times New Roman"/>
          <w:sz w:val="24"/>
          <w:szCs w:val="24"/>
        </w:rPr>
        <w:t xml:space="preserve"> 19,7628 руб. ПМР</w:t>
      </w:r>
      <w:r w:rsidR="00DC37D8" w:rsidRPr="00D658E0">
        <w:rPr>
          <w:rFonts w:ascii="Times New Roman" w:hAnsi="Times New Roman" w:cs="Times New Roman"/>
          <w:sz w:val="24"/>
          <w:szCs w:val="24"/>
        </w:rPr>
        <w:t xml:space="preserve">, а средневзвешенное значение – </w:t>
      </w:r>
      <w:r w:rsidR="00DA3D60" w:rsidRPr="00D658E0">
        <w:rPr>
          <w:rFonts w:ascii="Times New Roman" w:hAnsi="Times New Roman" w:cs="Times New Roman"/>
          <w:sz w:val="24"/>
          <w:szCs w:val="24"/>
        </w:rPr>
        <w:t>18,3567</w:t>
      </w:r>
      <w:r w:rsidR="00DC37D8" w:rsidRPr="00D658E0">
        <w:rPr>
          <w:rFonts w:ascii="Times New Roman" w:hAnsi="Times New Roman" w:cs="Times New Roman"/>
          <w:sz w:val="24"/>
          <w:szCs w:val="24"/>
        </w:rPr>
        <w:t xml:space="preserve"> </w:t>
      </w:r>
      <w:r w:rsidR="00401111" w:rsidRPr="00D658E0">
        <w:rPr>
          <w:rFonts w:ascii="Times New Roman" w:hAnsi="Times New Roman" w:cs="Times New Roman"/>
          <w:sz w:val="24"/>
          <w:szCs w:val="24"/>
        </w:rPr>
        <w:t xml:space="preserve">руб. ПМР </w:t>
      </w:r>
      <w:r w:rsidR="00DC37D8" w:rsidRPr="00D658E0">
        <w:rPr>
          <w:rFonts w:ascii="Times New Roman" w:hAnsi="Times New Roman" w:cs="Times New Roman"/>
          <w:sz w:val="24"/>
          <w:szCs w:val="24"/>
        </w:rPr>
        <w:t>(+</w:t>
      </w:r>
      <w:r w:rsidR="00DA3D60" w:rsidRPr="00D658E0">
        <w:rPr>
          <w:rFonts w:ascii="Times New Roman" w:hAnsi="Times New Roman" w:cs="Times New Roman"/>
          <w:sz w:val="24"/>
          <w:szCs w:val="24"/>
        </w:rPr>
        <w:t>1,9</w:t>
      </w:r>
      <w:r w:rsidR="00DC37D8" w:rsidRPr="00D658E0">
        <w:rPr>
          <w:rFonts w:ascii="Times New Roman" w:hAnsi="Times New Roman" w:cs="Times New Roman"/>
          <w:sz w:val="24"/>
          <w:szCs w:val="24"/>
        </w:rPr>
        <w:t>% к уровню 2019 года).</w:t>
      </w:r>
    </w:p>
    <w:p w14:paraId="70B957D4" w14:textId="08E43B58" w:rsidR="00501489" w:rsidRPr="00D658E0" w:rsidRDefault="00501489" w:rsidP="0045157F">
      <w:pPr>
        <w:widowControl w:val="0"/>
        <w:shd w:val="clear" w:color="auto" w:fill="FFFFFF"/>
        <w:spacing w:before="0" w:after="0" w:line="240" w:lineRule="auto"/>
        <w:ind w:firstLine="425"/>
        <w:jc w:val="both"/>
        <w:rPr>
          <w:rFonts w:ascii="Times New Roman" w:hAnsi="Times New Roman" w:cs="Times New Roman"/>
          <w:sz w:val="24"/>
          <w:szCs w:val="24"/>
        </w:rPr>
      </w:pPr>
      <w:r w:rsidRPr="00D658E0">
        <w:rPr>
          <w:rFonts w:ascii="Times New Roman" w:eastAsia="Times New Roman" w:hAnsi="Times New Roman" w:cs="Times New Roman"/>
          <w:sz w:val="24"/>
          <w:szCs w:val="24"/>
        </w:rPr>
        <w:t>К концу марта 2020 года рубль РФ ослаб до четырёхлетнего минимума, снизившись к доллару США до 80,8815 руб. РФ.</w:t>
      </w:r>
      <w:r w:rsidR="008D42F3" w:rsidRPr="00D658E0">
        <w:rPr>
          <w:rFonts w:ascii="Times New Roman" w:eastAsia="Times New Roman" w:hAnsi="Times New Roman" w:cs="Times New Roman"/>
          <w:sz w:val="24"/>
          <w:szCs w:val="24"/>
        </w:rPr>
        <w:t xml:space="preserve"> </w:t>
      </w:r>
      <w:r w:rsidR="00F373E5">
        <w:rPr>
          <w:rFonts w:ascii="Times New Roman" w:hAnsi="Times New Roman" w:cs="Times New Roman"/>
          <w:sz w:val="24"/>
          <w:szCs w:val="24"/>
        </w:rPr>
        <w:t>Прервать динамику</w:t>
      </w:r>
      <w:r w:rsidR="008D42F3" w:rsidRPr="00D658E0">
        <w:rPr>
          <w:rFonts w:ascii="Times New Roman" w:hAnsi="Times New Roman" w:cs="Times New Roman"/>
          <w:sz w:val="24"/>
          <w:szCs w:val="24"/>
        </w:rPr>
        <w:t xml:space="preserve"> позволили меры, принятые </w:t>
      </w:r>
      <w:r w:rsidR="00401111">
        <w:rPr>
          <w:rFonts w:ascii="Times New Roman" w:hAnsi="Times New Roman" w:cs="Times New Roman"/>
          <w:sz w:val="24"/>
          <w:szCs w:val="24"/>
        </w:rPr>
        <w:t>Ц</w:t>
      </w:r>
      <w:r w:rsidR="00401111" w:rsidRPr="00D658E0">
        <w:rPr>
          <w:rFonts w:ascii="Times New Roman" w:hAnsi="Times New Roman" w:cs="Times New Roman"/>
          <w:sz w:val="24"/>
          <w:szCs w:val="24"/>
        </w:rPr>
        <w:t xml:space="preserve">ентральным </w:t>
      </w:r>
      <w:r w:rsidR="008D42F3" w:rsidRPr="00D658E0">
        <w:rPr>
          <w:rFonts w:ascii="Times New Roman" w:hAnsi="Times New Roman" w:cs="Times New Roman"/>
          <w:sz w:val="24"/>
          <w:szCs w:val="24"/>
        </w:rPr>
        <w:t>банком Российской Федерации</w:t>
      </w:r>
      <w:r w:rsidR="00401111">
        <w:rPr>
          <w:rFonts w:ascii="Times New Roman" w:hAnsi="Times New Roman" w:cs="Times New Roman"/>
          <w:sz w:val="24"/>
          <w:szCs w:val="24"/>
        </w:rPr>
        <w:t>.</w:t>
      </w:r>
      <w:r w:rsidR="008D42F3" w:rsidRPr="00D658E0">
        <w:rPr>
          <w:rFonts w:ascii="Times New Roman" w:hAnsi="Times New Roman" w:cs="Times New Roman"/>
          <w:sz w:val="24"/>
          <w:szCs w:val="24"/>
        </w:rPr>
        <w:t xml:space="preserve"> </w:t>
      </w:r>
      <w:r w:rsidR="00401111" w:rsidRPr="00D658E0">
        <w:rPr>
          <w:rFonts w:ascii="Times New Roman" w:hAnsi="Times New Roman" w:cs="Times New Roman"/>
          <w:sz w:val="24"/>
          <w:szCs w:val="24"/>
        </w:rPr>
        <w:t xml:space="preserve">В </w:t>
      </w:r>
      <w:r w:rsidR="008D42F3" w:rsidRPr="00D658E0">
        <w:rPr>
          <w:rFonts w:ascii="Times New Roman" w:hAnsi="Times New Roman" w:cs="Times New Roman"/>
          <w:sz w:val="24"/>
          <w:szCs w:val="24"/>
        </w:rPr>
        <w:t xml:space="preserve">частности, были увеличены объёмы продажи валюты, а также </w:t>
      </w:r>
      <w:r w:rsidR="00787594" w:rsidRPr="00D658E0">
        <w:rPr>
          <w:rFonts w:ascii="Times New Roman" w:hAnsi="Times New Roman" w:cs="Times New Roman"/>
          <w:sz w:val="24"/>
          <w:szCs w:val="24"/>
        </w:rPr>
        <w:t xml:space="preserve">произведено </w:t>
      </w:r>
      <w:r w:rsidR="008D42F3" w:rsidRPr="00D658E0">
        <w:rPr>
          <w:rFonts w:ascii="Times New Roman" w:hAnsi="Times New Roman" w:cs="Times New Roman"/>
          <w:sz w:val="24"/>
          <w:szCs w:val="24"/>
        </w:rPr>
        <w:t>планомерное снижение ключевой ставки</w:t>
      </w:r>
      <w:r w:rsidR="00787594" w:rsidRPr="00D658E0">
        <w:rPr>
          <w:rFonts w:ascii="Times New Roman" w:hAnsi="Times New Roman" w:cs="Times New Roman"/>
          <w:sz w:val="24"/>
          <w:szCs w:val="24"/>
        </w:rPr>
        <w:t xml:space="preserve">. С августа, в условиях ухудшения геополитической обстановки и эпидемиологической ситуации, возобновилось ослабление рубля РФ. </w:t>
      </w:r>
      <w:r w:rsidR="0045157F" w:rsidRPr="00D658E0">
        <w:rPr>
          <w:rFonts w:ascii="Times New Roman" w:hAnsi="Times New Roman" w:cs="Times New Roman"/>
          <w:sz w:val="24"/>
          <w:szCs w:val="24"/>
        </w:rPr>
        <w:t xml:space="preserve">В ноябре оно прервалось на фоне роста спроса на рисковые активы, ввиду ожиданий девальвации доллара США из-за ультрамягкой денежно-кредитной политики США, а также высокой вероятности массового применения вакцин от COVID-19. В результате к концу декабря </w:t>
      </w:r>
      <w:r w:rsidR="004D14FB" w:rsidRPr="00D658E0">
        <w:rPr>
          <w:rFonts w:ascii="Times New Roman" w:hAnsi="Times New Roman" w:cs="Times New Roman"/>
          <w:sz w:val="24"/>
          <w:szCs w:val="24"/>
        </w:rPr>
        <w:t xml:space="preserve">котировка </w:t>
      </w:r>
      <w:r w:rsidR="004D14FB" w:rsidRPr="00D658E0">
        <w:rPr>
          <w:rFonts w:ascii="Times New Roman" w:hAnsi="Times New Roman" w:cs="Times New Roman"/>
          <w:sz w:val="24"/>
          <w:szCs w:val="24"/>
          <w:lang w:val="en-US"/>
        </w:rPr>
        <w:t>USD</w:t>
      </w:r>
      <w:r w:rsidR="004D14FB" w:rsidRPr="00D658E0">
        <w:rPr>
          <w:rFonts w:ascii="Times New Roman" w:hAnsi="Times New Roman" w:cs="Times New Roman"/>
          <w:sz w:val="24"/>
          <w:szCs w:val="24"/>
        </w:rPr>
        <w:t>/</w:t>
      </w:r>
      <w:r w:rsidR="004D14FB" w:rsidRPr="00D658E0">
        <w:rPr>
          <w:rFonts w:ascii="Times New Roman" w:hAnsi="Times New Roman" w:cs="Times New Roman"/>
          <w:sz w:val="24"/>
          <w:szCs w:val="24"/>
          <w:lang w:val="en-US"/>
        </w:rPr>
        <w:t>RUB</w:t>
      </w:r>
      <w:r w:rsidR="004D14FB" w:rsidRPr="00D658E0">
        <w:rPr>
          <w:rFonts w:ascii="Times New Roman" w:hAnsi="Times New Roman" w:cs="Times New Roman"/>
          <w:sz w:val="24"/>
          <w:szCs w:val="24"/>
        </w:rPr>
        <w:t xml:space="preserve"> сложилась на уровне </w:t>
      </w:r>
      <w:r w:rsidR="0045157F" w:rsidRPr="00D658E0">
        <w:rPr>
          <w:rFonts w:ascii="Times New Roman" w:hAnsi="Times New Roman" w:cs="Times New Roman"/>
          <w:sz w:val="24"/>
          <w:szCs w:val="24"/>
        </w:rPr>
        <w:t xml:space="preserve">73,8757 руб. РФ </w:t>
      </w:r>
      <w:r w:rsidR="004D14FB" w:rsidRPr="00D658E0">
        <w:rPr>
          <w:rFonts w:ascii="Times New Roman" w:hAnsi="Times New Roman" w:cs="Times New Roman"/>
          <w:sz w:val="24"/>
          <w:szCs w:val="24"/>
        </w:rPr>
        <w:t>(+</w:t>
      </w:r>
      <w:r w:rsidR="0045157F" w:rsidRPr="00D658E0">
        <w:rPr>
          <w:rFonts w:ascii="Times New Roman" w:hAnsi="Times New Roman" w:cs="Times New Roman"/>
          <w:sz w:val="24"/>
          <w:szCs w:val="24"/>
        </w:rPr>
        <w:t xml:space="preserve">19,3% </w:t>
      </w:r>
      <w:r w:rsidR="004D14FB" w:rsidRPr="00D658E0">
        <w:rPr>
          <w:rFonts w:ascii="Times New Roman" w:hAnsi="Times New Roman" w:cs="Times New Roman"/>
          <w:sz w:val="24"/>
          <w:szCs w:val="24"/>
        </w:rPr>
        <w:t>к 01.01</w:t>
      </w:r>
      <w:r w:rsidR="0045157F" w:rsidRPr="00D658E0">
        <w:rPr>
          <w:rFonts w:ascii="Times New Roman" w:hAnsi="Times New Roman" w:cs="Times New Roman"/>
          <w:sz w:val="24"/>
          <w:szCs w:val="24"/>
        </w:rPr>
        <w:t>.</w:t>
      </w:r>
      <w:r w:rsidR="004D14FB" w:rsidRPr="00D658E0">
        <w:rPr>
          <w:rFonts w:ascii="Times New Roman" w:hAnsi="Times New Roman" w:cs="Times New Roman"/>
          <w:sz w:val="24"/>
          <w:szCs w:val="24"/>
        </w:rPr>
        <w:t>2020).</w:t>
      </w:r>
      <w:r w:rsidR="00DC37D8" w:rsidRPr="00D658E0">
        <w:rPr>
          <w:rFonts w:ascii="Times New Roman" w:hAnsi="Times New Roman" w:cs="Times New Roman"/>
          <w:sz w:val="24"/>
          <w:szCs w:val="24"/>
        </w:rPr>
        <w:t xml:space="preserve"> Это оказывало влияние и на динамику курса российского рубля по отношению к приднестровскому рублю.</w:t>
      </w:r>
      <w:r w:rsidR="006C5DD8" w:rsidRPr="00D658E0">
        <w:rPr>
          <w:rFonts w:ascii="Times New Roman" w:hAnsi="Times New Roman" w:cs="Times New Roman"/>
          <w:sz w:val="24"/>
          <w:szCs w:val="24"/>
        </w:rPr>
        <w:t xml:space="preserve"> </w:t>
      </w:r>
      <w:r w:rsidR="00DC37D8" w:rsidRPr="00D658E0">
        <w:rPr>
          <w:rFonts w:ascii="Times New Roman" w:hAnsi="Times New Roman" w:cs="Times New Roman"/>
          <w:sz w:val="24"/>
          <w:szCs w:val="24"/>
        </w:rPr>
        <w:t xml:space="preserve">За отчётный период он девальвировал на </w:t>
      </w:r>
      <w:r w:rsidR="00DA3D60" w:rsidRPr="00D658E0">
        <w:rPr>
          <w:rFonts w:ascii="Times New Roman" w:hAnsi="Times New Roman" w:cs="Times New Roman"/>
          <w:sz w:val="24"/>
          <w:szCs w:val="24"/>
        </w:rPr>
        <w:t>16,7</w:t>
      </w:r>
      <w:r w:rsidR="005F6335" w:rsidRPr="00D658E0">
        <w:rPr>
          <w:rFonts w:ascii="Times New Roman" w:hAnsi="Times New Roman" w:cs="Times New Roman"/>
          <w:sz w:val="24"/>
          <w:szCs w:val="24"/>
        </w:rPr>
        <w:t>%, составив 0,2163</w:t>
      </w:r>
      <w:r w:rsidR="00DC37D8" w:rsidRPr="00D658E0">
        <w:rPr>
          <w:rFonts w:ascii="Times New Roman" w:hAnsi="Times New Roman" w:cs="Times New Roman"/>
          <w:sz w:val="24"/>
          <w:szCs w:val="24"/>
        </w:rPr>
        <w:t xml:space="preserve"> руб. ПМР на 01.01.2021. Средневзвешенный </w:t>
      </w:r>
      <w:r w:rsidR="005F6335" w:rsidRPr="00D658E0">
        <w:rPr>
          <w:rFonts w:ascii="Times New Roman" w:hAnsi="Times New Roman" w:cs="Times New Roman"/>
          <w:sz w:val="24"/>
          <w:szCs w:val="24"/>
        </w:rPr>
        <w:t xml:space="preserve">официальный </w:t>
      </w:r>
      <w:r w:rsidR="00DC37D8" w:rsidRPr="00D658E0">
        <w:rPr>
          <w:rFonts w:ascii="Times New Roman" w:hAnsi="Times New Roman" w:cs="Times New Roman"/>
          <w:sz w:val="24"/>
          <w:szCs w:val="24"/>
        </w:rPr>
        <w:t xml:space="preserve">курс российского рубля составил </w:t>
      </w:r>
      <w:r w:rsidR="005F6335" w:rsidRPr="00D658E0">
        <w:rPr>
          <w:rFonts w:ascii="Times New Roman" w:hAnsi="Times New Roman" w:cs="Times New Roman"/>
          <w:sz w:val="24"/>
          <w:szCs w:val="24"/>
        </w:rPr>
        <w:t>0,2235</w:t>
      </w:r>
      <w:r w:rsidR="00DC37D8" w:rsidRPr="00D658E0">
        <w:rPr>
          <w:rFonts w:ascii="Times New Roman" w:hAnsi="Times New Roman" w:cs="Times New Roman"/>
          <w:sz w:val="24"/>
          <w:szCs w:val="24"/>
        </w:rPr>
        <w:t xml:space="preserve"> руб. ПМР (</w:t>
      </w:r>
      <w:r w:rsidR="005F6335" w:rsidRPr="00D658E0">
        <w:rPr>
          <w:rFonts w:ascii="Times New Roman" w:hAnsi="Times New Roman" w:cs="Times New Roman"/>
          <w:sz w:val="24"/>
          <w:szCs w:val="24"/>
        </w:rPr>
        <w:t>-10,2</w:t>
      </w:r>
      <w:r w:rsidR="00DC37D8" w:rsidRPr="00D658E0">
        <w:rPr>
          <w:rFonts w:ascii="Times New Roman" w:hAnsi="Times New Roman" w:cs="Times New Roman"/>
          <w:sz w:val="24"/>
          <w:szCs w:val="24"/>
        </w:rPr>
        <w:t>% к значению за 2019 год).</w:t>
      </w:r>
    </w:p>
    <w:p w14:paraId="69EF8104" w14:textId="671E2D12" w:rsidR="0025723D" w:rsidRPr="00364FA4" w:rsidRDefault="00DC37D8" w:rsidP="005F6335">
      <w:pPr>
        <w:pStyle w:val="af9"/>
        <w:widowControl w:val="0"/>
        <w:spacing w:before="0" w:beforeAutospacing="0" w:after="0" w:afterAutospacing="0" w:line="240" w:lineRule="auto"/>
        <w:ind w:firstLine="425"/>
        <w:jc w:val="both"/>
        <w:rPr>
          <w:rFonts w:ascii="Times New Roman" w:hAnsi="Times New Roman" w:cs="Times New Roman"/>
        </w:rPr>
      </w:pPr>
      <w:r w:rsidRPr="00BF3A99">
        <w:rPr>
          <w:rFonts w:ascii="Times New Roman" w:hAnsi="Times New Roman" w:cs="Times New Roman"/>
        </w:rPr>
        <w:t>Динамика ослабления была характерна и</w:t>
      </w:r>
      <w:r w:rsidR="00BF3A99" w:rsidRPr="00BF3A99">
        <w:rPr>
          <w:rFonts w:ascii="Times New Roman" w:hAnsi="Times New Roman" w:cs="Times New Roman"/>
        </w:rPr>
        <w:t xml:space="preserve"> </w:t>
      </w:r>
      <w:r w:rsidR="00A92714" w:rsidRPr="00BF3A99">
        <w:rPr>
          <w:rFonts w:ascii="Times New Roman" w:hAnsi="Times New Roman" w:cs="Times New Roman"/>
        </w:rPr>
        <w:t>для</w:t>
      </w:r>
      <w:r w:rsidRPr="00BF3A99">
        <w:rPr>
          <w:rFonts w:ascii="Times New Roman" w:hAnsi="Times New Roman" w:cs="Times New Roman"/>
        </w:rPr>
        <w:t xml:space="preserve"> украинской гривн</w:t>
      </w:r>
      <w:r w:rsidR="00A92714" w:rsidRPr="00BF3A99">
        <w:rPr>
          <w:rFonts w:ascii="Times New Roman" w:hAnsi="Times New Roman" w:cs="Times New Roman"/>
        </w:rPr>
        <w:t>ы</w:t>
      </w:r>
      <w:r w:rsidRPr="00BF3A99">
        <w:rPr>
          <w:rFonts w:ascii="Times New Roman" w:hAnsi="Times New Roman" w:cs="Times New Roman"/>
        </w:rPr>
        <w:t xml:space="preserve">. К </w:t>
      </w:r>
      <w:r w:rsidR="00B15EBC" w:rsidRPr="00BF3A99">
        <w:rPr>
          <w:rFonts w:ascii="Times New Roman" w:hAnsi="Times New Roman" w:cs="Times New Roman"/>
        </w:rPr>
        <w:t>концу марта 2020 года</w:t>
      </w:r>
      <w:r w:rsidRPr="006C5DD8">
        <w:rPr>
          <w:rFonts w:ascii="Times New Roman" w:hAnsi="Times New Roman" w:cs="Times New Roman"/>
        </w:rPr>
        <w:t xml:space="preserve"> её курс снизился</w:t>
      </w:r>
      <w:r w:rsidR="00B15EBC" w:rsidRPr="006C5DD8">
        <w:rPr>
          <w:rFonts w:ascii="Times New Roman" w:hAnsi="Times New Roman" w:cs="Times New Roman"/>
        </w:rPr>
        <w:t xml:space="preserve"> до 28,2 грн/долл. </w:t>
      </w:r>
      <w:r w:rsidR="00B15EBC" w:rsidRPr="00F373E5">
        <w:rPr>
          <w:rFonts w:ascii="Times New Roman" w:hAnsi="Times New Roman" w:cs="Times New Roman"/>
        </w:rPr>
        <w:t>Избежать более глубокого падения, а в перспективе</w:t>
      </w:r>
      <w:r w:rsidR="00B15EBC" w:rsidRPr="006C5DD8">
        <w:rPr>
          <w:rFonts w:ascii="Times New Roman" w:hAnsi="Times New Roman" w:cs="Times New Roman"/>
        </w:rPr>
        <w:t xml:space="preserve"> способствовать укреплению денежной единицы </w:t>
      </w:r>
      <w:r w:rsidR="00140CD7" w:rsidRPr="006C5DD8">
        <w:rPr>
          <w:rFonts w:ascii="Times New Roman" w:hAnsi="Times New Roman" w:cs="Times New Roman"/>
        </w:rPr>
        <w:t>позволили</w:t>
      </w:r>
      <w:r w:rsidR="00B15EBC" w:rsidRPr="006C5DD8">
        <w:rPr>
          <w:rFonts w:ascii="Times New Roman" w:hAnsi="Times New Roman" w:cs="Times New Roman"/>
        </w:rPr>
        <w:t xml:space="preserve"> значительно возросши</w:t>
      </w:r>
      <w:r w:rsidR="00140CD7" w:rsidRPr="006C5DD8">
        <w:rPr>
          <w:rFonts w:ascii="Times New Roman" w:hAnsi="Times New Roman" w:cs="Times New Roman"/>
        </w:rPr>
        <w:t>е</w:t>
      </w:r>
      <w:r w:rsidR="00B15EBC" w:rsidRPr="006C5DD8">
        <w:rPr>
          <w:rFonts w:ascii="Times New Roman" w:hAnsi="Times New Roman" w:cs="Times New Roman"/>
        </w:rPr>
        <w:t xml:space="preserve"> в этот период объём</w:t>
      </w:r>
      <w:r w:rsidR="00401111">
        <w:rPr>
          <w:rFonts w:ascii="Times New Roman" w:hAnsi="Times New Roman" w:cs="Times New Roman"/>
        </w:rPr>
        <w:t>ы</w:t>
      </w:r>
      <w:r w:rsidR="00B15EBC" w:rsidRPr="006C5DD8">
        <w:rPr>
          <w:rFonts w:ascii="Times New Roman" w:hAnsi="Times New Roman" w:cs="Times New Roman"/>
        </w:rPr>
        <w:t xml:space="preserve"> валюты, прода</w:t>
      </w:r>
      <w:r w:rsidR="00401111">
        <w:rPr>
          <w:rFonts w:ascii="Times New Roman" w:hAnsi="Times New Roman" w:cs="Times New Roman"/>
        </w:rPr>
        <w:t>ваем</w:t>
      </w:r>
      <w:r w:rsidR="00B15EBC" w:rsidRPr="006C5DD8">
        <w:rPr>
          <w:rFonts w:ascii="Times New Roman" w:hAnsi="Times New Roman" w:cs="Times New Roman"/>
        </w:rPr>
        <w:t>ой Национальным банком Украины</w:t>
      </w:r>
      <w:r w:rsidR="00140CD7" w:rsidRPr="006C5DD8">
        <w:rPr>
          <w:rFonts w:ascii="Times New Roman" w:hAnsi="Times New Roman" w:cs="Times New Roman"/>
        </w:rPr>
        <w:t xml:space="preserve">, и снижение учётной ставки. </w:t>
      </w:r>
      <w:r w:rsidR="00BE40B7" w:rsidRPr="006C5DD8">
        <w:rPr>
          <w:rFonts w:ascii="Times New Roman" w:hAnsi="Times New Roman" w:cs="Times New Roman"/>
        </w:rPr>
        <w:t xml:space="preserve">К концу года </w:t>
      </w:r>
      <w:r w:rsidR="00026637" w:rsidRPr="006C5DD8">
        <w:rPr>
          <w:rFonts w:ascii="Times New Roman" w:hAnsi="Times New Roman" w:cs="Times New Roman"/>
        </w:rPr>
        <w:t>курс доллара состав</w:t>
      </w:r>
      <w:r w:rsidR="00BE40B7" w:rsidRPr="006C5DD8">
        <w:rPr>
          <w:rFonts w:ascii="Times New Roman" w:hAnsi="Times New Roman" w:cs="Times New Roman"/>
        </w:rPr>
        <w:t>и</w:t>
      </w:r>
      <w:r w:rsidR="00026637" w:rsidRPr="006C5DD8">
        <w:rPr>
          <w:rFonts w:ascii="Times New Roman" w:hAnsi="Times New Roman" w:cs="Times New Roman"/>
        </w:rPr>
        <w:t>л 28</w:t>
      </w:r>
      <w:r w:rsidR="0025723D" w:rsidRPr="006C5DD8">
        <w:rPr>
          <w:rFonts w:ascii="Times New Roman" w:hAnsi="Times New Roman" w:cs="Times New Roman"/>
        </w:rPr>
        <w:t>,2746 грн</w:t>
      </w:r>
      <w:r w:rsidR="00026637" w:rsidRPr="006C5DD8">
        <w:rPr>
          <w:rFonts w:ascii="Times New Roman" w:hAnsi="Times New Roman" w:cs="Times New Roman"/>
        </w:rPr>
        <w:t xml:space="preserve"> (+1</w:t>
      </w:r>
      <w:r w:rsidR="0025723D" w:rsidRPr="006C5DD8">
        <w:rPr>
          <w:rFonts w:ascii="Times New Roman" w:hAnsi="Times New Roman" w:cs="Times New Roman"/>
        </w:rPr>
        <w:t>9,4%</w:t>
      </w:r>
      <w:r w:rsidR="00026637" w:rsidRPr="006C5DD8">
        <w:rPr>
          <w:rFonts w:ascii="Times New Roman" w:hAnsi="Times New Roman" w:cs="Times New Roman"/>
        </w:rPr>
        <w:t xml:space="preserve"> к 01.01.2020)</w:t>
      </w:r>
      <w:r w:rsidR="0025723D" w:rsidRPr="006C5DD8">
        <w:rPr>
          <w:rFonts w:ascii="Times New Roman" w:hAnsi="Times New Roman" w:cs="Times New Roman"/>
        </w:rPr>
        <w:t xml:space="preserve">. </w:t>
      </w:r>
      <w:r w:rsidR="00BE40B7" w:rsidRPr="006C5DD8">
        <w:rPr>
          <w:rFonts w:ascii="Times New Roman" w:hAnsi="Times New Roman" w:cs="Times New Roman"/>
        </w:rPr>
        <w:t xml:space="preserve">По отношению </w:t>
      </w:r>
      <w:r w:rsidR="00BE40B7" w:rsidRPr="00364FA4">
        <w:rPr>
          <w:rFonts w:ascii="Times New Roman" w:hAnsi="Times New Roman" w:cs="Times New Roman"/>
        </w:rPr>
        <w:t xml:space="preserve">к приднестровскому рублю </w:t>
      </w:r>
      <w:r w:rsidR="005F6335" w:rsidRPr="00364FA4">
        <w:rPr>
          <w:rFonts w:ascii="Times New Roman" w:hAnsi="Times New Roman" w:cs="Times New Roman"/>
        </w:rPr>
        <w:t xml:space="preserve">официальный курс гривны за отчётный год снизился на 16,2%, составив 0,5697 руб. ПМР по состоянию на 1 января 2021 года. Средневзвешенное курсовое </w:t>
      </w:r>
      <w:r w:rsidR="005F6335" w:rsidRPr="00364FA4">
        <w:rPr>
          <w:rFonts w:ascii="Times New Roman" w:hAnsi="Times New Roman" w:cs="Times New Roman"/>
        </w:rPr>
        <w:lastRenderedPageBreak/>
        <w:t>соотношение грн/руб. ПМР за 2020 год составило 0,5981 руб. ПМР, что на 4,1% ниже базисного значения.</w:t>
      </w:r>
    </w:p>
    <w:p w14:paraId="5309333A" w14:textId="4D9E8287" w:rsidR="005F6335" w:rsidRPr="00364FA4" w:rsidRDefault="00870E3F" w:rsidP="005F6335">
      <w:pPr>
        <w:pStyle w:val="af9"/>
        <w:widowControl w:val="0"/>
        <w:spacing w:before="0" w:beforeAutospacing="0" w:after="0" w:afterAutospacing="0" w:line="240" w:lineRule="auto"/>
        <w:ind w:firstLine="425"/>
        <w:jc w:val="both"/>
        <w:rPr>
          <w:rFonts w:ascii="Times New Roman" w:hAnsi="Times New Roman" w:cs="Times New Roman"/>
        </w:rPr>
      </w:pPr>
      <w:r w:rsidRPr="00364FA4">
        <w:rPr>
          <w:rFonts w:ascii="Times New Roman" w:hAnsi="Times New Roman" w:cs="Times New Roman"/>
        </w:rPr>
        <w:t xml:space="preserve">В начале </w:t>
      </w:r>
      <w:r w:rsidR="00401111">
        <w:rPr>
          <w:rFonts w:ascii="Times New Roman" w:hAnsi="Times New Roman" w:cs="Times New Roman"/>
        </w:rPr>
        <w:t xml:space="preserve">2020 </w:t>
      </w:r>
      <w:r w:rsidRPr="00364FA4">
        <w:rPr>
          <w:rFonts w:ascii="Times New Roman" w:hAnsi="Times New Roman" w:cs="Times New Roman"/>
        </w:rPr>
        <w:t>года молдавский лей также оказался под давлением последствий кризиса,</w:t>
      </w:r>
      <w:r w:rsidRPr="006C5DD8">
        <w:rPr>
          <w:rFonts w:ascii="Times New Roman" w:hAnsi="Times New Roman" w:cs="Times New Roman"/>
        </w:rPr>
        <w:t xml:space="preserve"> вызванного пандемией. В первой декаде апреля он ослаб на 8,3% (до 18,6 лей РМ/долл.) к показателю на 1 января 2020 года. С целью не допустить ажиотажных настроений на рынке Национальный банк Молдовы проводил валютные интервенции и снижал базовую ставку. </w:t>
      </w:r>
      <w:r w:rsidR="00364FA4">
        <w:rPr>
          <w:rFonts w:ascii="Times New Roman" w:hAnsi="Times New Roman" w:cs="Times New Roman"/>
        </w:rPr>
        <w:t xml:space="preserve">В дальнейшем его </w:t>
      </w:r>
      <w:r w:rsidR="00364FA4" w:rsidRPr="006C5DD8">
        <w:rPr>
          <w:rFonts w:ascii="Times New Roman" w:hAnsi="Times New Roman" w:cs="Times New Roman"/>
        </w:rPr>
        <w:t>укреплени</w:t>
      </w:r>
      <w:r w:rsidR="00364FA4">
        <w:rPr>
          <w:rFonts w:ascii="Times New Roman" w:hAnsi="Times New Roman" w:cs="Times New Roman"/>
        </w:rPr>
        <w:t>ю</w:t>
      </w:r>
      <w:r w:rsidR="00364FA4" w:rsidRPr="006C5DD8">
        <w:rPr>
          <w:rFonts w:ascii="Times New Roman" w:hAnsi="Times New Roman" w:cs="Times New Roman"/>
        </w:rPr>
        <w:t xml:space="preserve"> </w:t>
      </w:r>
      <w:r w:rsidR="00621D5C" w:rsidRPr="006C5DD8">
        <w:rPr>
          <w:rFonts w:ascii="Times New Roman" w:hAnsi="Times New Roman" w:cs="Times New Roman"/>
        </w:rPr>
        <w:t>способствовали</w:t>
      </w:r>
      <w:r w:rsidR="00621D5C" w:rsidRPr="00364FA4">
        <w:rPr>
          <w:rFonts w:ascii="Times New Roman" w:hAnsi="Times New Roman" w:cs="Times New Roman"/>
        </w:rPr>
        <w:t xml:space="preserve"> </w:t>
      </w:r>
      <w:r w:rsidR="00364FA4">
        <w:rPr>
          <w:rFonts w:ascii="Times New Roman" w:hAnsi="Times New Roman" w:cs="Times New Roman"/>
        </w:rPr>
        <w:t>и н</w:t>
      </w:r>
      <w:r w:rsidR="00364FA4" w:rsidRPr="006C5DD8">
        <w:rPr>
          <w:rFonts w:ascii="Times New Roman" w:hAnsi="Times New Roman" w:cs="Times New Roman"/>
        </w:rPr>
        <w:t xml:space="preserve">изкий </w:t>
      </w:r>
      <w:r w:rsidR="00107B7F" w:rsidRPr="006C5DD8">
        <w:rPr>
          <w:rFonts w:ascii="Times New Roman" w:hAnsi="Times New Roman" w:cs="Times New Roman"/>
        </w:rPr>
        <w:t>с</w:t>
      </w:r>
      <w:r w:rsidR="003B0994" w:rsidRPr="006C5DD8">
        <w:rPr>
          <w:rFonts w:ascii="Times New Roman" w:hAnsi="Times New Roman" w:cs="Times New Roman"/>
        </w:rPr>
        <w:t xml:space="preserve">прос на валюту </w:t>
      </w:r>
      <w:r w:rsidR="00107B7F" w:rsidRPr="006C5DD8">
        <w:rPr>
          <w:rFonts w:ascii="Times New Roman" w:hAnsi="Times New Roman" w:cs="Times New Roman"/>
        </w:rPr>
        <w:t>в условиях</w:t>
      </w:r>
      <w:r w:rsidR="003B0994" w:rsidRPr="006C5DD8">
        <w:rPr>
          <w:rFonts w:ascii="Times New Roman" w:hAnsi="Times New Roman" w:cs="Times New Roman"/>
        </w:rPr>
        <w:t xml:space="preserve"> слабой </w:t>
      </w:r>
      <w:r w:rsidR="003B0994" w:rsidRPr="00BF3A99">
        <w:rPr>
          <w:rFonts w:ascii="Times New Roman" w:hAnsi="Times New Roman" w:cs="Times New Roman"/>
        </w:rPr>
        <w:t xml:space="preserve">потребительской активности населения, </w:t>
      </w:r>
      <w:r w:rsidR="00621D5C" w:rsidRPr="00BF3A99">
        <w:rPr>
          <w:rFonts w:ascii="Times New Roman" w:hAnsi="Times New Roman" w:cs="Times New Roman"/>
        </w:rPr>
        <w:t xml:space="preserve">и </w:t>
      </w:r>
      <w:r w:rsidR="00364FA4" w:rsidRPr="00BF3A99">
        <w:rPr>
          <w:rFonts w:ascii="Times New Roman" w:hAnsi="Times New Roman" w:cs="Times New Roman"/>
        </w:rPr>
        <w:t>прирост денежных переводов</w:t>
      </w:r>
      <w:r w:rsidR="003B0994" w:rsidRPr="00BF3A99">
        <w:rPr>
          <w:rFonts w:ascii="Times New Roman" w:hAnsi="Times New Roman" w:cs="Times New Roman"/>
        </w:rPr>
        <w:t xml:space="preserve">. </w:t>
      </w:r>
      <w:r w:rsidR="00107B7F" w:rsidRPr="00BF3A99">
        <w:rPr>
          <w:rFonts w:ascii="Times New Roman" w:hAnsi="Times New Roman" w:cs="Times New Roman"/>
        </w:rPr>
        <w:t>В итоге по состоянию</w:t>
      </w:r>
      <w:r w:rsidR="00107B7F" w:rsidRPr="006C5DD8">
        <w:rPr>
          <w:rFonts w:ascii="Times New Roman" w:hAnsi="Times New Roman" w:cs="Times New Roman"/>
        </w:rPr>
        <w:t xml:space="preserve"> на 1 января 2021 года курс доллара сложился на уровне 17,2146 лей РМ, что сопоставимо со </w:t>
      </w:r>
      <w:r w:rsidR="00107B7F" w:rsidRPr="00364FA4">
        <w:rPr>
          <w:rFonts w:ascii="Times New Roman" w:hAnsi="Times New Roman" w:cs="Times New Roman"/>
        </w:rPr>
        <w:t>значением на начало 2020 года.</w:t>
      </w:r>
      <w:r w:rsidR="00140CD7" w:rsidRPr="00364FA4">
        <w:rPr>
          <w:rFonts w:ascii="Times New Roman" w:hAnsi="Times New Roman" w:cs="Times New Roman"/>
        </w:rPr>
        <w:t xml:space="preserve"> </w:t>
      </w:r>
      <w:r w:rsidR="005F6335" w:rsidRPr="00364FA4">
        <w:rPr>
          <w:rFonts w:ascii="Times New Roman" w:hAnsi="Times New Roman" w:cs="Times New Roman"/>
        </w:rPr>
        <w:t xml:space="preserve">На внутреннем валютном рынке Приднестровья официальный курс молдавского лея к рублю </w:t>
      </w:r>
      <w:r w:rsidR="00585279">
        <w:rPr>
          <w:rFonts w:ascii="Times New Roman" w:eastAsia="Times New Roman" w:hAnsi="Times New Roman" w:cs="Times New Roman"/>
        </w:rPr>
        <w:t>Приднестровской Молдавской Республики</w:t>
      </w:r>
      <w:r w:rsidR="00585279" w:rsidRPr="00364FA4">
        <w:rPr>
          <w:rFonts w:ascii="Times New Roman" w:hAnsi="Times New Roman" w:cs="Times New Roman"/>
        </w:rPr>
        <w:t xml:space="preserve"> </w:t>
      </w:r>
      <w:r w:rsidR="005F6335" w:rsidRPr="00364FA4">
        <w:rPr>
          <w:rFonts w:ascii="Times New Roman" w:hAnsi="Times New Roman" w:cs="Times New Roman"/>
        </w:rPr>
        <w:t>на конец отчётного года составил 0,9353 руб. ПМР, что соответствует его значению на начало года, среднегодовой показатель сложился на отметке 0,9084 руб. ПМР (+1,7% к уровню 2019 года).</w:t>
      </w:r>
    </w:p>
    <w:p w14:paraId="6A41D051" w14:textId="4D47B575" w:rsidR="00E04298" w:rsidRPr="00160362" w:rsidRDefault="00807245" w:rsidP="005F6335">
      <w:pPr>
        <w:pStyle w:val="af9"/>
        <w:widowControl w:val="0"/>
        <w:spacing w:before="0" w:beforeAutospacing="0" w:after="0" w:afterAutospacing="0" w:line="240" w:lineRule="auto"/>
        <w:ind w:firstLine="425"/>
        <w:jc w:val="both"/>
        <w:rPr>
          <w:rFonts w:ascii="Times New Roman" w:hAnsi="Times New Roman" w:cs="Times New Roman"/>
        </w:rPr>
      </w:pPr>
      <w:r w:rsidRPr="00160362">
        <w:rPr>
          <w:rFonts w:ascii="Times New Roman" w:hAnsi="Times New Roman" w:cs="Times New Roman"/>
        </w:rPr>
        <w:t>В условиях спада потребительской и деловой активности совокупная ёмкость наличного валютного рынка Приднестровья за 2020 год сузилась на 31,6%, до 330,0 млн долл.</w:t>
      </w:r>
      <w:r w:rsidR="00313445" w:rsidRPr="00160362">
        <w:rPr>
          <w:rFonts w:ascii="Times New Roman" w:hAnsi="Times New Roman" w:cs="Times New Roman"/>
        </w:rPr>
        <w:t xml:space="preserve"> Спрос на валюту со стороны клиентов составил 128,2 млн долл., что на 35,9% ниже показателя </w:t>
      </w:r>
      <w:r w:rsidR="00313445" w:rsidRPr="00160362">
        <w:rPr>
          <w:rFonts w:ascii="Times New Roman" w:hAnsi="Times New Roman" w:cs="Times New Roman"/>
        </w:rPr>
        <w:br/>
        <w:t>2019 года.</w:t>
      </w:r>
      <w:r w:rsidR="00313445" w:rsidRPr="00160362">
        <w:rPr>
          <w:rFonts w:ascii="Sylfaen" w:hAnsi="Sylfaen"/>
          <w:sz w:val="22"/>
          <w:szCs w:val="22"/>
        </w:rPr>
        <w:t xml:space="preserve"> </w:t>
      </w:r>
      <w:r w:rsidR="00313445" w:rsidRPr="00160362">
        <w:rPr>
          <w:rFonts w:ascii="Times New Roman" w:hAnsi="Times New Roman" w:cs="Times New Roman"/>
        </w:rPr>
        <w:t>Предложение сократилось на 28,5% и сложилось в сумме 201,8 млн в долларовом эквиваленте.</w:t>
      </w:r>
      <w:r w:rsidR="006C6CD1" w:rsidRPr="00160362">
        <w:rPr>
          <w:rFonts w:ascii="Times New Roman" w:hAnsi="Times New Roman" w:cs="Times New Roman"/>
        </w:rPr>
        <w:t xml:space="preserve"> Итогом сделок продажи/покупки наличной валюты стало формирование положительного сальдо (превышение предложения над спросом) на уровне 73,5 млн долл., что на 10,6% меньше показателя 2019 года.</w:t>
      </w:r>
    </w:p>
    <w:p w14:paraId="6D5AFBF2" w14:textId="65EFF16D" w:rsidR="00807245" w:rsidRPr="00160362" w:rsidRDefault="00313445" w:rsidP="00FC4517">
      <w:pPr>
        <w:widowControl w:val="0"/>
        <w:shd w:val="clear" w:color="auto" w:fill="FFFFFF"/>
        <w:spacing w:before="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Оборот безналичного рынка</w:t>
      </w:r>
      <w:r w:rsidRPr="00160362">
        <w:rPr>
          <w:rFonts w:ascii="Times New Roman" w:hAnsi="Times New Roman"/>
          <w:sz w:val="24"/>
          <w:szCs w:val="24"/>
          <w:vertAlign w:val="superscript"/>
        </w:rPr>
        <w:footnoteReference w:id="15"/>
      </w:r>
      <w:r w:rsidRPr="00160362">
        <w:rPr>
          <w:rFonts w:ascii="Times New Roman" w:hAnsi="Times New Roman" w:cs="Times New Roman"/>
          <w:sz w:val="24"/>
          <w:szCs w:val="24"/>
        </w:rPr>
        <w:t xml:space="preserve"> иностранной валюты зафиксирован на уровне, близком к базисному значению, – 1 276,6 млн долл. (-0,4%).</w:t>
      </w:r>
      <w:r w:rsidR="006C6CD1" w:rsidRPr="00160362">
        <w:rPr>
          <w:rFonts w:ascii="Times New Roman" w:hAnsi="Times New Roman" w:cs="Times New Roman"/>
          <w:sz w:val="24"/>
          <w:szCs w:val="24"/>
        </w:rPr>
        <w:t xml:space="preserve"> Реализация безналичной валюты клиентами уменьшилась на 1,9%, до 605,3 млн долл.</w:t>
      </w:r>
      <w:r w:rsidR="00FC4517" w:rsidRPr="00160362">
        <w:rPr>
          <w:rFonts w:ascii="Times New Roman" w:hAnsi="Times New Roman" w:cs="Times New Roman"/>
          <w:sz w:val="24"/>
          <w:szCs w:val="24"/>
        </w:rPr>
        <w:t>,</w:t>
      </w:r>
      <w:r w:rsidR="006C6CD1" w:rsidRPr="00160362">
        <w:rPr>
          <w:rFonts w:ascii="Times New Roman" w:hAnsi="Times New Roman" w:cs="Times New Roman"/>
          <w:sz w:val="24"/>
          <w:szCs w:val="24"/>
        </w:rPr>
        <w:t xml:space="preserve"> </w:t>
      </w:r>
      <w:r w:rsidR="00FC4517" w:rsidRPr="00160362">
        <w:rPr>
          <w:rFonts w:ascii="Times New Roman" w:hAnsi="Times New Roman" w:cs="Times New Roman"/>
          <w:sz w:val="24"/>
          <w:szCs w:val="24"/>
        </w:rPr>
        <w:t>о</w:t>
      </w:r>
      <w:r w:rsidR="006C6CD1" w:rsidRPr="00160362">
        <w:rPr>
          <w:rFonts w:ascii="Times New Roman" w:hAnsi="Times New Roman" w:cs="Times New Roman"/>
          <w:sz w:val="24"/>
          <w:szCs w:val="24"/>
        </w:rPr>
        <w:t xml:space="preserve">дновременно с этим спрос повысился на 1,1%, до 671,9 млн долл. </w:t>
      </w:r>
      <w:r w:rsidR="00FC4517" w:rsidRPr="00160362">
        <w:rPr>
          <w:rFonts w:ascii="Times New Roman" w:hAnsi="Times New Roman" w:cs="Times New Roman"/>
          <w:sz w:val="24"/>
          <w:szCs w:val="24"/>
        </w:rPr>
        <w:t>Таким образом, в результате безналичных валютообменных операций была сформирована нетто-покупка клиентами иностранной валюты в эквиваленте 66,6 млн долл., что на 40,0% превысило базисное значение.</w:t>
      </w:r>
    </w:p>
    <w:p w14:paraId="19CAD7DD" w14:textId="2385FDD6" w:rsidR="00FC4517" w:rsidRDefault="00FC4517" w:rsidP="00FC4517">
      <w:pPr>
        <w:widowControl w:val="0"/>
        <w:shd w:val="clear" w:color="auto" w:fill="FFFFFF"/>
        <w:spacing w:before="0" w:after="0" w:line="228"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Общее сальдо операций на наличном и безналичном рынке за 2020 год сформировалось как нетто-продажа валюты клиентами кредитных организаций в сумме 6,9 млн долл. (спад в 5,0 раз к значению 2019 года).</w:t>
      </w:r>
    </w:p>
    <w:p w14:paraId="5474055B" w14:textId="77777777" w:rsidR="00ED165B" w:rsidRPr="00F50BAF" w:rsidRDefault="00ED165B" w:rsidP="008A651D">
      <w:pPr>
        <w:widowControl w:val="0"/>
        <w:shd w:val="clear" w:color="auto" w:fill="FFFFFF"/>
        <w:spacing w:before="0" w:after="0" w:line="240" w:lineRule="auto"/>
        <w:ind w:firstLine="425"/>
        <w:jc w:val="both"/>
        <w:rPr>
          <w:rFonts w:ascii="Times New Roman" w:hAnsi="Times New Roman" w:cs="Times New Roman"/>
          <w:sz w:val="14"/>
          <w:szCs w:val="24"/>
        </w:rPr>
      </w:pPr>
    </w:p>
    <w:p w14:paraId="5D0ABE56" w14:textId="77777777" w:rsidR="00D668EE" w:rsidRPr="00160362" w:rsidRDefault="00D668EE" w:rsidP="00822F2A">
      <w:pPr>
        <w:pStyle w:val="2"/>
        <w:jc w:val="center"/>
        <w:rPr>
          <w:rFonts w:ascii="Times New Roman" w:hAnsi="Times New Roman" w:cs="Times New Roman"/>
          <w:b/>
          <w:noProof/>
        </w:rPr>
      </w:pPr>
      <w:r w:rsidRPr="00160362">
        <w:rPr>
          <w:b/>
          <w:noProof/>
        </w:rPr>
        <w:t>Банковская система</w:t>
      </w:r>
    </w:p>
    <w:p w14:paraId="46EBE01C" w14:textId="77777777" w:rsidR="00D8318C" w:rsidRDefault="00D8318C" w:rsidP="00627CAF">
      <w:pPr>
        <w:widowControl w:val="0"/>
        <w:spacing w:before="0" w:after="0" w:line="240" w:lineRule="auto"/>
        <w:ind w:firstLine="425"/>
        <w:jc w:val="both"/>
        <w:rPr>
          <w:rFonts w:ascii="Times New Roman" w:hAnsi="Times New Roman" w:cs="Times New Roman"/>
          <w:color w:val="000000"/>
          <w:sz w:val="24"/>
          <w:szCs w:val="24"/>
        </w:rPr>
      </w:pPr>
    </w:p>
    <w:p w14:paraId="3B38448E" w14:textId="30CD16AE" w:rsidR="00364FA4" w:rsidRDefault="00954AAB" w:rsidP="00627CAF">
      <w:pPr>
        <w:widowControl w:val="0"/>
        <w:spacing w:before="0" w:after="0" w:line="240" w:lineRule="auto"/>
        <w:ind w:firstLine="425"/>
        <w:jc w:val="both"/>
        <w:rPr>
          <w:rFonts w:ascii="Times New Roman" w:hAnsi="Times New Roman" w:cs="Times New Roman"/>
          <w:color w:val="000000"/>
          <w:sz w:val="24"/>
          <w:szCs w:val="24"/>
        </w:rPr>
      </w:pPr>
      <w:r w:rsidRPr="00954AAB">
        <w:rPr>
          <w:rFonts w:ascii="Times New Roman" w:hAnsi="Times New Roman" w:cs="Times New Roman"/>
          <w:color w:val="000000"/>
          <w:sz w:val="24"/>
          <w:szCs w:val="24"/>
        </w:rPr>
        <w:t xml:space="preserve">Благодаря докризисному накоплению достаточной «подушки безопасности» по итогам 2020 года банковский сектор республики сохранил стабильные позиции. </w:t>
      </w:r>
    </w:p>
    <w:p w14:paraId="2FF66B71" w14:textId="65DF1BBE" w:rsidR="00873FD7" w:rsidRPr="00160362" w:rsidRDefault="00873FD7" w:rsidP="00627CAF">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Совокупная валюта баланса-нетто действующих коммерческих банков расширилась на 14,7%, или на 1 427,3 млн руб., сложившись на 1 января 2021 года на уровне 11 167,2 млн руб. </w:t>
      </w:r>
    </w:p>
    <w:p w14:paraId="51BF7E1E" w14:textId="77777777" w:rsidR="00954AAB" w:rsidRPr="00954AAB" w:rsidRDefault="00954AAB" w:rsidP="00954AAB">
      <w:pPr>
        <w:widowControl w:val="0"/>
        <w:spacing w:before="0" w:after="0" w:line="240" w:lineRule="auto"/>
        <w:ind w:firstLine="425"/>
        <w:jc w:val="both"/>
        <w:rPr>
          <w:rFonts w:ascii="Times New Roman" w:hAnsi="Times New Roman" w:cs="Times New Roman"/>
          <w:color w:val="000000"/>
          <w:sz w:val="24"/>
          <w:szCs w:val="24"/>
        </w:rPr>
      </w:pPr>
      <w:r w:rsidRPr="00954AAB">
        <w:rPr>
          <w:rFonts w:ascii="Times New Roman" w:hAnsi="Times New Roman" w:cs="Times New Roman"/>
          <w:color w:val="000000"/>
          <w:sz w:val="24"/>
          <w:szCs w:val="24"/>
        </w:rPr>
        <w:t xml:space="preserve">Собственный капитал коммерческих банков, рассчитанный на основе нормативных требований в соответствии с Инструкцией ПРБ от 9 ноября 2007 года № 22-И «О порядке регулирования деятельности кредитных организаций», по состоянию на 1 января 2021 года сложился на уровне 2 064,5 млн руб. В том числе акционерный капитал банковской системы составил 1 853,8 млн руб. К концу отчётного периода была завершена процедура оздоровления </w:t>
      </w:r>
    </w:p>
    <w:p w14:paraId="1B84A306" w14:textId="6EF02BCE" w:rsidR="00873FD7" w:rsidRPr="00160362" w:rsidRDefault="00954AAB" w:rsidP="00954AAB">
      <w:pPr>
        <w:widowControl w:val="0"/>
        <w:spacing w:before="0" w:after="0" w:line="240" w:lineRule="auto"/>
        <w:jc w:val="both"/>
        <w:rPr>
          <w:rFonts w:ascii="Times New Roman" w:hAnsi="Times New Roman" w:cs="Times New Roman"/>
          <w:color w:val="000000"/>
          <w:sz w:val="24"/>
          <w:szCs w:val="24"/>
        </w:rPr>
      </w:pPr>
      <w:r w:rsidRPr="00954AAB">
        <w:rPr>
          <w:rFonts w:ascii="Times New Roman" w:hAnsi="Times New Roman" w:cs="Times New Roman"/>
          <w:color w:val="000000"/>
          <w:sz w:val="24"/>
          <w:szCs w:val="24"/>
        </w:rPr>
        <w:t xml:space="preserve">ОАО «Эксимбанк» в соответствии с положениями Закона </w:t>
      </w:r>
      <w:r w:rsidR="00826C7A">
        <w:rPr>
          <w:rFonts w:ascii="Times New Roman" w:hAnsi="Times New Roman" w:cs="Times New Roman"/>
          <w:sz w:val="24"/>
          <w:szCs w:val="24"/>
        </w:rPr>
        <w:t>Приднестровской Молдавской Республики</w:t>
      </w:r>
      <w:r w:rsidR="00826C7A" w:rsidRPr="00954AAB">
        <w:rPr>
          <w:rFonts w:ascii="Times New Roman" w:hAnsi="Times New Roman" w:cs="Times New Roman"/>
          <w:color w:val="000000"/>
          <w:sz w:val="24"/>
          <w:szCs w:val="24"/>
        </w:rPr>
        <w:t xml:space="preserve"> </w:t>
      </w:r>
      <w:r w:rsidRPr="00954AAB">
        <w:rPr>
          <w:rFonts w:ascii="Times New Roman" w:hAnsi="Times New Roman" w:cs="Times New Roman"/>
          <w:color w:val="000000"/>
          <w:sz w:val="24"/>
          <w:szCs w:val="24"/>
        </w:rPr>
        <w:t>от 30 июня 2017 года № 201-З-VI «О стабилизации банковской системы Приднестровской Молдавской Республики» (САЗ 17-27).</w:t>
      </w:r>
      <w:r>
        <w:rPr>
          <w:rFonts w:ascii="Times New Roman" w:hAnsi="Times New Roman" w:cs="Times New Roman"/>
          <w:color w:val="000000"/>
          <w:sz w:val="24"/>
          <w:szCs w:val="24"/>
        </w:rPr>
        <w:t xml:space="preserve"> В результате к</w:t>
      </w:r>
      <w:r w:rsidRPr="00954AAB">
        <w:rPr>
          <w:rFonts w:ascii="Times New Roman" w:hAnsi="Times New Roman" w:cs="Times New Roman"/>
          <w:color w:val="000000"/>
          <w:sz w:val="24"/>
          <w:szCs w:val="24"/>
        </w:rPr>
        <w:t>апитализация банковского сектора составила порядка 13% ВВП.</w:t>
      </w:r>
    </w:p>
    <w:p w14:paraId="4A6ECFE8" w14:textId="01602EF2" w:rsidR="00873FD7" w:rsidRPr="00F6311D"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Совокупный размер обязательств коммерческих банков расширился на 13,1%, или на </w:t>
      </w:r>
      <w:r w:rsidR="00160362">
        <w:rPr>
          <w:rFonts w:ascii="Times New Roman" w:hAnsi="Times New Roman" w:cs="Times New Roman"/>
          <w:color w:val="000000"/>
          <w:sz w:val="24"/>
          <w:szCs w:val="24"/>
        </w:rPr>
        <w:br/>
      </w:r>
      <w:r w:rsidRPr="00160362">
        <w:rPr>
          <w:rFonts w:ascii="Times New Roman" w:hAnsi="Times New Roman" w:cs="Times New Roman"/>
          <w:color w:val="000000"/>
          <w:sz w:val="24"/>
          <w:szCs w:val="24"/>
        </w:rPr>
        <w:lastRenderedPageBreak/>
        <w:t xml:space="preserve">1 052,2 млн руб. Сложившаяся динамика обусловлена преимущественно увеличением обязательств, номинированных в иностранной валюте (+15,1%, или +888,6 млн руб., до </w:t>
      </w:r>
      <w:r w:rsidR="00160362">
        <w:rPr>
          <w:rFonts w:ascii="Times New Roman" w:hAnsi="Times New Roman" w:cs="Times New Roman"/>
          <w:color w:val="000000"/>
          <w:sz w:val="24"/>
          <w:szCs w:val="24"/>
        </w:rPr>
        <w:br/>
      </w:r>
      <w:r w:rsidRPr="00160362">
        <w:rPr>
          <w:rFonts w:ascii="Times New Roman" w:hAnsi="Times New Roman" w:cs="Times New Roman"/>
          <w:color w:val="000000"/>
          <w:sz w:val="24"/>
          <w:szCs w:val="24"/>
        </w:rPr>
        <w:t>6 762,2 млн руб.). В результате степень валютизации привлечённых ресурсов повысилась на 1,3 п.п., до 74,6%. Объём средств в приднестровских рублях возрос на 7,6% (+163,5 млн руб.), до 2 305,6 млн руб. Таким образом, по состоянию на 1 января 2021 года банками было привлечено средств на сумму 9 067,8 млн руб</w:t>
      </w:r>
      <w:r w:rsidRPr="00F6311D">
        <w:rPr>
          <w:rFonts w:ascii="Times New Roman" w:hAnsi="Times New Roman" w:cs="Times New Roman"/>
          <w:color w:val="000000"/>
          <w:sz w:val="24"/>
          <w:szCs w:val="24"/>
        </w:rPr>
        <w:t>. (табл. 1</w:t>
      </w:r>
      <w:r w:rsidR="009023FA" w:rsidRPr="00F6311D">
        <w:rPr>
          <w:rFonts w:ascii="Times New Roman" w:hAnsi="Times New Roman" w:cs="Times New Roman"/>
          <w:color w:val="000000"/>
          <w:sz w:val="24"/>
          <w:szCs w:val="24"/>
        </w:rPr>
        <w:t>.8</w:t>
      </w:r>
      <w:r w:rsidRPr="00F6311D">
        <w:rPr>
          <w:rFonts w:ascii="Times New Roman" w:hAnsi="Times New Roman" w:cs="Times New Roman"/>
          <w:color w:val="000000"/>
          <w:sz w:val="24"/>
          <w:szCs w:val="24"/>
        </w:rPr>
        <w:t>),</w:t>
      </w:r>
      <w:r w:rsidR="002A43E5">
        <w:rPr>
          <w:rFonts w:ascii="Times New Roman" w:hAnsi="Times New Roman" w:cs="Times New Roman"/>
          <w:color w:val="000000"/>
          <w:sz w:val="24"/>
          <w:szCs w:val="24"/>
        </w:rPr>
        <w:t xml:space="preserve"> или 81,2% валюты баланса-нетто</w:t>
      </w:r>
      <w:r w:rsidRPr="00F6311D">
        <w:rPr>
          <w:rFonts w:ascii="Times New Roman" w:hAnsi="Times New Roman" w:cs="Times New Roman"/>
          <w:color w:val="000000"/>
          <w:sz w:val="24"/>
          <w:szCs w:val="24"/>
        </w:rPr>
        <w:t>.</w:t>
      </w:r>
    </w:p>
    <w:p w14:paraId="54B7B8AF" w14:textId="6EFB5DBB" w:rsidR="00CC0E2A" w:rsidRPr="00160362" w:rsidRDefault="00CC0E2A" w:rsidP="00CC0E2A">
      <w:pPr>
        <w:keepNext/>
        <w:widowControl w:val="0"/>
        <w:spacing w:before="120" w:after="120" w:line="240" w:lineRule="auto"/>
        <w:jc w:val="right"/>
        <w:outlineLvl w:val="3"/>
        <w:rPr>
          <w:rFonts w:ascii="Times New Roman" w:eastAsia="Times New Roman" w:hAnsi="Times New Roman" w:cs="Times New Roman"/>
          <w:b/>
          <w:bCs/>
          <w:i/>
          <w:color w:val="000000"/>
          <w:sz w:val="24"/>
          <w:szCs w:val="22"/>
        </w:rPr>
      </w:pPr>
      <w:r w:rsidRPr="00F6311D">
        <w:rPr>
          <w:rFonts w:ascii="Times New Roman" w:eastAsia="Times New Roman" w:hAnsi="Times New Roman" w:cs="Times New Roman"/>
          <w:b/>
          <w:bCs/>
          <w:i/>
          <w:color w:val="000000"/>
          <w:sz w:val="24"/>
          <w:szCs w:val="22"/>
        </w:rPr>
        <w:t xml:space="preserve">Таблица </w:t>
      </w:r>
      <w:r w:rsidR="009023FA" w:rsidRPr="00F6311D">
        <w:rPr>
          <w:rFonts w:ascii="Times New Roman" w:eastAsia="Times New Roman" w:hAnsi="Times New Roman" w:cs="Times New Roman"/>
          <w:b/>
          <w:bCs/>
          <w:i/>
          <w:color w:val="000000"/>
          <w:sz w:val="24"/>
          <w:szCs w:val="22"/>
        </w:rPr>
        <w:t>1.8</w:t>
      </w:r>
    </w:p>
    <w:p w14:paraId="2734E220" w14:textId="77777777" w:rsidR="00CC0E2A" w:rsidRPr="00160362" w:rsidRDefault="00CC0E2A" w:rsidP="00CC0E2A">
      <w:pPr>
        <w:widowControl w:val="0"/>
        <w:spacing w:before="0" w:after="120" w:line="240" w:lineRule="auto"/>
        <w:jc w:val="center"/>
        <w:outlineLvl w:val="2"/>
        <w:rPr>
          <w:rFonts w:ascii="Times New Roman" w:eastAsia="Times New Roman" w:hAnsi="Times New Roman" w:cs="Times New Roman"/>
          <w:b/>
          <w:bCs/>
          <w:i/>
          <w:color w:val="000000"/>
          <w:sz w:val="24"/>
          <w:szCs w:val="22"/>
        </w:rPr>
      </w:pPr>
      <w:r w:rsidRPr="00160362">
        <w:rPr>
          <w:rFonts w:ascii="Times New Roman" w:eastAsia="Times New Roman" w:hAnsi="Times New Roman" w:cs="Times New Roman"/>
          <w:b/>
          <w:bCs/>
          <w:i/>
          <w:color w:val="000000"/>
          <w:sz w:val="24"/>
          <w:szCs w:val="22"/>
        </w:rPr>
        <w:t>Структура и динамика совокупных обязательств коммерческих банков</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1"/>
        <w:gridCol w:w="1181"/>
        <w:gridCol w:w="1181"/>
        <w:gridCol w:w="1181"/>
        <w:gridCol w:w="1181"/>
        <w:gridCol w:w="1134"/>
      </w:tblGrid>
      <w:tr w:rsidR="00D75186" w:rsidRPr="00160362" w14:paraId="395570A3" w14:textId="77777777" w:rsidTr="00D75186">
        <w:trPr>
          <w:trHeight w:val="145"/>
        </w:trPr>
        <w:tc>
          <w:tcPr>
            <w:tcW w:w="3781" w:type="dxa"/>
            <w:vMerge w:val="restart"/>
            <w:tcBorders>
              <w:top w:val="single" w:sz="4" w:space="0" w:color="auto"/>
              <w:left w:val="single" w:sz="4" w:space="0" w:color="auto"/>
              <w:bottom w:val="double" w:sz="4" w:space="0" w:color="auto"/>
              <w:right w:val="single" w:sz="4" w:space="0" w:color="auto"/>
            </w:tcBorders>
            <w:shd w:val="clear" w:color="auto" w:fill="CCCCCC"/>
            <w:vAlign w:val="center"/>
          </w:tcPr>
          <w:p w14:paraId="32D3A338" w14:textId="77777777" w:rsidR="00D75186" w:rsidRPr="00160362" w:rsidRDefault="00D75186" w:rsidP="00CC0E2A">
            <w:pPr>
              <w:widowControl w:val="0"/>
              <w:spacing w:before="0" w:after="0" w:line="240" w:lineRule="auto"/>
              <w:ind w:left="34"/>
              <w:jc w:val="center"/>
              <w:rPr>
                <w:rFonts w:ascii="Times New Roman" w:eastAsia="Times New Roman" w:hAnsi="Times New Roman" w:cs="Times New Roman"/>
                <w:color w:val="000000"/>
                <w:sz w:val="22"/>
                <w:szCs w:val="22"/>
              </w:rPr>
            </w:pPr>
          </w:p>
        </w:tc>
        <w:tc>
          <w:tcPr>
            <w:tcW w:w="2362"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C295AA8" w14:textId="77777777" w:rsidR="00D75186" w:rsidRPr="00160362" w:rsidRDefault="00D75186" w:rsidP="00CC0E2A">
            <w:pPr>
              <w:widowControl w:val="0"/>
              <w:spacing w:before="0" w:after="0" w:line="240" w:lineRule="auto"/>
              <w:ind w:left="-94" w:right="-101"/>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на 01.01.2020</w:t>
            </w:r>
          </w:p>
        </w:tc>
        <w:tc>
          <w:tcPr>
            <w:tcW w:w="2362"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987CB87" w14:textId="77777777" w:rsidR="00D75186" w:rsidRPr="00160362" w:rsidRDefault="00D75186" w:rsidP="00CC0E2A">
            <w:pPr>
              <w:widowControl w:val="0"/>
              <w:spacing w:before="0" w:after="0" w:line="240" w:lineRule="auto"/>
              <w:ind w:left="-94" w:right="-101"/>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на 01.01.2021</w:t>
            </w:r>
          </w:p>
        </w:tc>
        <w:tc>
          <w:tcPr>
            <w:tcW w:w="1134" w:type="dxa"/>
            <w:vMerge w:val="restart"/>
            <w:tcBorders>
              <w:top w:val="single" w:sz="4" w:space="0" w:color="auto"/>
              <w:left w:val="single" w:sz="4" w:space="0" w:color="auto"/>
              <w:bottom w:val="double" w:sz="4" w:space="0" w:color="auto"/>
              <w:right w:val="single" w:sz="4" w:space="0" w:color="auto"/>
            </w:tcBorders>
            <w:shd w:val="clear" w:color="auto" w:fill="CCCCCC"/>
            <w:vAlign w:val="center"/>
          </w:tcPr>
          <w:p w14:paraId="27491272" w14:textId="77777777" w:rsidR="00D75186" w:rsidRPr="00160362" w:rsidRDefault="00D75186" w:rsidP="00CC0E2A">
            <w:pPr>
              <w:widowControl w:val="0"/>
              <w:spacing w:before="0" w:after="0" w:line="240" w:lineRule="auto"/>
              <w:ind w:left="-94" w:right="-101"/>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темп роста, %</w:t>
            </w:r>
          </w:p>
        </w:tc>
      </w:tr>
      <w:tr w:rsidR="00D75186" w:rsidRPr="00160362" w14:paraId="5C51BDCA" w14:textId="77777777" w:rsidTr="00D75186">
        <w:trPr>
          <w:trHeight w:val="388"/>
        </w:trPr>
        <w:tc>
          <w:tcPr>
            <w:tcW w:w="3781" w:type="dxa"/>
            <w:vMerge/>
            <w:tcBorders>
              <w:top w:val="single" w:sz="4" w:space="0" w:color="auto"/>
              <w:left w:val="single" w:sz="4" w:space="0" w:color="auto"/>
              <w:bottom w:val="double" w:sz="4" w:space="0" w:color="auto"/>
              <w:right w:val="single" w:sz="4" w:space="0" w:color="auto"/>
            </w:tcBorders>
            <w:vAlign w:val="center"/>
          </w:tcPr>
          <w:p w14:paraId="1DCEF329" w14:textId="77777777" w:rsidR="00D75186" w:rsidRPr="00160362" w:rsidRDefault="00D75186" w:rsidP="00CC0E2A">
            <w:pPr>
              <w:widowControl w:val="0"/>
              <w:spacing w:before="0" w:after="0" w:line="240" w:lineRule="auto"/>
              <w:rPr>
                <w:rFonts w:ascii="Times New Roman" w:eastAsia="Times New Roman" w:hAnsi="Times New Roman" w:cs="Times New Roman"/>
                <w:color w:val="000000"/>
                <w:sz w:val="22"/>
                <w:szCs w:val="22"/>
              </w:rPr>
            </w:pPr>
          </w:p>
        </w:tc>
        <w:tc>
          <w:tcPr>
            <w:tcW w:w="1181" w:type="dxa"/>
            <w:tcBorders>
              <w:top w:val="single" w:sz="4" w:space="0" w:color="auto"/>
              <w:left w:val="single" w:sz="4" w:space="0" w:color="auto"/>
              <w:bottom w:val="double" w:sz="4" w:space="0" w:color="auto"/>
              <w:right w:val="single" w:sz="4" w:space="0" w:color="auto"/>
            </w:tcBorders>
            <w:shd w:val="clear" w:color="auto" w:fill="CCCCCC"/>
            <w:vAlign w:val="center"/>
          </w:tcPr>
          <w:p w14:paraId="27532C7C" w14:textId="77777777" w:rsidR="00D75186" w:rsidRPr="00160362" w:rsidRDefault="00D75186" w:rsidP="00CC0E2A">
            <w:pPr>
              <w:widowControl w:val="0"/>
              <w:spacing w:before="0" w:after="0" w:line="240" w:lineRule="auto"/>
              <w:ind w:left="-94" w:right="-101"/>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млн руб.</w:t>
            </w:r>
          </w:p>
        </w:tc>
        <w:tc>
          <w:tcPr>
            <w:tcW w:w="1181" w:type="dxa"/>
            <w:tcBorders>
              <w:top w:val="single" w:sz="4" w:space="0" w:color="auto"/>
              <w:left w:val="single" w:sz="4" w:space="0" w:color="auto"/>
              <w:bottom w:val="double" w:sz="4" w:space="0" w:color="auto"/>
              <w:right w:val="single" w:sz="4" w:space="0" w:color="auto"/>
            </w:tcBorders>
            <w:shd w:val="clear" w:color="auto" w:fill="CCCCCC"/>
            <w:vAlign w:val="center"/>
          </w:tcPr>
          <w:p w14:paraId="3944B455" w14:textId="09599E10" w:rsidR="00D75186" w:rsidRPr="00160362" w:rsidRDefault="00D75186" w:rsidP="00D75186">
            <w:pPr>
              <w:widowControl w:val="0"/>
              <w:spacing w:before="0" w:after="0" w:line="240" w:lineRule="auto"/>
              <w:ind w:left="-94" w:right="-101"/>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уд. вес, </w:t>
            </w:r>
            <w:r w:rsidRPr="00160362">
              <w:rPr>
                <w:rFonts w:ascii="Times New Roman" w:eastAsia="Times New Roman" w:hAnsi="Times New Roman" w:cs="Times New Roman"/>
                <w:color w:val="000000"/>
                <w:sz w:val="22"/>
                <w:szCs w:val="22"/>
              </w:rPr>
              <w:t>%</w:t>
            </w:r>
          </w:p>
        </w:tc>
        <w:tc>
          <w:tcPr>
            <w:tcW w:w="1181" w:type="dxa"/>
            <w:tcBorders>
              <w:top w:val="single" w:sz="4" w:space="0" w:color="auto"/>
              <w:left w:val="single" w:sz="4" w:space="0" w:color="auto"/>
              <w:bottom w:val="double" w:sz="4" w:space="0" w:color="auto"/>
              <w:right w:val="single" w:sz="4" w:space="0" w:color="auto"/>
            </w:tcBorders>
            <w:shd w:val="clear" w:color="auto" w:fill="CCCCCC"/>
            <w:vAlign w:val="center"/>
          </w:tcPr>
          <w:p w14:paraId="1BC6E3F1" w14:textId="77777777" w:rsidR="00D75186" w:rsidRPr="00160362" w:rsidRDefault="00D75186" w:rsidP="00CC0E2A">
            <w:pPr>
              <w:widowControl w:val="0"/>
              <w:spacing w:before="0" w:after="0" w:line="240" w:lineRule="auto"/>
              <w:ind w:left="-94" w:right="-101"/>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млн руб.</w:t>
            </w:r>
          </w:p>
        </w:tc>
        <w:tc>
          <w:tcPr>
            <w:tcW w:w="1181" w:type="dxa"/>
            <w:tcBorders>
              <w:top w:val="single" w:sz="4" w:space="0" w:color="auto"/>
              <w:left w:val="single" w:sz="4" w:space="0" w:color="auto"/>
              <w:bottom w:val="double" w:sz="4" w:space="0" w:color="auto"/>
              <w:right w:val="single" w:sz="4" w:space="0" w:color="auto"/>
            </w:tcBorders>
            <w:shd w:val="clear" w:color="auto" w:fill="CCCCCC"/>
            <w:vAlign w:val="center"/>
          </w:tcPr>
          <w:p w14:paraId="3FD38095" w14:textId="4626BE1A" w:rsidR="00D75186" w:rsidRPr="00160362" w:rsidRDefault="00D75186" w:rsidP="00D75186">
            <w:pPr>
              <w:widowControl w:val="0"/>
              <w:spacing w:before="0" w:after="0" w:line="240" w:lineRule="auto"/>
              <w:ind w:left="-94" w:right="-101"/>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уд. вес,</w:t>
            </w:r>
            <w:r>
              <w:rPr>
                <w:rFonts w:ascii="Times New Roman" w:eastAsia="Times New Roman" w:hAnsi="Times New Roman" w:cs="Times New Roman"/>
                <w:color w:val="000000"/>
                <w:sz w:val="22"/>
                <w:szCs w:val="22"/>
              </w:rPr>
              <w:t xml:space="preserve"> </w:t>
            </w:r>
            <w:r w:rsidRPr="00160362">
              <w:rPr>
                <w:rFonts w:ascii="Times New Roman" w:eastAsia="Times New Roman" w:hAnsi="Times New Roman" w:cs="Times New Roman"/>
                <w:color w:val="000000"/>
                <w:sz w:val="22"/>
                <w:szCs w:val="22"/>
              </w:rPr>
              <w:t>%</w:t>
            </w:r>
          </w:p>
        </w:tc>
        <w:tc>
          <w:tcPr>
            <w:tcW w:w="1134" w:type="dxa"/>
            <w:vMerge/>
            <w:tcBorders>
              <w:top w:val="single" w:sz="4" w:space="0" w:color="auto"/>
              <w:left w:val="single" w:sz="4" w:space="0" w:color="auto"/>
              <w:bottom w:val="double" w:sz="4" w:space="0" w:color="auto"/>
              <w:right w:val="single" w:sz="4" w:space="0" w:color="auto"/>
            </w:tcBorders>
            <w:vAlign w:val="center"/>
          </w:tcPr>
          <w:p w14:paraId="70A746BD" w14:textId="77777777" w:rsidR="00D75186" w:rsidRPr="00160362" w:rsidRDefault="00D75186" w:rsidP="00CC0E2A">
            <w:pPr>
              <w:widowControl w:val="0"/>
              <w:spacing w:before="0" w:after="0" w:line="240" w:lineRule="auto"/>
              <w:rPr>
                <w:rFonts w:ascii="Times New Roman" w:eastAsia="Times New Roman" w:hAnsi="Times New Roman" w:cs="Times New Roman"/>
                <w:color w:val="000000"/>
                <w:sz w:val="22"/>
                <w:szCs w:val="22"/>
              </w:rPr>
            </w:pPr>
          </w:p>
        </w:tc>
      </w:tr>
      <w:tr w:rsidR="00D75186" w:rsidRPr="00160362" w14:paraId="7743138B" w14:textId="77777777" w:rsidTr="00D75186">
        <w:trPr>
          <w:trHeight w:val="204"/>
        </w:trPr>
        <w:tc>
          <w:tcPr>
            <w:tcW w:w="3781"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AD569" w14:textId="77777777" w:rsidR="00D75186" w:rsidRPr="00160362" w:rsidRDefault="00D75186" w:rsidP="00CC0E2A">
            <w:pPr>
              <w:widowControl w:val="0"/>
              <w:spacing w:before="0" w:after="0" w:line="240" w:lineRule="auto"/>
              <w:ind w:left="-24"/>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Обязательства, всего</w:t>
            </w:r>
          </w:p>
        </w:tc>
        <w:tc>
          <w:tcPr>
            <w:tcW w:w="1181"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bottom"/>
          </w:tcPr>
          <w:p w14:paraId="3A09ED9E"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lang w:val="en-US" w:eastAsia="en-US"/>
              </w:rPr>
            </w:pPr>
            <w:r w:rsidRPr="00160362">
              <w:rPr>
                <w:rFonts w:ascii="Times New Roman" w:eastAsia="Times New Roman" w:hAnsi="Times New Roman" w:cs="Times New Roman"/>
                <w:color w:val="000000"/>
                <w:sz w:val="22"/>
                <w:szCs w:val="22"/>
              </w:rPr>
              <w:t>8 015,6</w:t>
            </w:r>
          </w:p>
        </w:tc>
        <w:tc>
          <w:tcPr>
            <w:tcW w:w="1181"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29EDA36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100,0</w:t>
            </w:r>
          </w:p>
        </w:tc>
        <w:tc>
          <w:tcPr>
            <w:tcW w:w="1181" w:type="dxa"/>
            <w:tcBorders>
              <w:top w:val="single" w:sz="8" w:space="0" w:color="auto"/>
              <w:left w:val="nil"/>
              <w:bottom w:val="single" w:sz="8" w:space="0" w:color="auto"/>
              <w:right w:val="single" w:sz="4" w:space="0" w:color="auto"/>
            </w:tcBorders>
            <w:shd w:val="clear" w:color="auto" w:fill="D9D9D9" w:themeFill="background1" w:themeFillShade="D9"/>
            <w:vAlign w:val="bottom"/>
          </w:tcPr>
          <w:p w14:paraId="1CA1D067"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9 067,8</w:t>
            </w:r>
          </w:p>
        </w:tc>
        <w:tc>
          <w:tcPr>
            <w:tcW w:w="1181"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06C4C52E"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100,0</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bottom"/>
          </w:tcPr>
          <w:p w14:paraId="6B5000FE"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113,1</w:t>
            </w:r>
          </w:p>
        </w:tc>
      </w:tr>
      <w:tr w:rsidR="00D75186" w:rsidRPr="00160362" w14:paraId="7FA73CA8" w14:textId="77777777" w:rsidTr="00D75186">
        <w:trPr>
          <w:trHeight w:val="158"/>
        </w:trPr>
        <w:tc>
          <w:tcPr>
            <w:tcW w:w="3781" w:type="dxa"/>
            <w:tcBorders>
              <w:top w:val="single" w:sz="4" w:space="0" w:color="auto"/>
              <w:left w:val="single" w:sz="4" w:space="0" w:color="auto"/>
              <w:bottom w:val="nil"/>
              <w:right w:val="single" w:sz="4" w:space="0" w:color="auto"/>
            </w:tcBorders>
          </w:tcPr>
          <w:p w14:paraId="6351C4B0" w14:textId="77777777" w:rsidR="00D75186" w:rsidRPr="00160362" w:rsidRDefault="00D75186" w:rsidP="00CC0E2A">
            <w:pPr>
              <w:spacing w:before="0" w:after="0" w:line="240" w:lineRule="auto"/>
              <w:ind w:leftChars="73" w:left="333" w:hangingChars="85" w:hanging="187"/>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из них:</w:t>
            </w:r>
          </w:p>
          <w:p w14:paraId="52F38441" w14:textId="77777777" w:rsidR="00D75186" w:rsidRPr="00160362" w:rsidRDefault="00D75186" w:rsidP="00CC0E2A">
            <w:pPr>
              <w:spacing w:before="0" w:after="0" w:line="240" w:lineRule="auto"/>
              <w:ind w:leftChars="72" w:left="263" w:hangingChars="54" w:hanging="119"/>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кредиты, депозиты и прочие средства от ПРБ</w:t>
            </w:r>
          </w:p>
        </w:tc>
        <w:tc>
          <w:tcPr>
            <w:tcW w:w="1181" w:type="dxa"/>
            <w:tcBorders>
              <w:top w:val="single" w:sz="8" w:space="0" w:color="auto"/>
              <w:left w:val="single" w:sz="8" w:space="0" w:color="auto"/>
              <w:bottom w:val="nil"/>
              <w:right w:val="single" w:sz="4" w:space="0" w:color="auto"/>
            </w:tcBorders>
            <w:shd w:val="clear" w:color="000000" w:fill="FFFFFF"/>
            <w:vAlign w:val="bottom"/>
          </w:tcPr>
          <w:p w14:paraId="6325962A"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lang w:val="en-US" w:eastAsia="en-US"/>
              </w:rPr>
            </w:pPr>
            <w:r w:rsidRPr="00160362">
              <w:rPr>
                <w:rFonts w:ascii="Times New Roman" w:eastAsia="Times New Roman" w:hAnsi="Times New Roman" w:cs="Times New Roman"/>
                <w:color w:val="000000"/>
                <w:sz w:val="22"/>
                <w:szCs w:val="22"/>
              </w:rPr>
              <w:t>40,0</w:t>
            </w:r>
          </w:p>
        </w:tc>
        <w:tc>
          <w:tcPr>
            <w:tcW w:w="1181" w:type="dxa"/>
            <w:tcBorders>
              <w:top w:val="single" w:sz="8" w:space="0" w:color="auto"/>
              <w:left w:val="nil"/>
              <w:bottom w:val="nil"/>
              <w:right w:val="single" w:sz="8" w:space="0" w:color="auto"/>
            </w:tcBorders>
            <w:shd w:val="clear" w:color="auto" w:fill="auto"/>
            <w:vAlign w:val="bottom"/>
          </w:tcPr>
          <w:p w14:paraId="33FEC052"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0,5</w:t>
            </w:r>
          </w:p>
        </w:tc>
        <w:tc>
          <w:tcPr>
            <w:tcW w:w="1181" w:type="dxa"/>
            <w:tcBorders>
              <w:top w:val="single" w:sz="8" w:space="0" w:color="auto"/>
              <w:left w:val="single" w:sz="8" w:space="0" w:color="auto"/>
              <w:bottom w:val="nil"/>
              <w:right w:val="single" w:sz="4" w:space="0" w:color="auto"/>
            </w:tcBorders>
            <w:shd w:val="clear" w:color="000000" w:fill="FFFFFF"/>
            <w:vAlign w:val="bottom"/>
          </w:tcPr>
          <w:p w14:paraId="4F24D551"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lang w:val="en-US" w:eastAsia="en-US"/>
              </w:rPr>
            </w:pPr>
            <w:r w:rsidRPr="00160362">
              <w:rPr>
                <w:rFonts w:ascii="Times New Roman" w:eastAsia="Times New Roman" w:hAnsi="Times New Roman" w:cs="Times New Roman"/>
                <w:color w:val="000000"/>
                <w:sz w:val="22"/>
                <w:szCs w:val="22"/>
              </w:rPr>
              <w:t>0,0</w:t>
            </w:r>
          </w:p>
        </w:tc>
        <w:tc>
          <w:tcPr>
            <w:tcW w:w="1181" w:type="dxa"/>
            <w:tcBorders>
              <w:top w:val="single" w:sz="8" w:space="0" w:color="auto"/>
              <w:left w:val="single" w:sz="4" w:space="0" w:color="auto"/>
              <w:bottom w:val="nil"/>
              <w:right w:val="single" w:sz="8" w:space="0" w:color="auto"/>
            </w:tcBorders>
            <w:shd w:val="clear" w:color="auto" w:fill="auto"/>
            <w:vAlign w:val="bottom"/>
          </w:tcPr>
          <w:p w14:paraId="531861DC"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lang w:val="en-US" w:eastAsia="en-US"/>
              </w:rPr>
            </w:pPr>
            <w:r w:rsidRPr="00160362">
              <w:rPr>
                <w:rFonts w:ascii="Times New Roman" w:eastAsia="Times New Roman" w:hAnsi="Times New Roman" w:cs="Times New Roman"/>
                <w:color w:val="000000"/>
                <w:sz w:val="22"/>
                <w:szCs w:val="22"/>
              </w:rPr>
              <w:t>0,0</w:t>
            </w:r>
          </w:p>
        </w:tc>
        <w:tc>
          <w:tcPr>
            <w:tcW w:w="1134" w:type="dxa"/>
            <w:tcBorders>
              <w:top w:val="single" w:sz="8" w:space="0" w:color="auto"/>
              <w:left w:val="nil"/>
              <w:bottom w:val="nil"/>
              <w:right w:val="single" w:sz="8" w:space="0" w:color="auto"/>
            </w:tcBorders>
            <w:shd w:val="clear" w:color="auto" w:fill="auto"/>
            <w:vAlign w:val="bottom"/>
          </w:tcPr>
          <w:p w14:paraId="677E9F04"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0,0</w:t>
            </w:r>
          </w:p>
        </w:tc>
      </w:tr>
      <w:tr w:rsidR="00D75186" w:rsidRPr="00160362" w14:paraId="53033E90" w14:textId="77777777" w:rsidTr="00D75186">
        <w:trPr>
          <w:trHeight w:val="61"/>
        </w:trPr>
        <w:tc>
          <w:tcPr>
            <w:tcW w:w="3781" w:type="dxa"/>
            <w:tcBorders>
              <w:top w:val="nil"/>
              <w:left w:val="single" w:sz="4" w:space="0" w:color="auto"/>
              <w:bottom w:val="nil"/>
              <w:right w:val="single" w:sz="4" w:space="0" w:color="auto"/>
            </w:tcBorders>
          </w:tcPr>
          <w:p w14:paraId="4DCF01ED" w14:textId="77777777" w:rsidR="00D75186" w:rsidRPr="00160362" w:rsidRDefault="00D75186" w:rsidP="00CC0E2A">
            <w:pPr>
              <w:spacing w:before="0" w:after="0" w:line="240" w:lineRule="auto"/>
              <w:ind w:leftChars="73" w:left="333" w:hangingChars="85" w:hanging="187"/>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средства кредитных организаций</w:t>
            </w:r>
          </w:p>
        </w:tc>
        <w:tc>
          <w:tcPr>
            <w:tcW w:w="1181" w:type="dxa"/>
            <w:tcBorders>
              <w:top w:val="nil"/>
              <w:left w:val="single" w:sz="8" w:space="0" w:color="auto"/>
              <w:bottom w:val="nil"/>
              <w:right w:val="single" w:sz="4" w:space="0" w:color="auto"/>
            </w:tcBorders>
            <w:shd w:val="clear" w:color="000000" w:fill="FFFFFF"/>
            <w:vAlign w:val="bottom"/>
          </w:tcPr>
          <w:p w14:paraId="1989B58B"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0,4</w:t>
            </w:r>
          </w:p>
        </w:tc>
        <w:tc>
          <w:tcPr>
            <w:tcW w:w="1181" w:type="dxa"/>
            <w:tcBorders>
              <w:top w:val="nil"/>
              <w:left w:val="nil"/>
              <w:bottom w:val="nil"/>
              <w:right w:val="single" w:sz="8" w:space="0" w:color="auto"/>
            </w:tcBorders>
            <w:shd w:val="clear" w:color="auto" w:fill="auto"/>
            <w:vAlign w:val="bottom"/>
          </w:tcPr>
          <w:p w14:paraId="5306642C"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0,0</w:t>
            </w:r>
          </w:p>
        </w:tc>
        <w:tc>
          <w:tcPr>
            <w:tcW w:w="1181" w:type="dxa"/>
            <w:tcBorders>
              <w:top w:val="nil"/>
              <w:left w:val="single" w:sz="8" w:space="0" w:color="auto"/>
              <w:bottom w:val="nil"/>
              <w:right w:val="single" w:sz="4" w:space="0" w:color="auto"/>
            </w:tcBorders>
            <w:shd w:val="clear" w:color="000000" w:fill="FFFFFF"/>
            <w:vAlign w:val="bottom"/>
          </w:tcPr>
          <w:p w14:paraId="373DBB2F"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218,3</w:t>
            </w:r>
          </w:p>
        </w:tc>
        <w:tc>
          <w:tcPr>
            <w:tcW w:w="1181" w:type="dxa"/>
            <w:tcBorders>
              <w:top w:val="nil"/>
              <w:left w:val="single" w:sz="4" w:space="0" w:color="auto"/>
              <w:bottom w:val="nil"/>
              <w:right w:val="single" w:sz="8" w:space="0" w:color="auto"/>
            </w:tcBorders>
            <w:shd w:val="clear" w:color="auto" w:fill="auto"/>
            <w:vAlign w:val="bottom"/>
          </w:tcPr>
          <w:p w14:paraId="5642D3B0"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2,4</w:t>
            </w:r>
          </w:p>
        </w:tc>
        <w:tc>
          <w:tcPr>
            <w:tcW w:w="1134" w:type="dxa"/>
            <w:tcBorders>
              <w:top w:val="nil"/>
              <w:left w:val="nil"/>
              <w:bottom w:val="nil"/>
              <w:right w:val="single" w:sz="8" w:space="0" w:color="auto"/>
            </w:tcBorders>
            <w:shd w:val="clear" w:color="auto" w:fill="auto"/>
            <w:vAlign w:val="bottom"/>
          </w:tcPr>
          <w:p w14:paraId="498373EE" w14:textId="77777777" w:rsidR="00D75186" w:rsidRPr="00160362" w:rsidRDefault="00D75186" w:rsidP="00CC0E2A">
            <w:pPr>
              <w:spacing w:before="0" w:after="0" w:line="240" w:lineRule="auto"/>
              <w:ind w:left="-174"/>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524,6 р</w:t>
            </w:r>
          </w:p>
        </w:tc>
      </w:tr>
      <w:tr w:rsidR="00D75186" w:rsidRPr="00160362" w14:paraId="3DBA7E38" w14:textId="77777777" w:rsidTr="00D75186">
        <w:trPr>
          <w:trHeight w:val="61"/>
        </w:trPr>
        <w:tc>
          <w:tcPr>
            <w:tcW w:w="3781" w:type="dxa"/>
            <w:tcBorders>
              <w:top w:val="nil"/>
              <w:left w:val="single" w:sz="4" w:space="0" w:color="auto"/>
              <w:bottom w:val="nil"/>
              <w:right w:val="single" w:sz="4" w:space="0" w:color="auto"/>
            </w:tcBorders>
          </w:tcPr>
          <w:p w14:paraId="3E83F0A1" w14:textId="77777777" w:rsidR="00D75186" w:rsidRPr="00160362" w:rsidRDefault="00D75186" w:rsidP="00CC0E2A">
            <w:pPr>
              <w:spacing w:before="0" w:after="0" w:line="240" w:lineRule="auto"/>
              <w:ind w:leftChars="73" w:left="333" w:hangingChars="85" w:hanging="187"/>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средства юридических лиц</w:t>
            </w:r>
          </w:p>
        </w:tc>
        <w:tc>
          <w:tcPr>
            <w:tcW w:w="1181" w:type="dxa"/>
            <w:tcBorders>
              <w:top w:val="nil"/>
              <w:left w:val="single" w:sz="4" w:space="0" w:color="auto"/>
              <w:bottom w:val="nil"/>
              <w:right w:val="single" w:sz="4" w:space="0" w:color="auto"/>
            </w:tcBorders>
            <w:shd w:val="clear" w:color="auto" w:fill="auto"/>
            <w:vAlign w:val="bottom"/>
          </w:tcPr>
          <w:p w14:paraId="66B333EB"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4 345,2</w:t>
            </w:r>
          </w:p>
        </w:tc>
        <w:tc>
          <w:tcPr>
            <w:tcW w:w="1181" w:type="dxa"/>
            <w:tcBorders>
              <w:top w:val="nil"/>
              <w:left w:val="single" w:sz="4" w:space="0" w:color="auto"/>
              <w:bottom w:val="nil"/>
              <w:right w:val="single" w:sz="4" w:space="0" w:color="auto"/>
            </w:tcBorders>
            <w:shd w:val="clear" w:color="auto" w:fill="auto"/>
            <w:vAlign w:val="bottom"/>
          </w:tcPr>
          <w:p w14:paraId="03DB99A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54,2</w:t>
            </w:r>
          </w:p>
        </w:tc>
        <w:tc>
          <w:tcPr>
            <w:tcW w:w="1181" w:type="dxa"/>
            <w:tcBorders>
              <w:top w:val="nil"/>
              <w:left w:val="single" w:sz="8" w:space="0" w:color="auto"/>
              <w:bottom w:val="nil"/>
              <w:right w:val="single" w:sz="4" w:space="0" w:color="auto"/>
            </w:tcBorders>
            <w:shd w:val="clear" w:color="auto" w:fill="auto"/>
            <w:vAlign w:val="bottom"/>
          </w:tcPr>
          <w:p w14:paraId="1AA1BED6"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lang w:val="en-US" w:eastAsia="en-US"/>
              </w:rPr>
            </w:pPr>
            <w:r w:rsidRPr="00160362">
              <w:rPr>
                <w:rFonts w:ascii="Times New Roman" w:eastAsia="Times New Roman" w:hAnsi="Times New Roman" w:cs="Times New Roman"/>
                <w:color w:val="000000"/>
                <w:sz w:val="22"/>
                <w:szCs w:val="22"/>
              </w:rPr>
              <w:t>5 064,8</w:t>
            </w:r>
          </w:p>
        </w:tc>
        <w:tc>
          <w:tcPr>
            <w:tcW w:w="1181" w:type="dxa"/>
            <w:tcBorders>
              <w:top w:val="nil"/>
              <w:left w:val="nil"/>
              <w:bottom w:val="nil"/>
              <w:right w:val="single" w:sz="8" w:space="0" w:color="auto"/>
            </w:tcBorders>
            <w:shd w:val="clear" w:color="auto" w:fill="auto"/>
            <w:vAlign w:val="bottom"/>
          </w:tcPr>
          <w:p w14:paraId="4A22C932"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55,9</w:t>
            </w:r>
          </w:p>
        </w:tc>
        <w:tc>
          <w:tcPr>
            <w:tcW w:w="1134" w:type="dxa"/>
            <w:tcBorders>
              <w:top w:val="nil"/>
              <w:left w:val="nil"/>
              <w:bottom w:val="nil"/>
              <w:right w:val="single" w:sz="8" w:space="0" w:color="auto"/>
            </w:tcBorders>
            <w:shd w:val="clear" w:color="auto" w:fill="auto"/>
            <w:vAlign w:val="bottom"/>
          </w:tcPr>
          <w:p w14:paraId="508948CB"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116,6</w:t>
            </w:r>
          </w:p>
        </w:tc>
      </w:tr>
      <w:tr w:rsidR="00D75186" w:rsidRPr="00160362" w14:paraId="707586E0" w14:textId="77777777" w:rsidTr="00D75186">
        <w:trPr>
          <w:trHeight w:val="61"/>
        </w:trPr>
        <w:tc>
          <w:tcPr>
            <w:tcW w:w="3781" w:type="dxa"/>
            <w:tcBorders>
              <w:top w:val="nil"/>
              <w:left w:val="single" w:sz="4" w:space="0" w:color="auto"/>
              <w:bottom w:val="nil"/>
              <w:right w:val="single" w:sz="4" w:space="0" w:color="auto"/>
            </w:tcBorders>
          </w:tcPr>
          <w:p w14:paraId="36890874" w14:textId="77777777" w:rsidR="00D75186" w:rsidRPr="00160362" w:rsidRDefault="00D75186" w:rsidP="00CC0E2A">
            <w:pPr>
              <w:spacing w:before="0" w:after="0" w:line="240" w:lineRule="auto"/>
              <w:ind w:leftChars="73" w:left="333" w:hangingChars="85" w:hanging="187"/>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средства физических лиц</w:t>
            </w:r>
          </w:p>
        </w:tc>
        <w:tc>
          <w:tcPr>
            <w:tcW w:w="1181" w:type="dxa"/>
            <w:tcBorders>
              <w:top w:val="nil"/>
              <w:left w:val="single" w:sz="4" w:space="0" w:color="auto"/>
              <w:bottom w:val="nil"/>
              <w:right w:val="single" w:sz="4" w:space="0" w:color="auto"/>
            </w:tcBorders>
            <w:shd w:val="clear" w:color="auto" w:fill="auto"/>
            <w:vAlign w:val="bottom"/>
          </w:tcPr>
          <w:p w14:paraId="42162960"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3 068,3</w:t>
            </w:r>
          </w:p>
        </w:tc>
        <w:tc>
          <w:tcPr>
            <w:tcW w:w="1181" w:type="dxa"/>
            <w:tcBorders>
              <w:top w:val="nil"/>
              <w:left w:val="single" w:sz="4" w:space="0" w:color="auto"/>
              <w:bottom w:val="nil"/>
              <w:right w:val="single" w:sz="4" w:space="0" w:color="auto"/>
            </w:tcBorders>
            <w:shd w:val="clear" w:color="auto" w:fill="auto"/>
            <w:vAlign w:val="bottom"/>
          </w:tcPr>
          <w:p w14:paraId="673E1C8B"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38,3</w:t>
            </w:r>
          </w:p>
        </w:tc>
        <w:tc>
          <w:tcPr>
            <w:tcW w:w="1181" w:type="dxa"/>
            <w:tcBorders>
              <w:top w:val="nil"/>
              <w:left w:val="single" w:sz="8" w:space="0" w:color="auto"/>
              <w:bottom w:val="nil"/>
              <w:right w:val="single" w:sz="4" w:space="0" w:color="auto"/>
            </w:tcBorders>
            <w:shd w:val="clear" w:color="auto" w:fill="auto"/>
            <w:vAlign w:val="bottom"/>
          </w:tcPr>
          <w:p w14:paraId="54D9E41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3 317,2</w:t>
            </w:r>
          </w:p>
        </w:tc>
        <w:tc>
          <w:tcPr>
            <w:tcW w:w="1181" w:type="dxa"/>
            <w:tcBorders>
              <w:top w:val="nil"/>
              <w:left w:val="nil"/>
              <w:bottom w:val="nil"/>
              <w:right w:val="single" w:sz="8" w:space="0" w:color="auto"/>
            </w:tcBorders>
            <w:shd w:val="clear" w:color="auto" w:fill="auto"/>
            <w:vAlign w:val="bottom"/>
          </w:tcPr>
          <w:p w14:paraId="460F961A"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36,6</w:t>
            </w:r>
          </w:p>
        </w:tc>
        <w:tc>
          <w:tcPr>
            <w:tcW w:w="1134" w:type="dxa"/>
            <w:tcBorders>
              <w:top w:val="nil"/>
              <w:left w:val="nil"/>
              <w:bottom w:val="nil"/>
              <w:right w:val="single" w:sz="8" w:space="0" w:color="auto"/>
            </w:tcBorders>
            <w:shd w:val="clear" w:color="auto" w:fill="auto"/>
            <w:vAlign w:val="bottom"/>
          </w:tcPr>
          <w:p w14:paraId="5AA469A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108,1</w:t>
            </w:r>
          </w:p>
        </w:tc>
      </w:tr>
      <w:tr w:rsidR="00D75186" w:rsidRPr="00160362" w14:paraId="1D1B7376" w14:textId="77777777" w:rsidTr="00D75186">
        <w:trPr>
          <w:trHeight w:val="61"/>
        </w:trPr>
        <w:tc>
          <w:tcPr>
            <w:tcW w:w="3781" w:type="dxa"/>
            <w:tcBorders>
              <w:top w:val="nil"/>
              <w:left w:val="single" w:sz="4" w:space="0" w:color="auto"/>
              <w:bottom w:val="single" w:sz="4" w:space="0" w:color="auto"/>
              <w:right w:val="single" w:sz="4" w:space="0" w:color="auto"/>
            </w:tcBorders>
          </w:tcPr>
          <w:p w14:paraId="67C43875" w14:textId="77777777" w:rsidR="00D75186" w:rsidRPr="00160362" w:rsidRDefault="00D75186" w:rsidP="00CC0E2A">
            <w:pPr>
              <w:spacing w:before="0" w:after="0" w:line="240" w:lineRule="auto"/>
              <w:ind w:leftChars="72" w:left="283" w:right="-108" w:hangingChars="63" w:hanging="139"/>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выпущенные долговые обязательства</w:t>
            </w:r>
          </w:p>
        </w:tc>
        <w:tc>
          <w:tcPr>
            <w:tcW w:w="1181" w:type="dxa"/>
            <w:tcBorders>
              <w:top w:val="nil"/>
              <w:left w:val="single" w:sz="4" w:space="0" w:color="auto"/>
              <w:bottom w:val="single" w:sz="4" w:space="0" w:color="auto"/>
              <w:right w:val="single" w:sz="4" w:space="0" w:color="auto"/>
            </w:tcBorders>
            <w:shd w:val="clear" w:color="auto" w:fill="auto"/>
            <w:vAlign w:val="bottom"/>
          </w:tcPr>
          <w:p w14:paraId="6DB6CEB9"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43,5</w:t>
            </w:r>
          </w:p>
        </w:tc>
        <w:tc>
          <w:tcPr>
            <w:tcW w:w="1181" w:type="dxa"/>
            <w:tcBorders>
              <w:top w:val="nil"/>
              <w:left w:val="single" w:sz="4" w:space="0" w:color="auto"/>
              <w:bottom w:val="single" w:sz="4" w:space="0" w:color="auto"/>
              <w:right w:val="single" w:sz="4" w:space="0" w:color="auto"/>
            </w:tcBorders>
            <w:shd w:val="clear" w:color="auto" w:fill="auto"/>
            <w:vAlign w:val="bottom"/>
          </w:tcPr>
          <w:p w14:paraId="19257077"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0,5</w:t>
            </w:r>
          </w:p>
        </w:tc>
        <w:tc>
          <w:tcPr>
            <w:tcW w:w="1181" w:type="dxa"/>
            <w:tcBorders>
              <w:top w:val="nil"/>
              <w:left w:val="single" w:sz="8" w:space="0" w:color="auto"/>
              <w:bottom w:val="single" w:sz="4" w:space="0" w:color="auto"/>
              <w:right w:val="single" w:sz="4" w:space="0" w:color="auto"/>
            </w:tcBorders>
            <w:shd w:val="clear" w:color="auto" w:fill="auto"/>
            <w:vAlign w:val="bottom"/>
          </w:tcPr>
          <w:p w14:paraId="4C585661"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14,3</w:t>
            </w:r>
          </w:p>
        </w:tc>
        <w:tc>
          <w:tcPr>
            <w:tcW w:w="1181" w:type="dxa"/>
            <w:tcBorders>
              <w:top w:val="nil"/>
              <w:left w:val="nil"/>
              <w:bottom w:val="single" w:sz="4" w:space="0" w:color="auto"/>
              <w:right w:val="single" w:sz="8" w:space="0" w:color="auto"/>
            </w:tcBorders>
            <w:shd w:val="clear" w:color="auto" w:fill="auto"/>
            <w:vAlign w:val="bottom"/>
          </w:tcPr>
          <w:p w14:paraId="73F69636"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0,2</w:t>
            </w:r>
          </w:p>
        </w:tc>
        <w:tc>
          <w:tcPr>
            <w:tcW w:w="1134" w:type="dxa"/>
            <w:tcBorders>
              <w:top w:val="nil"/>
              <w:left w:val="nil"/>
              <w:bottom w:val="single" w:sz="4" w:space="0" w:color="auto"/>
              <w:right w:val="single" w:sz="8" w:space="0" w:color="auto"/>
            </w:tcBorders>
            <w:shd w:val="clear" w:color="auto" w:fill="auto"/>
            <w:vAlign w:val="bottom"/>
          </w:tcPr>
          <w:p w14:paraId="136ECF82"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33,0</w:t>
            </w:r>
          </w:p>
        </w:tc>
      </w:tr>
    </w:tbl>
    <w:p w14:paraId="4901D249" w14:textId="77777777" w:rsidR="00954AAB" w:rsidRDefault="00954AAB" w:rsidP="00F50BAF">
      <w:pPr>
        <w:widowControl w:val="0"/>
        <w:spacing w:before="0" w:after="0" w:line="240" w:lineRule="auto"/>
        <w:ind w:firstLine="425"/>
        <w:jc w:val="both"/>
        <w:rPr>
          <w:rFonts w:ascii="Times New Roman" w:hAnsi="Times New Roman" w:cs="Times New Roman"/>
          <w:color w:val="000000"/>
          <w:sz w:val="24"/>
          <w:szCs w:val="24"/>
        </w:rPr>
      </w:pPr>
    </w:p>
    <w:p w14:paraId="1FD5DA51" w14:textId="2DD12841" w:rsidR="00F50BAF" w:rsidRPr="00160362" w:rsidRDefault="00F50BAF" w:rsidP="00F50BAF">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В общем объёме ресурсной базы банков на с</w:t>
      </w:r>
      <w:r w:rsidR="002A43E5">
        <w:rPr>
          <w:rFonts w:ascii="Times New Roman" w:hAnsi="Times New Roman" w:cs="Times New Roman"/>
          <w:color w:val="000000"/>
          <w:sz w:val="24"/>
          <w:szCs w:val="24"/>
        </w:rPr>
        <w:t>редства клиентов пришлось 92,4%</w:t>
      </w:r>
      <w:r w:rsidRPr="00160362">
        <w:rPr>
          <w:rFonts w:ascii="Times New Roman" w:hAnsi="Times New Roman" w:cs="Times New Roman"/>
          <w:color w:val="000000"/>
          <w:sz w:val="24"/>
          <w:szCs w:val="24"/>
        </w:rPr>
        <w:t>. Остатки на их счетах за 2020 год увеличились на 13,1%, или на 968,5 млн руб., до</w:t>
      </w:r>
      <w:r w:rsidR="002A43E5">
        <w:rPr>
          <w:rFonts w:ascii="Times New Roman" w:hAnsi="Times New Roman" w:cs="Times New Roman"/>
          <w:color w:val="000000"/>
          <w:sz w:val="24"/>
          <w:szCs w:val="24"/>
        </w:rPr>
        <w:t xml:space="preserve"> </w:t>
      </w:r>
      <w:r w:rsidRPr="00160362">
        <w:rPr>
          <w:rFonts w:ascii="Times New Roman" w:hAnsi="Times New Roman" w:cs="Times New Roman"/>
          <w:color w:val="000000"/>
          <w:sz w:val="24"/>
          <w:szCs w:val="24"/>
        </w:rPr>
        <w:t xml:space="preserve">8 381,9 млн руб. </w:t>
      </w:r>
    </w:p>
    <w:p w14:paraId="30217603" w14:textId="6FA3D4A4" w:rsidR="00873FD7" w:rsidRPr="00160362" w:rsidRDefault="00F50BAF"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Доля ресурсов корпоративного сектора в банковских обязательствах возросла на 1,7 п.п., до 55,9%. В абсолютном выражении остатки на текущих счетах и срочных депозитах юридических лиц расширились на 719,6 млн руб. (+16,6%), составив 5 064,8 млн руб. </w:t>
      </w:r>
      <w:r w:rsidR="00873FD7" w:rsidRPr="00160362">
        <w:rPr>
          <w:rFonts w:ascii="Times New Roman" w:hAnsi="Times New Roman" w:cs="Times New Roman"/>
          <w:color w:val="000000"/>
          <w:sz w:val="24"/>
          <w:szCs w:val="24"/>
        </w:rPr>
        <w:t>Приростом характеризовались и средства на счетах граждан (</w:t>
      </w:r>
      <w:r w:rsidR="00D75186">
        <w:rPr>
          <w:rFonts w:ascii="Times New Roman" w:hAnsi="Times New Roman" w:cs="Times New Roman"/>
          <w:color w:val="000000"/>
          <w:sz w:val="24"/>
          <w:szCs w:val="24"/>
        </w:rPr>
        <w:t xml:space="preserve">на </w:t>
      </w:r>
      <w:r w:rsidR="00D75186" w:rsidRPr="00160362">
        <w:rPr>
          <w:rFonts w:ascii="Times New Roman" w:hAnsi="Times New Roman" w:cs="Times New Roman"/>
          <w:color w:val="000000"/>
          <w:sz w:val="24"/>
          <w:szCs w:val="24"/>
        </w:rPr>
        <w:t>248,9 млн руб.</w:t>
      </w:r>
      <w:r w:rsidR="00D75186">
        <w:rPr>
          <w:rFonts w:ascii="Times New Roman" w:hAnsi="Times New Roman" w:cs="Times New Roman"/>
          <w:color w:val="000000"/>
          <w:sz w:val="24"/>
          <w:szCs w:val="24"/>
        </w:rPr>
        <w:t>, или +8,1%,</w:t>
      </w:r>
      <w:r w:rsidR="00873FD7" w:rsidRPr="00160362">
        <w:rPr>
          <w:rFonts w:ascii="Times New Roman" w:hAnsi="Times New Roman" w:cs="Times New Roman"/>
          <w:color w:val="000000"/>
          <w:sz w:val="24"/>
          <w:szCs w:val="24"/>
        </w:rPr>
        <w:t xml:space="preserve"> до </w:t>
      </w:r>
      <w:r w:rsidR="00B7692C">
        <w:rPr>
          <w:rFonts w:ascii="Times New Roman" w:hAnsi="Times New Roman" w:cs="Times New Roman"/>
          <w:color w:val="000000"/>
          <w:sz w:val="24"/>
          <w:szCs w:val="24"/>
        </w:rPr>
        <w:br/>
      </w:r>
      <w:r w:rsidR="00873FD7" w:rsidRPr="00160362">
        <w:rPr>
          <w:rFonts w:ascii="Times New Roman" w:hAnsi="Times New Roman" w:cs="Times New Roman"/>
          <w:color w:val="000000"/>
          <w:sz w:val="24"/>
          <w:szCs w:val="24"/>
        </w:rPr>
        <w:t xml:space="preserve">3 317,2 млн руб.), однако более низкие темпы привели к сокращению их доли в составе совокупных обязательств на 1,7 п.п., до 36,6%. </w:t>
      </w:r>
    </w:p>
    <w:p w14:paraId="0EB91C2C" w14:textId="1432E344"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Совокупный объём привлечений и заимствований на межбанковском рынке, включая обороты между банками </w:t>
      </w:r>
      <w:r w:rsidR="00826C7A">
        <w:rPr>
          <w:rFonts w:ascii="Times New Roman" w:hAnsi="Times New Roman" w:cs="Times New Roman"/>
          <w:sz w:val="24"/>
          <w:szCs w:val="24"/>
        </w:rPr>
        <w:t>Приднестровской Молдавской Республики</w:t>
      </w:r>
      <w:r w:rsidRPr="00160362">
        <w:rPr>
          <w:rFonts w:ascii="Times New Roman" w:hAnsi="Times New Roman" w:cs="Times New Roman"/>
          <w:color w:val="000000"/>
          <w:sz w:val="24"/>
          <w:szCs w:val="24"/>
        </w:rPr>
        <w:t xml:space="preserve">, увеличился с </w:t>
      </w:r>
      <w:r w:rsidR="00826C7A">
        <w:rPr>
          <w:rFonts w:ascii="Times New Roman" w:hAnsi="Times New Roman" w:cs="Times New Roman"/>
          <w:color w:val="000000"/>
          <w:sz w:val="24"/>
          <w:szCs w:val="24"/>
        </w:rPr>
        <w:br/>
      </w:r>
      <w:r w:rsidRPr="00160362">
        <w:rPr>
          <w:rFonts w:ascii="Times New Roman" w:hAnsi="Times New Roman" w:cs="Times New Roman"/>
          <w:color w:val="000000"/>
          <w:sz w:val="24"/>
          <w:szCs w:val="24"/>
        </w:rPr>
        <w:t>40,4 млн руб. до 218,3 млн руб., сформировав на начало 2021 года 2,4% ресурсов банков.</w:t>
      </w:r>
    </w:p>
    <w:p w14:paraId="6E7A779C" w14:textId="196D8002" w:rsidR="00873FD7" w:rsidRPr="00160362" w:rsidRDefault="00873FD7" w:rsidP="00D11B52">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Положительная динамика суммарных активов-нетто коммерческих банков была обеспечена более высокими темпами роста валютной части баланса на 998,7 млн руб. (+15,7%), до 7 351,9 млн руб., в результате чего её доля в общем объёме увеличилась на </w:t>
      </w:r>
      <w:r w:rsidR="00B7692C">
        <w:rPr>
          <w:rFonts w:ascii="Times New Roman" w:hAnsi="Times New Roman" w:cs="Times New Roman"/>
          <w:color w:val="000000"/>
          <w:sz w:val="24"/>
          <w:szCs w:val="24"/>
        </w:rPr>
        <w:br/>
      </w:r>
      <w:r w:rsidRPr="00160362">
        <w:rPr>
          <w:rFonts w:ascii="Times New Roman" w:hAnsi="Times New Roman" w:cs="Times New Roman"/>
          <w:color w:val="000000"/>
          <w:sz w:val="24"/>
          <w:szCs w:val="24"/>
        </w:rPr>
        <w:t xml:space="preserve">0,6 п.п., составив 65,8%. Рублёвая компонента расширилась на 428,6 млн руб. (+12,7%), до </w:t>
      </w:r>
      <w:r w:rsidR="00954AAB">
        <w:rPr>
          <w:rFonts w:ascii="Times New Roman" w:hAnsi="Times New Roman" w:cs="Times New Roman"/>
          <w:color w:val="000000"/>
          <w:sz w:val="24"/>
          <w:szCs w:val="24"/>
        </w:rPr>
        <w:br/>
      </w:r>
      <w:r w:rsidRPr="00160362">
        <w:rPr>
          <w:rFonts w:ascii="Times New Roman" w:hAnsi="Times New Roman" w:cs="Times New Roman"/>
          <w:color w:val="000000"/>
          <w:sz w:val="24"/>
          <w:szCs w:val="24"/>
        </w:rPr>
        <w:t xml:space="preserve">3 815,4 млн руб. </w:t>
      </w:r>
    </w:p>
    <w:p w14:paraId="6B4B7B47" w14:textId="08B8B69F"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В целом по банковской системе объём задолженности по кредитам и приравненным к ним средствам всех категорий клиентов сократился на 1 064,7 млн руб. (-18,1%) и на 1 января </w:t>
      </w:r>
      <w:r w:rsidR="00D11B52" w:rsidRPr="00160362">
        <w:rPr>
          <w:rFonts w:ascii="Times New Roman" w:hAnsi="Times New Roman" w:cs="Times New Roman"/>
          <w:color w:val="000000"/>
          <w:sz w:val="24"/>
          <w:szCs w:val="24"/>
        </w:rPr>
        <w:br/>
      </w:r>
      <w:r w:rsidRPr="00160362">
        <w:rPr>
          <w:rFonts w:ascii="Times New Roman" w:hAnsi="Times New Roman" w:cs="Times New Roman"/>
          <w:color w:val="000000"/>
          <w:sz w:val="24"/>
          <w:szCs w:val="24"/>
        </w:rPr>
        <w:t>2021 года сложился на отметке 4 829,0 млн руб.</w:t>
      </w:r>
      <w:r w:rsidR="00A71CBF" w:rsidRPr="00160362">
        <w:rPr>
          <w:rFonts w:ascii="Times New Roman" w:hAnsi="Times New Roman" w:cs="Times New Roman"/>
          <w:color w:val="000000"/>
          <w:sz w:val="24"/>
          <w:szCs w:val="24"/>
        </w:rPr>
        <w:t xml:space="preserve"> </w:t>
      </w:r>
      <w:r w:rsidR="00A71CBF">
        <w:rPr>
          <w:rFonts w:ascii="Times New Roman" w:hAnsi="Times New Roman" w:cs="Times New Roman"/>
          <w:color w:val="000000"/>
          <w:sz w:val="24"/>
          <w:szCs w:val="24"/>
        </w:rPr>
        <w:t>(табл. 1.9)</w:t>
      </w:r>
      <w:r w:rsidR="00A71CBF" w:rsidRPr="00160362">
        <w:rPr>
          <w:rFonts w:ascii="Times New Roman" w:hAnsi="Times New Roman" w:cs="Times New Roman"/>
          <w:color w:val="000000"/>
          <w:sz w:val="24"/>
          <w:szCs w:val="24"/>
        </w:rPr>
        <w:t xml:space="preserve">. </w:t>
      </w:r>
      <w:r w:rsidRPr="00160362">
        <w:rPr>
          <w:rFonts w:ascii="Times New Roman" w:hAnsi="Times New Roman" w:cs="Times New Roman"/>
          <w:color w:val="000000"/>
          <w:sz w:val="24"/>
          <w:szCs w:val="24"/>
        </w:rPr>
        <w:t xml:space="preserve">Основным фактором выступило уменьшение в 5,5 раза объёма размещений денежных средств на межбанковском рынке </w:t>
      </w:r>
      <w:r w:rsidR="00A71CBF">
        <w:rPr>
          <w:rFonts w:ascii="Times New Roman" w:hAnsi="Times New Roman" w:cs="Times New Roman"/>
          <w:color w:val="000000"/>
          <w:sz w:val="24"/>
          <w:szCs w:val="24"/>
        </w:rPr>
        <w:br/>
      </w:r>
      <w:r w:rsidRPr="00160362">
        <w:rPr>
          <w:rFonts w:ascii="Times New Roman" w:hAnsi="Times New Roman" w:cs="Times New Roman"/>
          <w:color w:val="000000"/>
          <w:sz w:val="24"/>
          <w:szCs w:val="24"/>
        </w:rPr>
        <w:t xml:space="preserve">(-1 076,2 млн руб.), до 237,7 млн руб. </w:t>
      </w:r>
    </w:p>
    <w:p w14:paraId="3B0736F6" w14:textId="77777777" w:rsidR="00822F2A" w:rsidRDefault="00822F2A" w:rsidP="00CC0E2A">
      <w:pPr>
        <w:widowControl w:val="0"/>
        <w:spacing w:before="120" w:after="120" w:line="240" w:lineRule="auto"/>
        <w:ind w:firstLine="425"/>
        <w:jc w:val="right"/>
        <w:rPr>
          <w:rFonts w:ascii="Times New Roman" w:eastAsia="Times New Roman" w:hAnsi="Times New Roman" w:cs="Times New Roman"/>
          <w:b/>
          <w:i/>
          <w:color w:val="000000"/>
          <w:sz w:val="24"/>
          <w:szCs w:val="22"/>
        </w:rPr>
      </w:pPr>
    </w:p>
    <w:p w14:paraId="51961F1A" w14:textId="77777777" w:rsidR="00822F2A" w:rsidRDefault="00822F2A" w:rsidP="00CC0E2A">
      <w:pPr>
        <w:widowControl w:val="0"/>
        <w:spacing w:before="120" w:after="120" w:line="240" w:lineRule="auto"/>
        <w:ind w:firstLine="425"/>
        <w:jc w:val="right"/>
        <w:rPr>
          <w:rFonts w:ascii="Times New Roman" w:eastAsia="Times New Roman" w:hAnsi="Times New Roman" w:cs="Times New Roman"/>
          <w:b/>
          <w:i/>
          <w:color w:val="000000"/>
          <w:sz w:val="24"/>
          <w:szCs w:val="22"/>
        </w:rPr>
      </w:pPr>
    </w:p>
    <w:p w14:paraId="03B4E0BF" w14:textId="77777777" w:rsidR="00822F2A" w:rsidRDefault="00822F2A" w:rsidP="00CC0E2A">
      <w:pPr>
        <w:widowControl w:val="0"/>
        <w:spacing w:before="120" w:after="120" w:line="240" w:lineRule="auto"/>
        <w:ind w:firstLine="425"/>
        <w:jc w:val="right"/>
        <w:rPr>
          <w:rFonts w:ascii="Times New Roman" w:eastAsia="Times New Roman" w:hAnsi="Times New Roman" w:cs="Times New Roman"/>
          <w:b/>
          <w:i/>
          <w:color w:val="000000"/>
          <w:sz w:val="24"/>
          <w:szCs w:val="22"/>
        </w:rPr>
      </w:pPr>
    </w:p>
    <w:p w14:paraId="52CCD409" w14:textId="77777777" w:rsidR="00822F2A" w:rsidRDefault="00822F2A" w:rsidP="00CC0E2A">
      <w:pPr>
        <w:widowControl w:val="0"/>
        <w:spacing w:before="120" w:after="120" w:line="240" w:lineRule="auto"/>
        <w:ind w:firstLine="425"/>
        <w:jc w:val="right"/>
        <w:rPr>
          <w:rFonts w:ascii="Times New Roman" w:eastAsia="Times New Roman" w:hAnsi="Times New Roman" w:cs="Times New Roman"/>
          <w:b/>
          <w:i/>
          <w:color w:val="000000"/>
          <w:sz w:val="24"/>
          <w:szCs w:val="22"/>
        </w:rPr>
      </w:pPr>
    </w:p>
    <w:p w14:paraId="2D1C9D81" w14:textId="40A9F29A" w:rsidR="00CC0E2A" w:rsidRPr="00160362" w:rsidRDefault="00CC0E2A" w:rsidP="00CC0E2A">
      <w:pPr>
        <w:widowControl w:val="0"/>
        <w:spacing w:before="120" w:after="120" w:line="240" w:lineRule="auto"/>
        <w:ind w:firstLine="425"/>
        <w:jc w:val="right"/>
        <w:rPr>
          <w:rFonts w:ascii="Times New Roman" w:eastAsia="Times New Roman" w:hAnsi="Times New Roman" w:cs="Times New Roman"/>
          <w:b/>
          <w:i/>
          <w:color w:val="000000"/>
          <w:sz w:val="24"/>
          <w:szCs w:val="22"/>
        </w:rPr>
      </w:pPr>
      <w:r w:rsidRPr="00F01A30">
        <w:rPr>
          <w:rFonts w:ascii="Times New Roman" w:eastAsia="Times New Roman" w:hAnsi="Times New Roman" w:cs="Times New Roman"/>
          <w:b/>
          <w:i/>
          <w:color w:val="000000"/>
          <w:sz w:val="24"/>
          <w:szCs w:val="22"/>
        </w:rPr>
        <w:lastRenderedPageBreak/>
        <w:t xml:space="preserve">Таблица </w:t>
      </w:r>
      <w:r w:rsidR="00F6311D" w:rsidRPr="00F01A30">
        <w:rPr>
          <w:rFonts w:ascii="Times New Roman" w:eastAsia="Times New Roman" w:hAnsi="Times New Roman" w:cs="Times New Roman"/>
          <w:b/>
          <w:i/>
          <w:color w:val="000000"/>
          <w:sz w:val="24"/>
          <w:szCs w:val="22"/>
        </w:rPr>
        <w:t>1.9</w:t>
      </w:r>
    </w:p>
    <w:p w14:paraId="3DD31BAE" w14:textId="77777777" w:rsidR="00CC0E2A" w:rsidRPr="00160362" w:rsidRDefault="00CC0E2A" w:rsidP="00CC0E2A">
      <w:pPr>
        <w:widowControl w:val="0"/>
        <w:spacing w:before="120" w:after="120" w:line="240" w:lineRule="auto"/>
        <w:jc w:val="center"/>
        <w:outlineLvl w:val="2"/>
        <w:rPr>
          <w:rFonts w:ascii="Times New Roman" w:eastAsia="Times New Roman" w:hAnsi="Times New Roman" w:cs="Times New Roman"/>
          <w:b/>
          <w:bCs/>
          <w:i/>
          <w:color w:val="000000"/>
          <w:sz w:val="24"/>
          <w:szCs w:val="22"/>
        </w:rPr>
      </w:pPr>
      <w:r w:rsidRPr="00160362">
        <w:rPr>
          <w:rFonts w:ascii="Times New Roman" w:eastAsia="Times New Roman" w:hAnsi="Times New Roman" w:cs="Times New Roman"/>
          <w:b/>
          <w:bCs/>
          <w:i/>
          <w:color w:val="000000"/>
          <w:sz w:val="24"/>
          <w:szCs w:val="22"/>
        </w:rPr>
        <w:t>Структура и динамика активов-нетто сводного баланса коммерческих банков</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04"/>
        <w:gridCol w:w="1205"/>
        <w:gridCol w:w="1205"/>
        <w:gridCol w:w="1205"/>
        <w:gridCol w:w="1134"/>
      </w:tblGrid>
      <w:tr w:rsidR="00D75186" w:rsidRPr="00160362" w14:paraId="18BD0B3F" w14:textId="77777777" w:rsidTr="00D75186">
        <w:trPr>
          <w:cantSplit/>
          <w:trHeight w:val="72"/>
        </w:trPr>
        <w:tc>
          <w:tcPr>
            <w:tcW w:w="3686" w:type="dxa"/>
            <w:vMerge w:val="restart"/>
            <w:tcBorders>
              <w:top w:val="single" w:sz="4" w:space="0" w:color="auto"/>
              <w:left w:val="single" w:sz="4" w:space="0" w:color="auto"/>
              <w:bottom w:val="nil"/>
              <w:right w:val="single" w:sz="4" w:space="0" w:color="auto"/>
            </w:tcBorders>
            <w:shd w:val="clear" w:color="auto" w:fill="CCCCCC"/>
            <w:vAlign w:val="center"/>
          </w:tcPr>
          <w:p w14:paraId="66D9B66E" w14:textId="77777777" w:rsidR="00D75186" w:rsidRPr="00160362" w:rsidRDefault="00D75186" w:rsidP="00CC0E2A">
            <w:pPr>
              <w:keepNext/>
              <w:keepLines/>
              <w:widowControl w:val="0"/>
              <w:spacing w:before="0" w:after="0" w:line="240" w:lineRule="auto"/>
              <w:ind w:left="34"/>
              <w:outlineLvl w:val="1"/>
              <w:rPr>
                <w:rFonts w:ascii="Times New Roman" w:eastAsia="Times New Roman" w:hAnsi="Times New Roman" w:cs="Times New Roman"/>
                <w:i/>
                <w:color w:val="000000"/>
                <w:sz w:val="22"/>
                <w:szCs w:val="22"/>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9387A18" w14:textId="77777777" w:rsidR="00D75186" w:rsidRPr="00160362" w:rsidRDefault="00D75186" w:rsidP="00CC0E2A">
            <w:pPr>
              <w:widowControl w:val="0"/>
              <w:spacing w:before="0" w:after="0" w:line="240" w:lineRule="auto"/>
              <w:ind w:left="-94" w:right="-101"/>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на 01.01.2020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6B0C649" w14:textId="77777777" w:rsidR="00D75186" w:rsidRPr="00160362" w:rsidRDefault="00D75186" w:rsidP="00CC0E2A">
            <w:pPr>
              <w:widowControl w:val="0"/>
              <w:spacing w:before="0" w:after="0" w:line="240" w:lineRule="auto"/>
              <w:ind w:left="-94" w:right="-101"/>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на 01.01.2021</w:t>
            </w:r>
          </w:p>
        </w:tc>
        <w:tc>
          <w:tcPr>
            <w:tcW w:w="1134" w:type="dxa"/>
            <w:vMerge w:val="restart"/>
            <w:tcBorders>
              <w:top w:val="single" w:sz="4" w:space="0" w:color="auto"/>
              <w:left w:val="single" w:sz="4" w:space="0" w:color="auto"/>
              <w:bottom w:val="nil"/>
              <w:right w:val="single" w:sz="4" w:space="0" w:color="auto"/>
            </w:tcBorders>
            <w:shd w:val="clear" w:color="auto" w:fill="CCCCCC"/>
            <w:vAlign w:val="center"/>
          </w:tcPr>
          <w:p w14:paraId="62E8FF0E" w14:textId="77777777" w:rsidR="00D75186" w:rsidRPr="00160362" w:rsidRDefault="00D75186" w:rsidP="00CC0E2A">
            <w:pPr>
              <w:spacing w:before="0" w:after="0" w:line="240" w:lineRule="auto"/>
              <w:ind w:left="-108" w:right="-108"/>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xml:space="preserve">темп </w:t>
            </w:r>
          </w:p>
          <w:p w14:paraId="1F8DA9EF" w14:textId="77777777" w:rsidR="00D75186" w:rsidRPr="00160362" w:rsidRDefault="00D75186" w:rsidP="00CC0E2A">
            <w:pPr>
              <w:spacing w:before="0" w:after="0" w:line="240" w:lineRule="auto"/>
              <w:ind w:left="-108" w:right="-108"/>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роста, %</w:t>
            </w:r>
          </w:p>
        </w:tc>
      </w:tr>
      <w:tr w:rsidR="00D75186" w:rsidRPr="00160362" w14:paraId="737AEFA2" w14:textId="77777777" w:rsidTr="00D75186">
        <w:trPr>
          <w:cantSplit/>
          <w:trHeight w:val="386"/>
        </w:trPr>
        <w:tc>
          <w:tcPr>
            <w:tcW w:w="3686" w:type="dxa"/>
            <w:vMerge/>
            <w:tcBorders>
              <w:top w:val="single" w:sz="4" w:space="0" w:color="auto"/>
              <w:left w:val="single" w:sz="4" w:space="0" w:color="auto"/>
              <w:bottom w:val="double" w:sz="4" w:space="0" w:color="auto"/>
              <w:right w:val="single" w:sz="4" w:space="0" w:color="auto"/>
            </w:tcBorders>
            <w:shd w:val="clear" w:color="auto" w:fill="CCCCCC"/>
            <w:vAlign w:val="center"/>
          </w:tcPr>
          <w:p w14:paraId="27652610" w14:textId="77777777" w:rsidR="00D75186" w:rsidRPr="00160362" w:rsidRDefault="00D75186" w:rsidP="00CC0E2A">
            <w:pPr>
              <w:keepNext/>
              <w:keepLines/>
              <w:spacing w:before="0" w:after="0" w:line="240" w:lineRule="auto"/>
              <w:ind w:left="34"/>
              <w:outlineLvl w:val="1"/>
              <w:rPr>
                <w:rFonts w:ascii="Times New Roman" w:eastAsia="Times New Roman" w:hAnsi="Times New Roman" w:cs="Times New Roman"/>
                <w:i/>
                <w:color w:val="000000"/>
                <w:sz w:val="22"/>
                <w:szCs w:val="22"/>
              </w:rPr>
            </w:pPr>
          </w:p>
        </w:tc>
        <w:tc>
          <w:tcPr>
            <w:tcW w:w="1204" w:type="dxa"/>
            <w:tcBorders>
              <w:top w:val="single" w:sz="4" w:space="0" w:color="auto"/>
              <w:left w:val="single" w:sz="4" w:space="0" w:color="auto"/>
              <w:bottom w:val="double" w:sz="4" w:space="0" w:color="000000"/>
              <w:right w:val="single" w:sz="4" w:space="0" w:color="auto"/>
            </w:tcBorders>
            <w:shd w:val="clear" w:color="auto" w:fill="CCCCCC"/>
            <w:vAlign w:val="center"/>
          </w:tcPr>
          <w:p w14:paraId="6E71F3CC" w14:textId="77777777" w:rsidR="00D75186" w:rsidRPr="00160362" w:rsidRDefault="00D75186" w:rsidP="00CC0E2A">
            <w:pPr>
              <w:spacing w:before="0" w:after="0" w:line="240" w:lineRule="auto"/>
              <w:ind w:left="-129" w:right="-108"/>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млн руб.</w:t>
            </w:r>
          </w:p>
        </w:tc>
        <w:tc>
          <w:tcPr>
            <w:tcW w:w="1205" w:type="dxa"/>
            <w:tcBorders>
              <w:top w:val="single" w:sz="4" w:space="0" w:color="auto"/>
              <w:left w:val="single" w:sz="4" w:space="0" w:color="auto"/>
              <w:bottom w:val="double" w:sz="4" w:space="0" w:color="000000"/>
              <w:right w:val="single" w:sz="4" w:space="0" w:color="auto"/>
            </w:tcBorders>
            <w:shd w:val="clear" w:color="auto" w:fill="CCCCCC"/>
            <w:vAlign w:val="center"/>
          </w:tcPr>
          <w:p w14:paraId="24A2DDF6" w14:textId="77777777" w:rsidR="00D75186" w:rsidRPr="00160362" w:rsidRDefault="00D75186" w:rsidP="00CC0E2A">
            <w:pPr>
              <w:spacing w:before="0" w:after="0" w:line="240" w:lineRule="auto"/>
              <w:ind w:left="-129" w:right="-108"/>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уд. вес, %</w:t>
            </w:r>
          </w:p>
        </w:tc>
        <w:tc>
          <w:tcPr>
            <w:tcW w:w="1205" w:type="dxa"/>
            <w:tcBorders>
              <w:top w:val="single" w:sz="4" w:space="0" w:color="auto"/>
              <w:left w:val="single" w:sz="4" w:space="0" w:color="auto"/>
              <w:bottom w:val="double" w:sz="4" w:space="0" w:color="000000"/>
              <w:right w:val="single" w:sz="4" w:space="0" w:color="auto"/>
            </w:tcBorders>
            <w:shd w:val="clear" w:color="auto" w:fill="CCCCCC"/>
            <w:vAlign w:val="center"/>
          </w:tcPr>
          <w:p w14:paraId="1729DBCB" w14:textId="77777777" w:rsidR="00D75186" w:rsidRPr="00160362" w:rsidRDefault="00D75186" w:rsidP="00CC0E2A">
            <w:pPr>
              <w:spacing w:before="0" w:after="0" w:line="240" w:lineRule="auto"/>
              <w:ind w:left="-129" w:right="-108"/>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млн руб.</w:t>
            </w:r>
          </w:p>
        </w:tc>
        <w:tc>
          <w:tcPr>
            <w:tcW w:w="1205" w:type="dxa"/>
            <w:tcBorders>
              <w:top w:val="single" w:sz="4" w:space="0" w:color="auto"/>
              <w:left w:val="single" w:sz="4" w:space="0" w:color="auto"/>
              <w:bottom w:val="double" w:sz="4" w:space="0" w:color="000000"/>
              <w:right w:val="single" w:sz="4" w:space="0" w:color="auto"/>
            </w:tcBorders>
            <w:shd w:val="clear" w:color="auto" w:fill="CCCCCC"/>
            <w:vAlign w:val="center"/>
          </w:tcPr>
          <w:p w14:paraId="3BE1C1C7" w14:textId="77777777" w:rsidR="00D75186" w:rsidRPr="00160362" w:rsidRDefault="00D75186" w:rsidP="00CC0E2A">
            <w:pPr>
              <w:spacing w:before="0" w:after="0" w:line="240" w:lineRule="auto"/>
              <w:ind w:left="-129" w:right="-108"/>
              <w:jc w:val="center"/>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уд. вес, %</w:t>
            </w:r>
          </w:p>
        </w:tc>
        <w:tc>
          <w:tcPr>
            <w:tcW w:w="1134" w:type="dxa"/>
            <w:vMerge/>
            <w:tcBorders>
              <w:top w:val="single" w:sz="4" w:space="0" w:color="auto"/>
              <w:left w:val="single" w:sz="4" w:space="0" w:color="auto"/>
              <w:bottom w:val="double" w:sz="4" w:space="0" w:color="000000"/>
              <w:right w:val="single" w:sz="4" w:space="0" w:color="auto"/>
            </w:tcBorders>
            <w:vAlign w:val="center"/>
          </w:tcPr>
          <w:p w14:paraId="7EF76216" w14:textId="77777777" w:rsidR="00D75186" w:rsidRPr="00160362" w:rsidRDefault="00D75186" w:rsidP="00CC0E2A">
            <w:pPr>
              <w:keepNext/>
              <w:keepLines/>
              <w:spacing w:before="0" w:after="0" w:line="240" w:lineRule="auto"/>
              <w:ind w:left="34"/>
              <w:jc w:val="center"/>
              <w:outlineLvl w:val="1"/>
              <w:rPr>
                <w:rFonts w:ascii="Times New Roman" w:eastAsia="Times New Roman" w:hAnsi="Times New Roman" w:cs="Times New Roman"/>
                <w:i/>
                <w:color w:val="000000"/>
                <w:sz w:val="22"/>
                <w:szCs w:val="22"/>
              </w:rPr>
            </w:pPr>
          </w:p>
        </w:tc>
      </w:tr>
      <w:tr w:rsidR="00D75186" w:rsidRPr="00160362" w14:paraId="19CF417A" w14:textId="77777777" w:rsidTr="00D75186">
        <w:tc>
          <w:tcPr>
            <w:tcW w:w="3686" w:type="dxa"/>
            <w:tcBorders>
              <w:top w:val="double" w:sz="4" w:space="0" w:color="auto"/>
              <w:left w:val="single" w:sz="4" w:space="0" w:color="auto"/>
              <w:bottom w:val="single" w:sz="4" w:space="0" w:color="000000"/>
              <w:right w:val="single" w:sz="4" w:space="0" w:color="auto"/>
            </w:tcBorders>
            <w:shd w:val="clear" w:color="auto" w:fill="D9D9D9"/>
          </w:tcPr>
          <w:p w14:paraId="4E480D9D" w14:textId="77777777" w:rsidR="00D75186" w:rsidRPr="00160362" w:rsidRDefault="00D75186" w:rsidP="00CC0E2A">
            <w:pPr>
              <w:spacing w:before="0" w:after="0" w:line="240" w:lineRule="auto"/>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Валюта баланса-нетто, всего</w:t>
            </w:r>
          </w:p>
        </w:tc>
        <w:tc>
          <w:tcPr>
            <w:tcW w:w="1204" w:type="dxa"/>
            <w:tcBorders>
              <w:top w:val="nil"/>
              <w:left w:val="nil"/>
              <w:bottom w:val="single" w:sz="4" w:space="0" w:color="000000"/>
              <w:right w:val="single" w:sz="4" w:space="0" w:color="auto"/>
            </w:tcBorders>
            <w:shd w:val="clear" w:color="auto" w:fill="D9D9D9"/>
            <w:vAlign w:val="bottom"/>
          </w:tcPr>
          <w:p w14:paraId="3D3F324D"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9 740,0</w:t>
            </w:r>
          </w:p>
        </w:tc>
        <w:tc>
          <w:tcPr>
            <w:tcW w:w="1205" w:type="dxa"/>
            <w:tcBorders>
              <w:top w:val="nil"/>
              <w:left w:val="single" w:sz="4" w:space="0" w:color="auto"/>
              <w:bottom w:val="single" w:sz="4" w:space="0" w:color="000000"/>
              <w:right w:val="single" w:sz="4" w:space="0" w:color="auto"/>
            </w:tcBorders>
            <w:shd w:val="clear" w:color="auto" w:fill="D9D9D9"/>
            <w:vAlign w:val="bottom"/>
          </w:tcPr>
          <w:p w14:paraId="3C798DE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100,0</w:t>
            </w:r>
          </w:p>
        </w:tc>
        <w:tc>
          <w:tcPr>
            <w:tcW w:w="1205" w:type="dxa"/>
            <w:tcBorders>
              <w:top w:val="single" w:sz="8" w:space="0" w:color="auto"/>
              <w:left w:val="nil"/>
              <w:bottom w:val="single" w:sz="4" w:space="0" w:color="auto"/>
              <w:right w:val="single" w:sz="4" w:space="0" w:color="auto"/>
            </w:tcBorders>
            <w:shd w:val="clear" w:color="auto" w:fill="D9D9D9"/>
            <w:vAlign w:val="bottom"/>
          </w:tcPr>
          <w:p w14:paraId="1E45161B"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11 167,2</w:t>
            </w:r>
          </w:p>
        </w:tc>
        <w:tc>
          <w:tcPr>
            <w:tcW w:w="1205" w:type="dxa"/>
            <w:tcBorders>
              <w:top w:val="single" w:sz="8" w:space="0" w:color="auto"/>
              <w:left w:val="nil"/>
              <w:bottom w:val="single" w:sz="4" w:space="0" w:color="auto"/>
              <w:right w:val="single" w:sz="4" w:space="0" w:color="auto"/>
            </w:tcBorders>
            <w:shd w:val="clear" w:color="auto" w:fill="D9D9D9"/>
            <w:vAlign w:val="bottom"/>
          </w:tcPr>
          <w:p w14:paraId="5B6DDF1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100,0</w:t>
            </w:r>
          </w:p>
        </w:tc>
        <w:tc>
          <w:tcPr>
            <w:tcW w:w="1134" w:type="dxa"/>
            <w:tcBorders>
              <w:top w:val="single" w:sz="8" w:space="0" w:color="auto"/>
              <w:left w:val="single" w:sz="4" w:space="0" w:color="auto"/>
              <w:bottom w:val="single" w:sz="4" w:space="0" w:color="auto"/>
              <w:right w:val="single" w:sz="8" w:space="0" w:color="auto"/>
            </w:tcBorders>
            <w:shd w:val="clear" w:color="auto" w:fill="D9D9D9"/>
            <w:vAlign w:val="bottom"/>
          </w:tcPr>
          <w:p w14:paraId="10409CE2"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114,7</w:t>
            </w:r>
          </w:p>
        </w:tc>
      </w:tr>
      <w:tr w:rsidR="00D75186" w:rsidRPr="00160362" w14:paraId="4CA80BFD" w14:textId="77777777" w:rsidTr="00D75186">
        <w:tc>
          <w:tcPr>
            <w:tcW w:w="3686" w:type="dxa"/>
            <w:tcBorders>
              <w:top w:val="single" w:sz="4" w:space="0" w:color="000000"/>
              <w:left w:val="single" w:sz="4" w:space="0" w:color="000000"/>
              <w:bottom w:val="nil"/>
              <w:right w:val="single" w:sz="4" w:space="0" w:color="000000"/>
            </w:tcBorders>
            <w:shd w:val="clear" w:color="auto" w:fill="auto"/>
          </w:tcPr>
          <w:p w14:paraId="3F0FA1B7" w14:textId="77777777" w:rsidR="00D75186" w:rsidRPr="00160362" w:rsidRDefault="00D75186" w:rsidP="00CC0E2A">
            <w:pPr>
              <w:spacing w:before="0" w:after="0" w:line="240" w:lineRule="auto"/>
              <w:ind w:left="116"/>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из них:</w:t>
            </w:r>
          </w:p>
        </w:tc>
        <w:tc>
          <w:tcPr>
            <w:tcW w:w="1204" w:type="dxa"/>
            <w:tcBorders>
              <w:top w:val="single" w:sz="4" w:space="0" w:color="000000"/>
              <w:left w:val="single" w:sz="4" w:space="0" w:color="000000"/>
              <w:bottom w:val="nil"/>
              <w:right w:val="single" w:sz="4" w:space="0" w:color="000000"/>
            </w:tcBorders>
            <w:shd w:val="clear" w:color="000000" w:fill="FFFFFF"/>
            <w:vAlign w:val="bottom"/>
          </w:tcPr>
          <w:p w14:paraId="55BBAC64"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p>
        </w:tc>
        <w:tc>
          <w:tcPr>
            <w:tcW w:w="1205" w:type="dxa"/>
            <w:tcBorders>
              <w:top w:val="single" w:sz="4" w:space="0" w:color="000000"/>
              <w:left w:val="single" w:sz="4" w:space="0" w:color="000000"/>
              <w:bottom w:val="nil"/>
              <w:right w:val="single" w:sz="4" w:space="0" w:color="auto"/>
            </w:tcBorders>
            <w:shd w:val="clear" w:color="000000" w:fill="FFFFFF"/>
            <w:vAlign w:val="bottom"/>
          </w:tcPr>
          <w:p w14:paraId="1BD15A0A"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p>
        </w:tc>
        <w:tc>
          <w:tcPr>
            <w:tcW w:w="1205" w:type="dxa"/>
            <w:tcBorders>
              <w:top w:val="single" w:sz="4" w:space="0" w:color="auto"/>
              <w:left w:val="single" w:sz="4" w:space="0" w:color="auto"/>
              <w:bottom w:val="nil"/>
              <w:right w:val="single" w:sz="4" w:space="0" w:color="auto"/>
            </w:tcBorders>
            <w:shd w:val="clear" w:color="auto" w:fill="auto"/>
            <w:vAlign w:val="bottom"/>
          </w:tcPr>
          <w:p w14:paraId="4977DFB7"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p>
        </w:tc>
        <w:tc>
          <w:tcPr>
            <w:tcW w:w="1205" w:type="dxa"/>
            <w:tcBorders>
              <w:top w:val="single" w:sz="4" w:space="0" w:color="auto"/>
              <w:left w:val="single" w:sz="4" w:space="0" w:color="auto"/>
              <w:bottom w:val="nil"/>
              <w:right w:val="single" w:sz="4" w:space="0" w:color="auto"/>
            </w:tcBorders>
            <w:shd w:val="clear" w:color="000000" w:fill="FFFFFF"/>
            <w:vAlign w:val="bottom"/>
          </w:tcPr>
          <w:p w14:paraId="16CE3E28"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p>
        </w:tc>
        <w:tc>
          <w:tcPr>
            <w:tcW w:w="1134" w:type="dxa"/>
            <w:tcBorders>
              <w:top w:val="single" w:sz="4" w:space="0" w:color="auto"/>
              <w:left w:val="nil"/>
              <w:bottom w:val="nil"/>
              <w:right w:val="single" w:sz="4" w:space="0" w:color="auto"/>
            </w:tcBorders>
            <w:shd w:val="clear" w:color="000000" w:fill="FFFFFF"/>
            <w:vAlign w:val="bottom"/>
          </w:tcPr>
          <w:p w14:paraId="2920068D"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p>
        </w:tc>
      </w:tr>
      <w:tr w:rsidR="00D75186" w:rsidRPr="00160362" w14:paraId="4CC52F03" w14:textId="77777777" w:rsidTr="00D75186">
        <w:tc>
          <w:tcPr>
            <w:tcW w:w="3686" w:type="dxa"/>
            <w:tcBorders>
              <w:top w:val="nil"/>
              <w:left w:val="single" w:sz="4" w:space="0" w:color="000000"/>
              <w:bottom w:val="nil"/>
              <w:right w:val="single" w:sz="4" w:space="0" w:color="000000"/>
            </w:tcBorders>
            <w:shd w:val="clear" w:color="auto" w:fill="auto"/>
          </w:tcPr>
          <w:p w14:paraId="65E0DA2A" w14:textId="77777777" w:rsidR="00D75186" w:rsidRPr="00160362" w:rsidRDefault="00D75186" w:rsidP="00CC0E2A">
            <w:pPr>
              <w:spacing w:before="0" w:after="0" w:line="240" w:lineRule="auto"/>
              <w:ind w:left="116"/>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денежные средства</w:t>
            </w:r>
          </w:p>
        </w:tc>
        <w:tc>
          <w:tcPr>
            <w:tcW w:w="1204" w:type="dxa"/>
            <w:tcBorders>
              <w:top w:val="nil"/>
              <w:left w:val="single" w:sz="4" w:space="0" w:color="000000"/>
              <w:bottom w:val="nil"/>
              <w:right w:val="single" w:sz="4" w:space="0" w:color="000000"/>
            </w:tcBorders>
            <w:shd w:val="clear" w:color="auto" w:fill="auto"/>
            <w:vAlign w:val="bottom"/>
          </w:tcPr>
          <w:p w14:paraId="7E1E58F7"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737,9</w:t>
            </w:r>
          </w:p>
        </w:tc>
        <w:tc>
          <w:tcPr>
            <w:tcW w:w="1205" w:type="dxa"/>
            <w:tcBorders>
              <w:top w:val="nil"/>
              <w:left w:val="single" w:sz="4" w:space="0" w:color="000000"/>
              <w:bottom w:val="nil"/>
              <w:right w:val="single" w:sz="4" w:space="0" w:color="auto"/>
            </w:tcBorders>
            <w:shd w:val="clear" w:color="000000" w:fill="FFFFFF"/>
            <w:vAlign w:val="bottom"/>
          </w:tcPr>
          <w:p w14:paraId="6D480885"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7,6</w:t>
            </w:r>
          </w:p>
        </w:tc>
        <w:tc>
          <w:tcPr>
            <w:tcW w:w="1205" w:type="dxa"/>
            <w:tcBorders>
              <w:top w:val="nil"/>
              <w:left w:val="single" w:sz="4" w:space="0" w:color="auto"/>
              <w:bottom w:val="nil"/>
              <w:right w:val="single" w:sz="4" w:space="0" w:color="auto"/>
            </w:tcBorders>
            <w:shd w:val="clear" w:color="auto" w:fill="auto"/>
            <w:vAlign w:val="bottom"/>
          </w:tcPr>
          <w:p w14:paraId="7F7BBBD7"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893,4</w:t>
            </w:r>
          </w:p>
        </w:tc>
        <w:tc>
          <w:tcPr>
            <w:tcW w:w="1205" w:type="dxa"/>
            <w:tcBorders>
              <w:top w:val="nil"/>
              <w:left w:val="nil"/>
              <w:bottom w:val="nil"/>
              <w:right w:val="single" w:sz="4" w:space="0" w:color="auto"/>
            </w:tcBorders>
            <w:shd w:val="clear" w:color="000000" w:fill="FFFFFF"/>
            <w:vAlign w:val="bottom"/>
          </w:tcPr>
          <w:p w14:paraId="48E22C1A"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8,0</w:t>
            </w:r>
          </w:p>
        </w:tc>
        <w:tc>
          <w:tcPr>
            <w:tcW w:w="1134" w:type="dxa"/>
            <w:tcBorders>
              <w:top w:val="nil"/>
              <w:left w:val="nil"/>
              <w:bottom w:val="nil"/>
              <w:right w:val="single" w:sz="4" w:space="0" w:color="auto"/>
            </w:tcBorders>
            <w:shd w:val="clear" w:color="000000" w:fill="FFFFFF"/>
            <w:vAlign w:val="bottom"/>
          </w:tcPr>
          <w:p w14:paraId="76F915C5"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121,1</w:t>
            </w:r>
          </w:p>
        </w:tc>
      </w:tr>
      <w:tr w:rsidR="00D75186" w:rsidRPr="00160362" w14:paraId="2735C901" w14:textId="77777777" w:rsidTr="00D75186">
        <w:tc>
          <w:tcPr>
            <w:tcW w:w="3686" w:type="dxa"/>
            <w:tcBorders>
              <w:top w:val="nil"/>
              <w:left w:val="single" w:sz="4" w:space="0" w:color="000000"/>
              <w:bottom w:val="nil"/>
              <w:right w:val="single" w:sz="4" w:space="0" w:color="000000"/>
            </w:tcBorders>
            <w:shd w:val="clear" w:color="auto" w:fill="auto"/>
          </w:tcPr>
          <w:p w14:paraId="43A95716" w14:textId="77777777" w:rsidR="00D75186" w:rsidRPr="00160362" w:rsidRDefault="00D75186" w:rsidP="00CC0E2A">
            <w:pPr>
              <w:spacing w:before="0" w:after="0" w:line="240" w:lineRule="auto"/>
              <w:ind w:left="270" w:right="-108" w:hanging="154"/>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корреспондентские счета</w:t>
            </w:r>
          </w:p>
        </w:tc>
        <w:tc>
          <w:tcPr>
            <w:tcW w:w="1204" w:type="dxa"/>
            <w:tcBorders>
              <w:top w:val="nil"/>
              <w:left w:val="single" w:sz="4" w:space="0" w:color="000000"/>
              <w:bottom w:val="nil"/>
              <w:right w:val="single" w:sz="4" w:space="0" w:color="000000"/>
            </w:tcBorders>
            <w:shd w:val="clear" w:color="auto" w:fill="auto"/>
            <w:vAlign w:val="bottom"/>
          </w:tcPr>
          <w:p w14:paraId="527ECE64"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2 369,4</w:t>
            </w:r>
          </w:p>
        </w:tc>
        <w:tc>
          <w:tcPr>
            <w:tcW w:w="1205" w:type="dxa"/>
            <w:tcBorders>
              <w:top w:val="nil"/>
              <w:left w:val="single" w:sz="4" w:space="0" w:color="000000"/>
              <w:bottom w:val="nil"/>
              <w:right w:val="single" w:sz="4" w:space="0" w:color="auto"/>
            </w:tcBorders>
            <w:shd w:val="clear" w:color="000000" w:fill="FFFFFF"/>
            <w:vAlign w:val="bottom"/>
          </w:tcPr>
          <w:p w14:paraId="65C0C5A4"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24,3</w:t>
            </w:r>
          </w:p>
        </w:tc>
        <w:tc>
          <w:tcPr>
            <w:tcW w:w="1205" w:type="dxa"/>
            <w:tcBorders>
              <w:top w:val="nil"/>
              <w:left w:val="single" w:sz="4" w:space="0" w:color="auto"/>
              <w:bottom w:val="nil"/>
              <w:right w:val="single" w:sz="4" w:space="0" w:color="auto"/>
            </w:tcBorders>
            <w:shd w:val="clear" w:color="auto" w:fill="auto"/>
            <w:vAlign w:val="bottom"/>
          </w:tcPr>
          <w:p w14:paraId="2F6B135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4 407,3</w:t>
            </w:r>
          </w:p>
        </w:tc>
        <w:tc>
          <w:tcPr>
            <w:tcW w:w="1205" w:type="dxa"/>
            <w:tcBorders>
              <w:top w:val="nil"/>
              <w:left w:val="nil"/>
              <w:bottom w:val="nil"/>
              <w:right w:val="single" w:sz="4" w:space="0" w:color="auto"/>
            </w:tcBorders>
            <w:shd w:val="clear" w:color="000000" w:fill="FFFFFF"/>
            <w:vAlign w:val="bottom"/>
          </w:tcPr>
          <w:p w14:paraId="39D11C76"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39,5</w:t>
            </w:r>
          </w:p>
        </w:tc>
        <w:tc>
          <w:tcPr>
            <w:tcW w:w="1134" w:type="dxa"/>
            <w:tcBorders>
              <w:top w:val="nil"/>
              <w:left w:val="nil"/>
              <w:bottom w:val="nil"/>
              <w:right w:val="single" w:sz="4" w:space="0" w:color="auto"/>
            </w:tcBorders>
            <w:shd w:val="clear" w:color="000000" w:fill="FFFFFF"/>
            <w:vAlign w:val="bottom"/>
          </w:tcPr>
          <w:p w14:paraId="2864344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186,0</w:t>
            </w:r>
          </w:p>
        </w:tc>
      </w:tr>
      <w:tr w:rsidR="00D75186" w:rsidRPr="00160362" w14:paraId="1C06DA07" w14:textId="77777777" w:rsidTr="00D75186">
        <w:tc>
          <w:tcPr>
            <w:tcW w:w="3686" w:type="dxa"/>
            <w:tcBorders>
              <w:top w:val="nil"/>
              <w:left w:val="single" w:sz="4" w:space="0" w:color="000000"/>
              <w:bottom w:val="nil"/>
              <w:right w:val="single" w:sz="4" w:space="0" w:color="000000"/>
            </w:tcBorders>
            <w:shd w:val="clear" w:color="auto" w:fill="auto"/>
          </w:tcPr>
          <w:p w14:paraId="556CFCF6" w14:textId="77777777" w:rsidR="00D75186" w:rsidRPr="00160362" w:rsidRDefault="00D75186" w:rsidP="00CC0E2A">
            <w:pPr>
              <w:spacing w:before="0" w:after="0" w:line="240" w:lineRule="auto"/>
              <w:ind w:left="116"/>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вложения в ценные бумаги</w:t>
            </w:r>
          </w:p>
        </w:tc>
        <w:tc>
          <w:tcPr>
            <w:tcW w:w="1204" w:type="dxa"/>
            <w:tcBorders>
              <w:top w:val="nil"/>
              <w:left w:val="single" w:sz="4" w:space="0" w:color="000000"/>
              <w:bottom w:val="nil"/>
              <w:right w:val="single" w:sz="4" w:space="0" w:color="000000"/>
            </w:tcBorders>
            <w:shd w:val="clear" w:color="auto" w:fill="auto"/>
            <w:vAlign w:val="bottom"/>
          </w:tcPr>
          <w:p w14:paraId="51313BCA"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19,2</w:t>
            </w:r>
          </w:p>
        </w:tc>
        <w:tc>
          <w:tcPr>
            <w:tcW w:w="1205" w:type="dxa"/>
            <w:tcBorders>
              <w:top w:val="nil"/>
              <w:left w:val="single" w:sz="4" w:space="0" w:color="000000"/>
              <w:bottom w:val="nil"/>
              <w:right w:val="single" w:sz="4" w:space="0" w:color="auto"/>
            </w:tcBorders>
            <w:shd w:val="clear" w:color="000000" w:fill="FFFFFF"/>
            <w:vAlign w:val="bottom"/>
          </w:tcPr>
          <w:p w14:paraId="68CF86BA"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0,2</w:t>
            </w:r>
          </w:p>
        </w:tc>
        <w:tc>
          <w:tcPr>
            <w:tcW w:w="1205" w:type="dxa"/>
            <w:tcBorders>
              <w:top w:val="nil"/>
              <w:left w:val="single" w:sz="4" w:space="0" w:color="auto"/>
              <w:bottom w:val="nil"/>
              <w:right w:val="single" w:sz="4" w:space="0" w:color="auto"/>
            </w:tcBorders>
            <w:shd w:val="clear" w:color="auto" w:fill="auto"/>
            <w:vAlign w:val="bottom"/>
          </w:tcPr>
          <w:p w14:paraId="7C707F4F"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359,2</w:t>
            </w:r>
          </w:p>
        </w:tc>
        <w:tc>
          <w:tcPr>
            <w:tcW w:w="1205" w:type="dxa"/>
            <w:tcBorders>
              <w:top w:val="nil"/>
              <w:left w:val="nil"/>
              <w:bottom w:val="nil"/>
              <w:right w:val="single" w:sz="4" w:space="0" w:color="auto"/>
            </w:tcBorders>
            <w:shd w:val="clear" w:color="000000" w:fill="FFFFFF"/>
            <w:vAlign w:val="bottom"/>
          </w:tcPr>
          <w:p w14:paraId="02D0EF91"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3,2</w:t>
            </w:r>
          </w:p>
        </w:tc>
        <w:tc>
          <w:tcPr>
            <w:tcW w:w="1134" w:type="dxa"/>
            <w:tcBorders>
              <w:top w:val="nil"/>
              <w:left w:val="nil"/>
              <w:bottom w:val="nil"/>
              <w:right w:val="single" w:sz="4" w:space="0" w:color="auto"/>
            </w:tcBorders>
            <w:shd w:val="clear" w:color="000000" w:fill="FFFFFF"/>
            <w:vAlign w:val="bottom"/>
          </w:tcPr>
          <w:p w14:paraId="58CF1935"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18,7 р.</w:t>
            </w:r>
          </w:p>
        </w:tc>
      </w:tr>
      <w:tr w:rsidR="00D75186" w:rsidRPr="00160362" w14:paraId="64ABA7C8" w14:textId="77777777" w:rsidTr="00D75186">
        <w:tc>
          <w:tcPr>
            <w:tcW w:w="3686" w:type="dxa"/>
            <w:tcBorders>
              <w:top w:val="nil"/>
              <w:left w:val="single" w:sz="4" w:space="0" w:color="000000"/>
              <w:bottom w:val="nil"/>
              <w:right w:val="single" w:sz="4" w:space="0" w:color="000000"/>
            </w:tcBorders>
            <w:shd w:val="clear" w:color="auto" w:fill="auto"/>
          </w:tcPr>
          <w:p w14:paraId="4DE6F4DE" w14:textId="77777777" w:rsidR="00D75186" w:rsidRPr="00160362" w:rsidRDefault="00D75186" w:rsidP="00CC0E2A">
            <w:pPr>
              <w:spacing w:before="0" w:after="0" w:line="240" w:lineRule="auto"/>
              <w:ind w:left="116" w:right="-107"/>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чистая задолженность по кредитам и приравненным к ним средствам</w:t>
            </w:r>
          </w:p>
        </w:tc>
        <w:tc>
          <w:tcPr>
            <w:tcW w:w="1204" w:type="dxa"/>
            <w:tcBorders>
              <w:top w:val="nil"/>
              <w:left w:val="single" w:sz="4" w:space="0" w:color="000000"/>
              <w:bottom w:val="nil"/>
              <w:right w:val="single" w:sz="4" w:space="0" w:color="000000"/>
            </w:tcBorders>
            <w:shd w:val="clear" w:color="auto" w:fill="auto"/>
            <w:vAlign w:val="bottom"/>
          </w:tcPr>
          <w:p w14:paraId="304CB69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5 283,5</w:t>
            </w:r>
          </w:p>
        </w:tc>
        <w:tc>
          <w:tcPr>
            <w:tcW w:w="1205" w:type="dxa"/>
            <w:tcBorders>
              <w:top w:val="nil"/>
              <w:left w:val="single" w:sz="4" w:space="0" w:color="000000"/>
              <w:bottom w:val="nil"/>
              <w:right w:val="single" w:sz="4" w:space="0" w:color="auto"/>
            </w:tcBorders>
            <w:shd w:val="clear" w:color="000000" w:fill="FFFFFF"/>
            <w:vAlign w:val="bottom"/>
          </w:tcPr>
          <w:p w14:paraId="0A04FBA6"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54,2</w:t>
            </w:r>
          </w:p>
        </w:tc>
        <w:tc>
          <w:tcPr>
            <w:tcW w:w="1205" w:type="dxa"/>
            <w:tcBorders>
              <w:top w:val="nil"/>
              <w:left w:val="single" w:sz="4" w:space="0" w:color="auto"/>
              <w:bottom w:val="nil"/>
              <w:right w:val="single" w:sz="4" w:space="0" w:color="auto"/>
            </w:tcBorders>
            <w:shd w:val="clear" w:color="auto" w:fill="auto"/>
            <w:vAlign w:val="bottom"/>
          </w:tcPr>
          <w:p w14:paraId="7C36C566"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4 138,6</w:t>
            </w:r>
          </w:p>
        </w:tc>
        <w:tc>
          <w:tcPr>
            <w:tcW w:w="1205" w:type="dxa"/>
            <w:tcBorders>
              <w:top w:val="nil"/>
              <w:left w:val="nil"/>
              <w:bottom w:val="nil"/>
              <w:right w:val="single" w:sz="4" w:space="0" w:color="auto"/>
            </w:tcBorders>
            <w:shd w:val="clear" w:color="000000" w:fill="FFFFFF"/>
            <w:vAlign w:val="bottom"/>
          </w:tcPr>
          <w:p w14:paraId="5C3FDFCD"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37,1</w:t>
            </w:r>
          </w:p>
        </w:tc>
        <w:tc>
          <w:tcPr>
            <w:tcW w:w="1134" w:type="dxa"/>
            <w:tcBorders>
              <w:top w:val="nil"/>
              <w:left w:val="nil"/>
              <w:bottom w:val="nil"/>
              <w:right w:val="single" w:sz="4" w:space="0" w:color="auto"/>
            </w:tcBorders>
            <w:shd w:val="clear" w:color="000000" w:fill="FFFFFF"/>
            <w:vAlign w:val="bottom"/>
          </w:tcPr>
          <w:p w14:paraId="69B52079"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78,3</w:t>
            </w:r>
          </w:p>
        </w:tc>
      </w:tr>
      <w:tr w:rsidR="00D75186" w:rsidRPr="00160362" w14:paraId="4193DD2C" w14:textId="77777777" w:rsidTr="00D75186">
        <w:tc>
          <w:tcPr>
            <w:tcW w:w="3686" w:type="dxa"/>
            <w:tcBorders>
              <w:top w:val="nil"/>
              <w:left w:val="single" w:sz="4" w:space="0" w:color="000000"/>
              <w:bottom w:val="nil"/>
              <w:right w:val="single" w:sz="4" w:space="0" w:color="000000"/>
            </w:tcBorders>
            <w:shd w:val="clear" w:color="auto" w:fill="auto"/>
          </w:tcPr>
          <w:p w14:paraId="28509E17" w14:textId="77777777" w:rsidR="00D75186" w:rsidRPr="00160362" w:rsidRDefault="00D75186" w:rsidP="00CC0E2A">
            <w:pPr>
              <w:spacing w:before="0" w:after="0" w:line="240" w:lineRule="auto"/>
              <w:ind w:left="116" w:firstLineChars="146" w:firstLine="321"/>
              <w:jc w:val="right"/>
              <w:rPr>
                <w:rFonts w:ascii="Times New Roman" w:eastAsia="Times New Roman" w:hAnsi="Times New Roman" w:cs="Times New Roman"/>
                <w:i/>
                <w:color w:val="000000"/>
                <w:sz w:val="22"/>
                <w:szCs w:val="22"/>
              </w:rPr>
            </w:pPr>
            <w:r w:rsidRPr="00160362">
              <w:rPr>
                <w:rFonts w:ascii="Times New Roman" w:eastAsia="Times New Roman" w:hAnsi="Times New Roman" w:cs="Times New Roman"/>
                <w:i/>
                <w:color w:val="000000"/>
                <w:sz w:val="22"/>
                <w:szCs w:val="22"/>
              </w:rPr>
              <w:t>совокупная задолженность по</w:t>
            </w:r>
          </w:p>
          <w:p w14:paraId="37CDAA8D" w14:textId="77777777" w:rsidR="00D75186" w:rsidRPr="00160362" w:rsidRDefault="00D75186" w:rsidP="00CC0E2A">
            <w:pPr>
              <w:spacing w:before="0" w:after="0" w:line="240" w:lineRule="auto"/>
              <w:ind w:left="116" w:firstLineChars="146" w:firstLine="321"/>
              <w:jc w:val="right"/>
              <w:rPr>
                <w:rFonts w:ascii="Times New Roman" w:eastAsia="Times New Roman" w:hAnsi="Times New Roman" w:cs="Times New Roman"/>
                <w:i/>
                <w:color w:val="000000"/>
                <w:sz w:val="22"/>
                <w:szCs w:val="22"/>
              </w:rPr>
            </w:pPr>
            <w:r w:rsidRPr="00160362">
              <w:rPr>
                <w:rFonts w:ascii="Times New Roman" w:eastAsia="Times New Roman" w:hAnsi="Times New Roman" w:cs="Times New Roman"/>
                <w:i/>
                <w:color w:val="000000"/>
                <w:sz w:val="22"/>
                <w:szCs w:val="22"/>
              </w:rPr>
              <w:t>кредитам и приравненным к ним средствам, всего</w:t>
            </w:r>
          </w:p>
        </w:tc>
        <w:tc>
          <w:tcPr>
            <w:tcW w:w="1204" w:type="dxa"/>
            <w:tcBorders>
              <w:top w:val="nil"/>
              <w:left w:val="single" w:sz="4" w:space="0" w:color="000000"/>
              <w:bottom w:val="nil"/>
              <w:right w:val="single" w:sz="4" w:space="0" w:color="000000"/>
            </w:tcBorders>
            <w:shd w:val="clear" w:color="auto" w:fill="auto"/>
            <w:vAlign w:val="bottom"/>
          </w:tcPr>
          <w:p w14:paraId="6814C706"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5 893,7</w:t>
            </w:r>
          </w:p>
        </w:tc>
        <w:tc>
          <w:tcPr>
            <w:tcW w:w="1205" w:type="dxa"/>
            <w:tcBorders>
              <w:top w:val="nil"/>
              <w:left w:val="single" w:sz="4" w:space="0" w:color="000000"/>
              <w:bottom w:val="nil"/>
              <w:right w:val="single" w:sz="4" w:space="0" w:color="auto"/>
            </w:tcBorders>
            <w:shd w:val="clear" w:color="000000" w:fill="FFFFFF"/>
            <w:vAlign w:val="bottom"/>
          </w:tcPr>
          <w:p w14:paraId="00242F4A"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60,5</w:t>
            </w:r>
          </w:p>
        </w:tc>
        <w:tc>
          <w:tcPr>
            <w:tcW w:w="1205" w:type="dxa"/>
            <w:tcBorders>
              <w:top w:val="nil"/>
              <w:left w:val="single" w:sz="4" w:space="0" w:color="auto"/>
              <w:bottom w:val="nil"/>
              <w:right w:val="single" w:sz="4" w:space="0" w:color="auto"/>
            </w:tcBorders>
            <w:shd w:val="clear" w:color="auto" w:fill="auto"/>
            <w:vAlign w:val="bottom"/>
          </w:tcPr>
          <w:p w14:paraId="0736D1E6"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4 829,0</w:t>
            </w:r>
          </w:p>
        </w:tc>
        <w:tc>
          <w:tcPr>
            <w:tcW w:w="1205" w:type="dxa"/>
            <w:tcBorders>
              <w:top w:val="nil"/>
              <w:left w:val="nil"/>
              <w:bottom w:val="nil"/>
              <w:right w:val="single" w:sz="4" w:space="0" w:color="auto"/>
            </w:tcBorders>
            <w:shd w:val="clear" w:color="000000" w:fill="FFFFFF"/>
            <w:vAlign w:val="bottom"/>
          </w:tcPr>
          <w:p w14:paraId="5D1F17E1"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43,2</w:t>
            </w:r>
          </w:p>
        </w:tc>
        <w:tc>
          <w:tcPr>
            <w:tcW w:w="1134" w:type="dxa"/>
            <w:tcBorders>
              <w:top w:val="nil"/>
              <w:left w:val="nil"/>
              <w:bottom w:val="nil"/>
              <w:right w:val="single" w:sz="4" w:space="0" w:color="auto"/>
            </w:tcBorders>
            <w:shd w:val="clear" w:color="000000" w:fill="FFFFFF"/>
            <w:vAlign w:val="bottom"/>
          </w:tcPr>
          <w:p w14:paraId="238F0A89"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81,9</w:t>
            </w:r>
          </w:p>
        </w:tc>
      </w:tr>
      <w:tr w:rsidR="00D75186" w:rsidRPr="00160362" w14:paraId="68D8CBA7" w14:textId="77777777" w:rsidTr="00D75186">
        <w:tc>
          <w:tcPr>
            <w:tcW w:w="3686" w:type="dxa"/>
            <w:tcBorders>
              <w:top w:val="nil"/>
              <w:left w:val="single" w:sz="4" w:space="0" w:color="000000"/>
              <w:bottom w:val="nil"/>
              <w:right w:val="single" w:sz="4" w:space="0" w:color="000000"/>
            </w:tcBorders>
            <w:shd w:val="clear" w:color="auto" w:fill="auto"/>
          </w:tcPr>
          <w:p w14:paraId="6098ABB0" w14:textId="77777777" w:rsidR="00D75186" w:rsidRPr="00160362" w:rsidRDefault="00D75186" w:rsidP="00CC0E2A">
            <w:pPr>
              <w:spacing w:before="0" w:after="0" w:line="240" w:lineRule="auto"/>
              <w:ind w:left="116" w:firstLineChars="146" w:firstLine="321"/>
              <w:jc w:val="right"/>
              <w:rPr>
                <w:rFonts w:ascii="Times New Roman" w:eastAsia="Times New Roman" w:hAnsi="Times New Roman" w:cs="Times New Roman"/>
                <w:i/>
                <w:iCs/>
                <w:color w:val="000000"/>
                <w:sz w:val="22"/>
                <w:szCs w:val="22"/>
              </w:rPr>
            </w:pPr>
            <w:r w:rsidRPr="00160362">
              <w:rPr>
                <w:rFonts w:ascii="Times New Roman" w:eastAsia="Times New Roman" w:hAnsi="Times New Roman" w:cs="Times New Roman"/>
                <w:i/>
                <w:iCs/>
                <w:color w:val="000000"/>
                <w:sz w:val="22"/>
                <w:szCs w:val="22"/>
              </w:rPr>
              <w:t>резерв по рискам</w:t>
            </w:r>
          </w:p>
        </w:tc>
        <w:tc>
          <w:tcPr>
            <w:tcW w:w="1204" w:type="dxa"/>
            <w:tcBorders>
              <w:top w:val="nil"/>
              <w:left w:val="single" w:sz="4" w:space="0" w:color="000000"/>
              <w:bottom w:val="nil"/>
              <w:right w:val="single" w:sz="4" w:space="0" w:color="000000"/>
            </w:tcBorders>
            <w:shd w:val="clear" w:color="auto" w:fill="auto"/>
            <w:vAlign w:val="bottom"/>
          </w:tcPr>
          <w:p w14:paraId="5BFF5C72"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-610,2</w:t>
            </w:r>
          </w:p>
        </w:tc>
        <w:tc>
          <w:tcPr>
            <w:tcW w:w="1205" w:type="dxa"/>
            <w:tcBorders>
              <w:top w:val="nil"/>
              <w:left w:val="single" w:sz="4" w:space="0" w:color="000000"/>
              <w:bottom w:val="nil"/>
              <w:right w:val="single" w:sz="4" w:space="0" w:color="auto"/>
            </w:tcBorders>
            <w:shd w:val="clear" w:color="000000" w:fill="FFFFFF"/>
            <w:vAlign w:val="bottom"/>
          </w:tcPr>
          <w:p w14:paraId="6E8A75A0"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(6,3)</w:t>
            </w:r>
          </w:p>
        </w:tc>
        <w:tc>
          <w:tcPr>
            <w:tcW w:w="1205" w:type="dxa"/>
            <w:tcBorders>
              <w:top w:val="nil"/>
              <w:left w:val="single" w:sz="4" w:space="0" w:color="auto"/>
              <w:bottom w:val="nil"/>
              <w:right w:val="single" w:sz="4" w:space="0" w:color="auto"/>
            </w:tcBorders>
            <w:shd w:val="clear" w:color="auto" w:fill="auto"/>
            <w:vAlign w:val="bottom"/>
          </w:tcPr>
          <w:p w14:paraId="50CF70C3"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-690,4</w:t>
            </w:r>
          </w:p>
        </w:tc>
        <w:tc>
          <w:tcPr>
            <w:tcW w:w="1205" w:type="dxa"/>
            <w:tcBorders>
              <w:top w:val="nil"/>
              <w:left w:val="nil"/>
              <w:bottom w:val="nil"/>
              <w:right w:val="single" w:sz="4" w:space="0" w:color="auto"/>
            </w:tcBorders>
            <w:shd w:val="clear" w:color="000000" w:fill="FFFFFF"/>
            <w:vAlign w:val="bottom"/>
          </w:tcPr>
          <w:p w14:paraId="4125C993"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(14,3)</w:t>
            </w:r>
          </w:p>
        </w:tc>
        <w:tc>
          <w:tcPr>
            <w:tcW w:w="1134" w:type="dxa"/>
            <w:tcBorders>
              <w:top w:val="nil"/>
              <w:left w:val="nil"/>
              <w:bottom w:val="nil"/>
              <w:right w:val="single" w:sz="4" w:space="0" w:color="auto"/>
            </w:tcBorders>
            <w:shd w:val="clear" w:color="000000" w:fill="FFFFFF"/>
            <w:vAlign w:val="bottom"/>
          </w:tcPr>
          <w:p w14:paraId="2454EB6F" w14:textId="77777777" w:rsidR="00D75186" w:rsidRPr="00BF3A99" w:rsidRDefault="00D75186" w:rsidP="00CC0E2A">
            <w:pPr>
              <w:spacing w:before="0" w:after="0" w:line="240" w:lineRule="auto"/>
              <w:jc w:val="right"/>
              <w:rPr>
                <w:rFonts w:ascii="Times New Roman" w:eastAsia="Times New Roman" w:hAnsi="Times New Roman" w:cs="Times New Roman"/>
                <w:i/>
                <w:color w:val="000000"/>
                <w:sz w:val="22"/>
                <w:szCs w:val="22"/>
              </w:rPr>
            </w:pPr>
            <w:r w:rsidRPr="00BF3A99">
              <w:rPr>
                <w:rFonts w:ascii="Times New Roman" w:eastAsia="Times New Roman" w:hAnsi="Times New Roman" w:cs="Times New Roman"/>
                <w:i/>
                <w:color w:val="000000"/>
                <w:sz w:val="22"/>
                <w:szCs w:val="22"/>
              </w:rPr>
              <w:t>113,1</w:t>
            </w:r>
          </w:p>
        </w:tc>
      </w:tr>
      <w:tr w:rsidR="00D75186" w:rsidRPr="00160362" w14:paraId="7275110E" w14:textId="77777777" w:rsidTr="00D75186">
        <w:trPr>
          <w:trHeight w:val="66"/>
        </w:trPr>
        <w:tc>
          <w:tcPr>
            <w:tcW w:w="3686" w:type="dxa"/>
            <w:tcBorders>
              <w:top w:val="nil"/>
              <w:left w:val="single" w:sz="4" w:space="0" w:color="000000"/>
              <w:bottom w:val="single" w:sz="4" w:space="0" w:color="000000"/>
              <w:right w:val="single" w:sz="4" w:space="0" w:color="000000"/>
            </w:tcBorders>
            <w:shd w:val="clear" w:color="auto" w:fill="auto"/>
          </w:tcPr>
          <w:p w14:paraId="6009A6B3" w14:textId="77777777" w:rsidR="00D75186" w:rsidRPr="00160362" w:rsidRDefault="00D75186" w:rsidP="00CC0E2A">
            <w:pPr>
              <w:spacing w:before="0" w:after="0" w:line="240" w:lineRule="auto"/>
              <w:ind w:left="116"/>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 имущество банков</w:t>
            </w:r>
          </w:p>
        </w:tc>
        <w:tc>
          <w:tcPr>
            <w:tcW w:w="1204" w:type="dxa"/>
            <w:tcBorders>
              <w:top w:val="nil"/>
              <w:left w:val="single" w:sz="4" w:space="0" w:color="000000"/>
              <w:bottom w:val="single" w:sz="4" w:space="0" w:color="000000"/>
              <w:right w:val="single" w:sz="4" w:space="0" w:color="000000"/>
            </w:tcBorders>
            <w:shd w:val="clear" w:color="auto" w:fill="auto"/>
            <w:vAlign w:val="bottom"/>
          </w:tcPr>
          <w:p w14:paraId="6D4D037B"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267,7</w:t>
            </w:r>
          </w:p>
        </w:tc>
        <w:tc>
          <w:tcPr>
            <w:tcW w:w="1205" w:type="dxa"/>
            <w:tcBorders>
              <w:top w:val="nil"/>
              <w:left w:val="single" w:sz="4" w:space="0" w:color="000000"/>
              <w:bottom w:val="single" w:sz="4" w:space="0" w:color="000000"/>
              <w:right w:val="single" w:sz="4" w:space="0" w:color="auto"/>
            </w:tcBorders>
            <w:shd w:val="clear" w:color="000000" w:fill="FFFFFF"/>
            <w:vAlign w:val="bottom"/>
          </w:tcPr>
          <w:p w14:paraId="3E8B7973"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2,7</w:t>
            </w:r>
          </w:p>
        </w:tc>
        <w:tc>
          <w:tcPr>
            <w:tcW w:w="1205" w:type="dxa"/>
            <w:tcBorders>
              <w:top w:val="nil"/>
              <w:left w:val="single" w:sz="4" w:space="0" w:color="auto"/>
              <w:bottom w:val="single" w:sz="4" w:space="0" w:color="auto"/>
              <w:right w:val="single" w:sz="4" w:space="0" w:color="auto"/>
            </w:tcBorders>
            <w:shd w:val="clear" w:color="auto" w:fill="auto"/>
            <w:vAlign w:val="bottom"/>
          </w:tcPr>
          <w:p w14:paraId="07BEFCAF"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273,9</w:t>
            </w:r>
          </w:p>
        </w:tc>
        <w:tc>
          <w:tcPr>
            <w:tcW w:w="1205" w:type="dxa"/>
            <w:tcBorders>
              <w:top w:val="nil"/>
              <w:left w:val="single" w:sz="4" w:space="0" w:color="auto"/>
              <w:bottom w:val="single" w:sz="4" w:space="0" w:color="auto"/>
              <w:right w:val="single" w:sz="4" w:space="0" w:color="auto"/>
            </w:tcBorders>
            <w:shd w:val="clear" w:color="000000" w:fill="FFFFFF"/>
            <w:vAlign w:val="bottom"/>
          </w:tcPr>
          <w:p w14:paraId="44F07920"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2,5</w:t>
            </w:r>
          </w:p>
        </w:tc>
        <w:tc>
          <w:tcPr>
            <w:tcW w:w="1134" w:type="dxa"/>
            <w:tcBorders>
              <w:top w:val="nil"/>
              <w:left w:val="nil"/>
              <w:bottom w:val="single" w:sz="4" w:space="0" w:color="auto"/>
              <w:right w:val="single" w:sz="4" w:space="0" w:color="auto"/>
            </w:tcBorders>
            <w:shd w:val="clear" w:color="000000" w:fill="FFFFFF"/>
            <w:vAlign w:val="bottom"/>
          </w:tcPr>
          <w:p w14:paraId="7FFB9AF8" w14:textId="77777777" w:rsidR="00D75186" w:rsidRPr="00160362" w:rsidRDefault="00D75186" w:rsidP="00CC0E2A">
            <w:pPr>
              <w:spacing w:before="0" w:after="0" w:line="240" w:lineRule="auto"/>
              <w:jc w:val="right"/>
              <w:rPr>
                <w:rFonts w:ascii="Times New Roman" w:eastAsia="Times New Roman" w:hAnsi="Times New Roman" w:cs="Times New Roman"/>
                <w:color w:val="000000"/>
                <w:sz w:val="22"/>
                <w:szCs w:val="22"/>
              </w:rPr>
            </w:pPr>
            <w:r w:rsidRPr="00160362">
              <w:rPr>
                <w:rFonts w:ascii="Times New Roman" w:eastAsia="Times New Roman" w:hAnsi="Times New Roman" w:cs="Times New Roman"/>
                <w:color w:val="000000"/>
                <w:sz w:val="22"/>
                <w:szCs w:val="22"/>
              </w:rPr>
              <w:t>102,3</w:t>
            </w:r>
          </w:p>
        </w:tc>
      </w:tr>
    </w:tbl>
    <w:p w14:paraId="71BDAC1E" w14:textId="26CE66DB" w:rsidR="00873FD7" w:rsidRPr="00160362" w:rsidRDefault="00873FD7" w:rsidP="00D11B52">
      <w:pPr>
        <w:widowControl w:val="0"/>
        <w:spacing w:before="12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На кредитование хозяйствующих субъектов и населения </w:t>
      </w:r>
      <w:r w:rsidR="00954AAB">
        <w:rPr>
          <w:rFonts w:ascii="Times New Roman" w:hAnsi="Times New Roman" w:cs="Times New Roman"/>
          <w:color w:val="000000"/>
          <w:sz w:val="24"/>
          <w:szCs w:val="24"/>
        </w:rPr>
        <w:t>пришлось</w:t>
      </w:r>
      <w:r w:rsidRPr="00160362">
        <w:rPr>
          <w:rFonts w:ascii="Times New Roman" w:hAnsi="Times New Roman" w:cs="Times New Roman"/>
          <w:color w:val="000000"/>
          <w:sz w:val="24"/>
          <w:szCs w:val="24"/>
        </w:rPr>
        <w:t xml:space="preserve"> 82,3% совокупного кредитного портфеля (67,2% годом ранее). В абсолютном выражении на 1 января 2021 года сумма</w:t>
      </w:r>
      <w:r w:rsidR="00954AAB">
        <w:rPr>
          <w:rFonts w:ascii="Times New Roman" w:hAnsi="Times New Roman" w:cs="Times New Roman"/>
          <w:color w:val="000000"/>
          <w:sz w:val="24"/>
          <w:szCs w:val="24"/>
        </w:rPr>
        <w:t xml:space="preserve"> их </w:t>
      </w:r>
      <w:r w:rsidRPr="00160362">
        <w:rPr>
          <w:rFonts w:ascii="Times New Roman" w:hAnsi="Times New Roman" w:cs="Times New Roman"/>
          <w:color w:val="000000"/>
          <w:sz w:val="24"/>
          <w:szCs w:val="24"/>
        </w:rPr>
        <w:t>задолженности по кредитам составила 3 973,7 млн руб., что практически</w:t>
      </w:r>
      <w:r w:rsidR="00954AAB">
        <w:rPr>
          <w:rFonts w:ascii="Times New Roman" w:hAnsi="Times New Roman" w:cs="Times New Roman"/>
          <w:color w:val="000000"/>
          <w:sz w:val="24"/>
          <w:szCs w:val="24"/>
        </w:rPr>
        <w:t xml:space="preserve"> </w:t>
      </w:r>
      <w:r w:rsidRPr="00160362">
        <w:rPr>
          <w:rFonts w:ascii="Times New Roman" w:hAnsi="Times New Roman" w:cs="Times New Roman"/>
          <w:color w:val="000000"/>
          <w:sz w:val="24"/>
          <w:szCs w:val="24"/>
        </w:rPr>
        <w:t>соответствует значению на начало отчётного года (+0,3%).</w:t>
      </w:r>
    </w:p>
    <w:p w14:paraId="1480EB72" w14:textId="75602ECF"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Из</w:t>
      </w:r>
      <w:r w:rsidR="00D11B52" w:rsidRPr="00160362">
        <w:rPr>
          <w:rFonts w:ascii="Times New Roman" w:hAnsi="Times New Roman" w:cs="Times New Roman"/>
          <w:color w:val="000000"/>
          <w:sz w:val="24"/>
          <w:szCs w:val="24"/>
        </w:rPr>
        <w:t>-</w:t>
      </w:r>
      <w:r w:rsidRPr="00160362">
        <w:rPr>
          <w:rFonts w:ascii="Times New Roman" w:hAnsi="Times New Roman" w:cs="Times New Roman"/>
          <w:color w:val="000000"/>
          <w:sz w:val="24"/>
          <w:szCs w:val="24"/>
        </w:rPr>
        <w:t xml:space="preserve">за макроэкономической неопределённости, связанной с </w:t>
      </w:r>
      <w:r w:rsidR="004E2FA7">
        <w:rPr>
          <w:rFonts w:ascii="Times New Roman" w:hAnsi="Times New Roman" w:cs="Times New Roman"/>
          <w:color w:val="000000"/>
          <w:sz w:val="24"/>
          <w:szCs w:val="24"/>
        </w:rPr>
        <w:t>распространением</w:t>
      </w:r>
      <w:r w:rsidRPr="00160362">
        <w:rPr>
          <w:rFonts w:ascii="Times New Roman" w:hAnsi="Times New Roman" w:cs="Times New Roman"/>
          <w:color w:val="000000"/>
          <w:sz w:val="24"/>
          <w:szCs w:val="24"/>
        </w:rPr>
        <w:t xml:space="preserve"> коронавирусной инфекции, </w:t>
      </w:r>
      <w:r w:rsidR="00954AAB">
        <w:rPr>
          <w:rFonts w:ascii="Times New Roman" w:hAnsi="Times New Roman" w:cs="Times New Roman"/>
          <w:color w:val="000000"/>
          <w:sz w:val="24"/>
          <w:szCs w:val="24"/>
        </w:rPr>
        <w:t xml:space="preserve">замораживания многих инвестиционных проектов и в ряде случаев приостановки деятельности, </w:t>
      </w:r>
      <w:r w:rsidRPr="00160362">
        <w:rPr>
          <w:rFonts w:ascii="Times New Roman" w:hAnsi="Times New Roman" w:cs="Times New Roman"/>
          <w:color w:val="000000"/>
          <w:sz w:val="24"/>
          <w:szCs w:val="24"/>
        </w:rPr>
        <w:t xml:space="preserve">корпоративные заёмщики </w:t>
      </w:r>
      <w:r w:rsidR="00D75186">
        <w:rPr>
          <w:rFonts w:ascii="Times New Roman" w:hAnsi="Times New Roman" w:cs="Times New Roman"/>
          <w:color w:val="000000"/>
          <w:sz w:val="24"/>
          <w:szCs w:val="24"/>
        </w:rPr>
        <w:t>привлекали кредитные ресурсы</w:t>
      </w:r>
      <w:r w:rsidR="00954AAB">
        <w:rPr>
          <w:rFonts w:ascii="Times New Roman" w:hAnsi="Times New Roman" w:cs="Times New Roman"/>
          <w:color w:val="000000"/>
          <w:sz w:val="24"/>
          <w:szCs w:val="24"/>
        </w:rPr>
        <w:t xml:space="preserve"> меньшими темпами</w:t>
      </w:r>
      <w:r w:rsidRPr="00160362">
        <w:rPr>
          <w:rFonts w:ascii="Times New Roman" w:hAnsi="Times New Roman" w:cs="Times New Roman"/>
          <w:color w:val="000000"/>
          <w:sz w:val="24"/>
          <w:szCs w:val="24"/>
        </w:rPr>
        <w:t>. По итогам отчётного года их задолженност</w:t>
      </w:r>
      <w:r w:rsidR="00954AAB">
        <w:rPr>
          <w:rFonts w:ascii="Times New Roman" w:hAnsi="Times New Roman" w:cs="Times New Roman"/>
          <w:color w:val="000000"/>
          <w:sz w:val="24"/>
          <w:szCs w:val="24"/>
        </w:rPr>
        <w:t>ь</w:t>
      </w:r>
      <w:r w:rsidRPr="00160362">
        <w:rPr>
          <w:rFonts w:ascii="Times New Roman" w:hAnsi="Times New Roman" w:cs="Times New Roman"/>
          <w:color w:val="000000"/>
          <w:sz w:val="24"/>
          <w:szCs w:val="24"/>
        </w:rPr>
        <w:t xml:space="preserve"> по кредитам и приравненным к ним средствам </w:t>
      </w:r>
      <w:r w:rsidR="00954AAB">
        <w:rPr>
          <w:rFonts w:ascii="Times New Roman" w:hAnsi="Times New Roman" w:cs="Times New Roman"/>
          <w:color w:val="000000"/>
          <w:sz w:val="24"/>
          <w:szCs w:val="24"/>
        </w:rPr>
        <w:t xml:space="preserve">возросла на </w:t>
      </w:r>
      <w:r w:rsidRPr="00160362">
        <w:rPr>
          <w:rFonts w:ascii="Times New Roman" w:hAnsi="Times New Roman" w:cs="Times New Roman"/>
          <w:color w:val="000000"/>
          <w:sz w:val="24"/>
          <w:szCs w:val="24"/>
        </w:rPr>
        <w:t xml:space="preserve">0,7%, или </w:t>
      </w:r>
      <w:r w:rsidR="00954AAB">
        <w:rPr>
          <w:rFonts w:ascii="Times New Roman" w:hAnsi="Times New Roman" w:cs="Times New Roman"/>
          <w:color w:val="000000"/>
          <w:sz w:val="24"/>
          <w:szCs w:val="24"/>
        </w:rPr>
        <w:t xml:space="preserve">на </w:t>
      </w:r>
      <w:r w:rsidRPr="00160362">
        <w:rPr>
          <w:rFonts w:ascii="Times New Roman" w:hAnsi="Times New Roman" w:cs="Times New Roman"/>
          <w:color w:val="000000"/>
          <w:sz w:val="24"/>
          <w:szCs w:val="24"/>
        </w:rPr>
        <w:t>21,2 млн руб.</w:t>
      </w:r>
      <w:r w:rsidR="00D75186">
        <w:rPr>
          <w:rFonts w:ascii="Times New Roman" w:hAnsi="Times New Roman" w:cs="Times New Roman"/>
          <w:color w:val="000000"/>
          <w:sz w:val="24"/>
          <w:szCs w:val="24"/>
        </w:rPr>
        <w:t xml:space="preserve">, составив </w:t>
      </w:r>
      <w:r w:rsidR="00D75186">
        <w:rPr>
          <w:rFonts w:ascii="Times New Roman" w:hAnsi="Times New Roman" w:cs="Times New Roman"/>
          <w:color w:val="000000"/>
          <w:sz w:val="24"/>
          <w:szCs w:val="24"/>
        </w:rPr>
        <w:br/>
      </w:r>
      <w:r w:rsidR="0094282B" w:rsidRPr="00160362">
        <w:rPr>
          <w:rFonts w:ascii="Times New Roman" w:hAnsi="Times New Roman" w:cs="Times New Roman"/>
          <w:color w:val="000000"/>
          <w:sz w:val="24"/>
          <w:szCs w:val="24"/>
        </w:rPr>
        <w:t>2 866,8 млн руб.</w:t>
      </w:r>
      <w:r w:rsidR="0094282B">
        <w:rPr>
          <w:rFonts w:ascii="Times New Roman" w:hAnsi="Times New Roman" w:cs="Times New Roman"/>
          <w:color w:val="000000"/>
          <w:sz w:val="24"/>
          <w:szCs w:val="24"/>
        </w:rPr>
        <w:t xml:space="preserve"> </w:t>
      </w:r>
    </w:p>
    <w:p w14:paraId="30D5214C" w14:textId="612B9EA7"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В отраслевом разрезе кредитного портфеля</w:t>
      </w:r>
      <w:r w:rsidR="0094282B">
        <w:rPr>
          <w:rFonts w:ascii="Times New Roman" w:hAnsi="Times New Roman" w:cs="Times New Roman"/>
          <w:color w:val="000000"/>
          <w:sz w:val="24"/>
          <w:szCs w:val="24"/>
        </w:rPr>
        <w:t>,</w:t>
      </w:r>
      <w:r w:rsidRPr="00160362">
        <w:rPr>
          <w:rFonts w:ascii="Times New Roman" w:hAnsi="Times New Roman" w:cs="Times New Roman"/>
          <w:color w:val="000000"/>
          <w:sz w:val="24"/>
          <w:szCs w:val="24"/>
        </w:rPr>
        <w:t xml:space="preserve"> вследствие активной государственной поддержки, наибольшим потребителем заёмных ресурсов выступил аграрный сектор (34,8%, +8,9 п.п.). Масштабы его кредитования по итогам 2020 года расширились на 260,8 млн руб. (+35,4%), до 998,5 млн руб. </w:t>
      </w:r>
      <w:r w:rsidR="0094282B">
        <w:rPr>
          <w:rFonts w:ascii="Times New Roman" w:hAnsi="Times New Roman" w:cs="Times New Roman"/>
          <w:color w:val="000000"/>
          <w:sz w:val="24"/>
          <w:szCs w:val="24"/>
        </w:rPr>
        <w:t xml:space="preserve">При этом отмечалось </w:t>
      </w:r>
      <w:r w:rsidRPr="00160362">
        <w:rPr>
          <w:rFonts w:ascii="Times New Roman" w:hAnsi="Times New Roman" w:cs="Times New Roman"/>
          <w:color w:val="000000"/>
          <w:sz w:val="24"/>
          <w:szCs w:val="24"/>
        </w:rPr>
        <w:t xml:space="preserve">сокращение задолженности по кредитам предприятиям индустриального комплекса – на 344,8 млн руб. (-27,9%), до 891,0 млн руб., что соответствует 31,1% кредитного портфеля (-12,3 п.п.). Обязательства торгово-посреднических фирм возросли на 60,9 млн руб. (+8,4%) и на 1 января 2021 года составили 782,2 млн руб., или 27,3% совокупного </w:t>
      </w:r>
      <w:r w:rsidRPr="003465F9">
        <w:rPr>
          <w:rFonts w:ascii="Times New Roman" w:hAnsi="Times New Roman" w:cs="Times New Roman"/>
          <w:color w:val="000000"/>
          <w:sz w:val="24"/>
          <w:szCs w:val="24"/>
        </w:rPr>
        <w:t>показателя (+1,9 п.п.). Задолженность по кредитам строительных предприятий сложилась в объёме 5,8 млн руб. (+</w:t>
      </w:r>
      <w:r w:rsidR="003465F9" w:rsidRPr="003465F9">
        <w:rPr>
          <w:rFonts w:ascii="Times New Roman" w:hAnsi="Times New Roman" w:cs="Times New Roman"/>
          <w:color w:val="000000"/>
          <w:sz w:val="24"/>
          <w:szCs w:val="24"/>
        </w:rPr>
        <w:t>0,2 млн руб., или +</w:t>
      </w:r>
      <w:r w:rsidRPr="003465F9">
        <w:rPr>
          <w:rFonts w:ascii="Times New Roman" w:hAnsi="Times New Roman" w:cs="Times New Roman"/>
          <w:color w:val="000000"/>
          <w:sz w:val="24"/>
          <w:szCs w:val="24"/>
        </w:rPr>
        <w:t>3,</w:t>
      </w:r>
      <w:r w:rsidR="003465F9" w:rsidRPr="003465F9">
        <w:rPr>
          <w:rFonts w:ascii="Times New Roman" w:hAnsi="Times New Roman" w:cs="Times New Roman"/>
          <w:color w:val="000000"/>
          <w:sz w:val="24"/>
          <w:szCs w:val="24"/>
        </w:rPr>
        <w:t>6%</w:t>
      </w:r>
      <w:r w:rsidRPr="003465F9">
        <w:rPr>
          <w:rFonts w:ascii="Times New Roman" w:hAnsi="Times New Roman" w:cs="Times New Roman"/>
          <w:color w:val="000000"/>
          <w:sz w:val="24"/>
          <w:szCs w:val="24"/>
        </w:rPr>
        <w:t>).</w:t>
      </w:r>
      <w:r w:rsidRPr="00160362">
        <w:rPr>
          <w:rFonts w:ascii="Times New Roman" w:hAnsi="Times New Roman" w:cs="Times New Roman"/>
          <w:color w:val="000000"/>
          <w:sz w:val="24"/>
          <w:szCs w:val="24"/>
        </w:rPr>
        <w:t xml:space="preserve"> </w:t>
      </w:r>
    </w:p>
    <w:p w14:paraId="7B6B32E1" w14:textId="706C6E38"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В сегменте потребительских кредитов наблюдалось сокращение задолженности физических лиц на 0,9%, или на 10,0 млн руб., до 1 106,9 млн руб. </w:t>
      </w:r>
      <w:r w:rsidR="0094282B">
        <w:rPr>
          <w:rFonts w:ascii="Times New Roman" w:hAnsi="Times New Roman" w:cs="Times New Roman"/>
          <w:color w:val="000000"/>
          <w:sz w:val="24"/>
          <w:szCs w:val="24"/>
        </w:rPr>
        <w:t xml:space="preserve">Степень валютизации потребительских ссуд составила </w:t>
      </w:r>
      <w:r w:rsidRPr="00160362">
        <w:rPr>
          <w:rFonts w:ascii="Times New Roman" w:hAnsi="Times New Roman" w:cs="Times New Roman"/>
          <w:color w:val="000000"/>
          <w:sz w:val="24"/>
          <w:szCs w:val="24"/>
        </w:rPr>
        <w:t>20,8%.</w:t>
      </w:r>
    </w:p>
    <w:p w14:paraId="40319149" w14:textId="3477EDEA" w:rsidR="00873FD7" w:rsidRPr="00160362" w:rsidRDefault="0094282B" w:rsidP="00873FD7">
      <w:pPr>
        <w:widowControl w:val="0"/>
        <w:spacing w:before="0" w:after="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Избежать накопления просроченной задолженности помогла реализация комплекса мер по поддержке экономических агентов, включая предпринимателей, и физических лиц</w:t>
      </w:r>
      <w:r w:rsidRPr="00160362">
        <w:rPr>
          <w:rFonts w:ascii="Times New Roman" w:hAnsi="Times New Roman" w:cs="Times New Roman"/>
          <w:color w:val="000000"/>
          <w:sz w:val="24"/>
          <w:szCs w:val="24"/>
        </w:rPr>
        <w:t>, которые несли убытки в результате введения режима чрезвычайной ситуации</w:t>
      </w:r>
      <w:r>
        <w:rPr>
          <w:rFonts w:ascii="Times New Roman" w:hAnsi="Times New Roman" w:cs="Times New Roman"/>
          <w:color w:val="000000"/>
          <w:sz w:val="24"/>
          <w:szCs w:val="24"/>
        </w:rPr>
        <w:t xml:space="preserve">, в частности активно проводилась </w:t>
      </w:r>
      <w:r w:rsidRPr="00160362">
        <w:rPr>
          <w:rFonts w:ascii="Times New Roman" w:hAnsi="Times New Roman" w:cs="Times New Roman"/>
          <w:color w:val="000000"/>
          <w:sz w:val="24"/>
          <w:szCs w:val="24"/>
        </w:rPr>
        <w:t>реструктуризаци</w:t>
      </w:r>
      <w:r>
        <w:rPr>
          <w:rFonts w:ascii="Times New Roman" w:hAnsi="Times New Roman" w:cs="Times New Roman"/>
          <w:color w:val="000000"/>
          <w:sz w:val="24"/>
          <w:szCs w:val="24"/>
        </w:rPr>
        <w:t>я</w:t>
      </w:r>
      <w:r w:rsidRPr="00160362">
        <w:rPr>
          <w:rFonts w:ascii="Times New Roman" w:hAnsi="Times New Roman" w:cs="Times New Roman"/>
          <w:color w:val="000000"/>
          <w:sz w:val="24"/>
          <w:szCs w:val="24"/>
        </w:rPr>
        <w:t xml:space="preserve"> либо рефинансирование </w:t>
      </w:r>
      <w:r>
        <w:rPr>
          <w:rFonts w:ascii="Times New Roman" w:hAnsi="Times New Roman" w:cs="Times New Roman"/>
          <w:color w:val="000000"/>
          <w:sz w:val="24"/>
          <w:szCs w:val="24"/>
        </w:rPr>
        <w:t xml:space="preserve">их </w:t>
      </w:r>
      <w:r w:rsidRPr="00160362">
        <w:rPr>
          <w:rFonts w:ascii="Times New Roman" w:hAnsi="Times New Roman" w:cs="Times New Roman"/>
          <w:color w:val="000000"/>
          <w:sz w:val="24"/>
          <w:szCs w:val="24"/>
        </w:rPr>
        <w:t xml:space="preserve">кредитной задолженности. </w:t>
      </w:r>
      <w:r>
        <w:rPr>
          <w:rFonts w:ascii="Times New Roman" w:hAnsi="Times New Roman" w:cs="Times New Roman"/>
          <w:color w:val="000000"/>
          <w:sz w:val="24"/>
          <w:szCs w:val="24"/>
        </w:rPr>
        <w:t>В результате п</w:t>
      </w:r>
      <w:r w:rsidR="00873FD7" w:rsidRPr="00160362">
        <w:rPr>
          <w:rFonts w:ascii="Times New Roman" w:hAnsi="Times New Roman" w:cs="Times New Roman"/>
          <w:color w:val="000000"/>
          <w:sz w:val="24"/>
          <w:szCs w:val="24"/>
        </w:rPr>
        <w:t>о итогам 2020 года наблюдалось снижение просроченной задолженности на 28,3% (-73,7 млн руб.), до 186,7 млн руб. По состоянию на 1 января 2021 года это соответств</w:t>
      </w:r>
      <w:r w:rsidR="00C16745">
        <w:rPr>
          <w:rFonts w:ascii="Times New Roman" w:hAnsi="Times New Roman" w:cs="Times New Roman"/>
          <w:color w:val="000000"/>
          <w:sz w:val="24"/>
          <w:szCs w:val="24"/>
        </w:rPr>
        <w:t>овало</w:t>
      </w:r>
      <w:r w:rsidR="00873FD7" w:rsidRPr="00160362">
        <w:rPr>
          <w:rFonts w:ascii="Times New Roman" w:hAnsi="Times New Roman" w:cs="Times New Roman"/>
          <w:color w:val="000000"/>
          <w:sz w:val="24"/>
          <w:szCs w:val="24"/>
        </w:rPr>
        <w:t xml:space="preserve"> 4,7% совокупных кредитов и займов нефинансового сектора (6,6% на </w:t>
      </w:r>
      <w:r w:rsidR="00C16745">
        <w:rPr>
          <w:rFonts w:ascii="Times New Roman" w:hAnsi="Times New Roman" w:cs="Times New Roman"/>
          <w:color w:val="000000"/>
          <w:sz w:val="24"/>
          <w:szCs w:val="24"/>
        </w:rPr>
        <w:br/>
      </w:r>
      <w:r w:rsidR="00873FD7" w:rsidRPr="00160362">
        <w:rPr>
          <w:rFonts w:ascii="Times New Roman" w:hAnsi="Times New Roman" w:cs="Times New Roman"/>
          <w:color w:val="000000"/>
          <w:sz w:val="24"/>
          <w:szCs w:val="24"/>
        </w:rPr>
        <w:t xml:space="preserve">1 января 2020 года). </w:t>
      </w:r>
      <w:r w:rsidR="00C16745">
        <w:rPr>
          <w:rFonts w:ascii="Times New Roman" w:hAnsi="Times New Roman" w:cs="Times New Roman"/>
          <w:color w:val="000000"/>
          <w:sz w:val="24"/>
          <w:szCs w:val="24"/>
        </w:rPr>
        <w:t>При этом</w:t>
      </w:r>
      <w:r w:rsidR="00873FD7" w:rsidRPr="00160362">
        <w:rPr>
          <w:rFonts w:ascii="Times New Roman" w:hAnsi="Times New Roman" w:cs="Times New Roman"/>
          <w:color w:val="000000"/>
          <w:sz w:val="24"/>
          <w:szCs w:val="24"/>
        </w:rPr>
        <w:t xml:space="preserve"> суммы не погашенных в срок кредитов физическими лицами сократились на 12,9% (-14,0 млн руб.), до 94,4 млн руб., </w:t>
      </w:r>
      <w:r w:rsidR="00C16745">
        <w:rPr>
          <w:rFonts w:ascii="Times New Roman" w:hAnsi="Times New Roman" w:cs="Times New Roman"/>
          <w:color w:val="000000"/>
          <w:sz w:val="24"/>
          <w:szCs w:val="24"/>
        </w:rPr>
        <w:t>составив</w:t>
      </w:r>
      <w:r w:rsidR="00873FD7" w:rsidRPr="00160362">
        <w:rPr>
          <w:rFonts w:ascii="Times New Roman" w:hAnsi="Times New Roman" w:cs="Times New Roman"/>
          <w:color w:val="000000"/>
          <w:sz w:val="24"/>
          <w:szCs w:val="24"/>
        </w:rPr>
        <w:t xml:space="preserve"> 8,5% в структуре розничных кредитов (-1,2 п.п.). Остаток просроченной задолженности по кредитам юридических лиц </w:t>
      </w:r>
      <w:r w:rsidR="00873FD7" w:rsidRPr="00160362">
        <w:rPr>
          <w:rFonts w:ascii="Times New Roman" w:hAnsi="Times New Roman" w:cs="Times New Roman"/>
          <w:color w:val="000000"/>
          <w:sz w:val="24"/>
          <w:szCs w:val="24"/>
        </w:rPr>
        <w:lastRenderedPageBreak/>
        <w:t xml:space="preserve">уменьшился на 39,3% (-59,7 млн руб.), до 92,3 млн руб., </w:t>
      </w:r>
      <w:r w:rsidR="00BF3A99">
        <w:rPr>
          <w:rFonts w:ascii="Times New Roman" w:hAnsi="Times New Roman" w:cs="Times New Roman"/>
          <w:color w:val="000000"/>
          <w:sz w:val="24"/>
          <w:szCs w:val="24"/>
        </w:rPr>
        <w:t>что соответствует</w:t>
      </w:r>
      <w:r w:rsidR="00873FD7" w:rsidRPr="00160362">
        <w:rPr>
          <w:rFonts w:ascii="Times New Roman" w:hAnsi="Times New Roman" w:cs="Times New Roman"/>
          <w:color w:val="000000"/>
          <w:sz w:val="24"/>
          <w:szCs w:val="24"/>
        </w:rPr>
        <w:t xml:space="preserve"> 3,2% в структуре корпоративных кредитов (-2,1 п.п.). </w:t>
      </w:r>
    </w:p>
    <w:p w14:paraId="489F733D" w14:textId="176565C3" w:rsidR="00873FD7" w:rsidRPr="00160362" w:rsidRDefault="0094282B" w:rsidP="00873FD7">
      <w:pPr>
        <w:widowControl w:val="0"/>
        <w:spacing w:before="0" w:after="0" w:line="240" w:lineRule="auto"/>
        <w:ind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итогам отчётного периода кредитный портфель </w:t>
      </w:r>
      <w:r w:rsidR="00873FD7" w:rsidRPr="00160362">
        <w:rPr>
          <w:rFonts w:ascii="Times New Roman" w:hAnsi="Times New Roman" w:cs="Times New Roman"/>
          <w:color w:val="000000"/>
          <w:sz w:val="24"/>
          <w:szCs w:val="24"/>
        </w:rPr>
        <w:t xml:space="preserve">характеризовался существенным уменьшением остатков стандартных ссуд (-22,0%), а также займов, относящихся к категории нестандартных (-26,2%), обусловившим снижение их удельного веса в структуре совокупного показателя на 4,9 п.п. (до 47,3%) и на 3,3 п.п. (до 20,0%) соответственно. </w:t>
      </w:r>
      <w:r>
        <w:rPr>
          <w:rFonts w:ascii="Times New Roman" w:hAnsi="Times New Roman" w:cs="Times New Roman"/>
          <w:color w:val="000000"/>
          <w:sz w:val="24"/>
          <w:szCs w:val="24"/>
        </w:rPr>
        <w:t>На фоне ухудшения финансового положения ряда заёмщиков н</w:t>
      </w:r>
      <w:r w:rsidR="00873FD7" w:rsidRPr="00160362">
        <w:rPr>
          <w:rFonts w:ascii="Times New Roman" w:hAnsi="Times New Roman" w:cs="Times New Roman"/>
          <w:color w:val="000000"/>
          <w:sz w:val="24"/>
          <w:szCs w:val="24"/>
        </w:rPr>
        <w:t>аблюдался рост сомнительных (+27,4%) и безнадёжных (+16,2%) кредитов, который определил необходимость повышения объёма резервов на возможные потери по кредитам. В то же время вследствие реструктуризации ссудной задолженности рост резервов был умеренный. Так, по отношению к уровню начала 2020 года объём фонда возрос на 13,</w:t>
      </w:r>
      <w:r w:rsidR="003465F9">
        <w:rPr>
          <w:rFonts w:ascii="Times New Roman" w:hAnsi="Times New Roman" w:cs="Times New Roman"/>
          <w:color w:val="000000"/>
          <w:sz w:val="24"/>
          <w:szCs w:val="24"/>
        </w:rPr>
        <w:t>1</w:t>
      </w:r>
      <w:r w:rsidR="00873FD7" w:rsidRPr="00160362">
        <w:rPr>
          <w:rFonts w:ascii="Times New Roman" w:hAnsi="Times New Roman" w:cs="Times New Roman"/>
          <w:color w:val="000000"/>
          <w:sz w:val="24"/>
          <w:szCs w:val="24"/>
        </w:rPr>
        <w:t>% и сложился на отметке 690, 4 млн руб., составив 14,3% общего объёма выданных кредитов.</w:t>
      </w:r>
    </w:p>
    <w:p w14:paraId="2814BD35" w14:textId="48EE8330"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Тем не менее наращивание совокупной валюты баланса-нетто в основном выступило отражением накопления </w:t>
      </w:r>
      <w:r w:rsidR="007E63DB" w:rsidRPr="00160362">
        <w:rPr>
          <w:rFonts w:ascii="Times New Roman" w:hAnsi="Times New Roman" w:cs="Times New Roman"/>
          <w:color w:val="000000"/>
          <w:sz w:val="24"/>
          <w:szCs w:val="24"/>
        </w:rPr>
        <w:t>банковскими учреждениями</w:t>
      </w:r>
      <w:r w:rsidR="007E63DB">
        <w:rPr>
          <w:rFonts w:ascii="Times New Roman" w:hAnsi="Times New Roman" w:cs="Times New Roman"/>
          <w:color w:val="000000"/>
          <w:sz w:val="24"/>
          <w:szCs w:val="24"/>
        </w:rPr>
        <w:t xml:space="preserve"> </w:t>
      </w:r>
      <w:r w:rsidRPr="00160362">
        <w:rPr>
          <w:rFonts w:ascii="Times New Roman" w:hAnsi="Times New Roman" w:cs="Times New Roman"/>
          <w:color w:val="000000"/>
          <w:sz w:val="24"/>
          <w:szCs w:val="24"/>
        </w:rPr>
        <w:t xml:space="preserve">ликвидных </w:t>
      </w:r>
      <w:r w:rsidR="00C16745">
        <w:rPr>
          <w:rFonts w:ascii="Times New Roman" w:hAnsi="Times New Roman" w:cs="Times New Roman"/>
          <w:color w:val="000000"/>
          <w:sz w:val="24"/>
          <w:szCs w:val="24"/>
        </w:rPr>
        <w:t>активов</w:t>
      </w:r>
      <w:r w:rsidR="00A71CBF">
        <w:rPr>
          <w:rFonts w:ascii="Times New Roman" w:hAnsi="Times New Roman" w:cs="Times New Roman"/>
          <w:color w:val="000000"/>
          <w:sz w:val="24"/>
          <w:szCs w:val="24"/>
        </w:rPr>
        <w:t xml:space="preserve">. </w:t>
      </w:r>
      <w:r w:rsidRPr="00160362">
        <w:rPr>
          <w:rFonts w:ascii="Times New Roman" w:hAnsi="Times New Roman" w:cs="Times New Roman"/>
          <w:color w:val="000000"/>
          <w:sz w:val="24"/>
          <w:szCs w:val="24"/>
        </w:rPr>
        <w:t xml:space="preserve">Остатки средств, размещённых на корреспондентских счетах в других банках, расширились в 1,9 раза, или </w:t>
      </w:r>
      <w:r w:rsidR="00C16745">
        <w:rPr>
          <w:rFonts w:ascii="Times New Roman" w:hAnsi="Times New Roman" w:cs="Times New Roman"/>
          <w:color w:val="000000"/>
          <w:sz w:val="24"/>
          <w:szCs w:val="24"/>
        </w:rPr>
        <w:br/>
      </w:r>
      <w:r w:rsidRPr="00160362">
        <w:rPr>
          <w:rFonts w:ascii="Times New Roman" w:hAnsi="Times New Roman" w:cs="Times New Roman"/>
          <w:color w:val="000000"/>
          <w:sz w:val="24"/>
          <w:szCs w:val="24"/>
        </w:rPr>
        <w:t>на 2 037,9 млн руб., и на 1 января 2021 года составили</w:t>
      </w:r>
      <w:r w:rsidR="00C16745">
        <w:rPr>
          <w:rFonts w:ascii="Times New Roman" w:hAnsi="Times New Roman" w:cs="Times New Roman"/>
          <w:color w:val="000000"/>
          <w:sz w:val="24"/>
          <w:szCs w:val="24"/>
        </w:rPr>
        <w:t xml:space="preserve"> </w:t>
      </w:r>
      <w:r w:rsidRPr="00160362">
        <w:rPr>
          <w:rFonts w:ascii="Times New Roman" w:hAnsi="Times New Roman" w:cs="Times New Roman"/>
          <w:color w:val="000000"/>
          <w:sz w:val="24"/>
          <w:szCs w:val="24"/>
        </w:rPr>
        <w:t>4 407,3 млн руб. (39,5% совокупных активов). Главным фактором данной динамики явилось пополнение корсчет</w:t>
      </w:r>
      <w:r w:rsidR="007E63DB">
        <w:rPr>
          <w:rFonts w:ascii="Times New Roman" w:hAnsi="Times New Roman" w:cs="Times New Roman"/>
          <w:color w:val="000000"/>
          <w:sz w:val="24"/>
          <w:szCs w:val="24"/>
        </w:rPr>
        <w:t>ов</w:t>
      </w:r>
      <w:r w:rsidRPr="00160362">
        <w:rPr>
          <w:rFonts w:ascii="Times New Roman" w:hAnsi="Times New Roman" w:cs="Times New Roman"/>
          <w:color w:val="000000"/>
          <w:sz w:val="24"/>
          <w:szCs w:val="24"/>
        </w:rPr>
        <w:t xml:space="preserve"> в других коммерческих банках, на 1 901,9 млн руб., до 2 525,7 млн руб. Сумма средств, размещённых на корсчетах в центральном банке, возросла на 136,0 млн руб., до 1 881,5 млн руб. В их числе неснижаемые остатки в фонде обязательного резервирования и страховом фонде по отношению к значению на начало отчётного года увеличились на 18,4%, до 863,1 млн руб., вследствие расширения обязательств, входящих в расчётную базу. </w:t>
      </w:r>
    </w:p>
    <w:p w14:paraId="51F9353E" w14:textId="14846343"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Показатели ликвидност</w:t>
      </w:r>
      <w:r w:rsidR="007E63DB">
        <w:rPr>
          <w:rFonts w:ascii="Times New Roman" w:hAnsi="Times New Roman" w:cs="Times New Roman"/>
          <w:color w:val="000000"/>
          <w:sz w:val="24"/>
          <w:szCs w:val="24"/>
        </w:rPr>
        <w:t>и</w:t>
      </w:r>
      <w:r w:rsidRPr="00160362">
        <w:rPr>
          <w:rFonts w:ascii="Times New Roman" w:hAnsi="Times New Roman" w:cs="Times New Roman"/>
          <w:color w:val="000000"/>
          <w:sz w:val="24"/>
          <w:szCs w:val="24"/>
        </w:rPr>
        <w:t xml:space="preserve"> </w:t>
      </w:r>
      <w:r w:rsidR="007E63DB">
        <w:rPr>
          <w:rFonts w:ascii="Times New Roman" w:hAnsi="Times New Roman" w:cs="Times New Roman"/>
          <w:color w:val="000000"/>
          <w:sz w:val="24"/>
          <w:szCs w:val="24"/>
        </w:rPr>
        <w:t xml:space="preserve">коммерческих банков </w:t>
      </w:r>
      <w:r w:rsidRPr="00160362">
        <w:rPr>
          <w:rFonts w:ascii="Times New Roman" w:hAnsi="Times New Roman" w:cs="Times New Roman"/>
          <w:color w:val="000000"/>
          <w:sz w:val="24"/>
          <w:szCs w:val="24"/>
        </w:rPr>
        <w:t xml:space="preserve">находились </w:t>
      </w:r>
      <w:r w:rsidR="007E63DB">
        <w:rPr>
          <w:rFonts w:ascii="Times New Roman" w:hAnsi="Times New Roman" w:cs="Times New Roman"/>
          <w:color w:val="000000"/>
          <w:sz w:val="24"/>
          <w:szCs w:val="24"/>
        </w:rPr>
        <w:t>на уровнях гораздо выше нормативных значений</w:t>
      </w:r>
      <w:r w:rsidRPr="00160362">
        <w:rPr>
          <w:rFonts w:ascii="Times New Roman" w:hAnsi="Times New Roman" w:cs="Times New Roman"/>
          <w:color w:val="000000"/>
          <w:sz w:val="24"/>
          <w:szCs w:val="24"/>
        </w:rPr>
        <w:t xml:space="preserve"> и на 1 января 2021 года составили: мгновенн</w:t>
      </w:r>
      <w:r w:rsidR="007E63DB">
        <w:rPr>
          <w:rFonts w:ascii="Times New Roman" w:hAnsi="Times New Roman" w:cs="Times New Roman"/>
          <w:color w:val="000000"/>
          <w:sz w:val="24"/>
          <w:szCs w:val="24"/>
        </w:rPr>
        <w:t>ой ликвидности</w:t>
      </w:r>
      <w:r w:rsidRPr="00160362">
        <w:rPr>
          <w:rFonts w:ascii="Times New Roman" w:hAnsi="Times New Roman" w:cs="Times New Roman"/>
          <w:color w:val="000000"/>
          <w:sz w:val="24"/>
          <w:szCs w:val="24"/>
        </w:rPr>
        <w:t xml:space="preserve"> – 100,0% (при норматив</w:t>
      </w:r>
      <w:r w:rsidR="00C16745">
        <w:rPr>
          <w:rFonts w:ascii="Times New Roman" w:hAnsi="Times New Roman" w:cs="Times New Roman"/>
          <w:color w:val="000000"/>
          <w:sz w:val="24"/>
          <w:szCs w:val="24"/>
        </w:rPr>
        <w:t xml:space="preserve">е </w:t>
      </w:r>
      <w:r w:rsidRPr="00160362">
        <w:rPr>
          <w:rFonts w:ascii="Times New Roman" w:hAnsi="Times New Roman" w:cs="Times New Roman"/>
          <w:color w:val="000000"/>
          <w:sz w:val="24"/>
          <w:szCs w:val="24"/>
        </w:rPr>
        <w:t>– min 20%), текущ</w:t>
      </w:r>
      <w:r w:rsidR="007E63DB">
        <w:rPr>
          <w:rFonts w:ascii="Times New Roman" w:hAnsi="Times New Roman" w:cs="Times New Roman"/>
          <w:color w:val="000000"/>
          <w:sz w:val="24"/>
          <w:szCs w:val="24"/>
        </w:rPr>
        <w:t>ей</w:t>
      </w:r>
      <w:r w:rsidRPr="00160362">
        <w:rPr>
          <w:rFonts w:ascii="Times New Roman" w:hAnsi="Times New Roman" w:cs="Times New Roman"/>
          <w:color w:val="000000"/>
          <w:sz w:val="24"/>
          <w:szCs w:val="24"/>
        </w:rPr>
        <w:t xml:space="preserve"> – 90,4% (min 50% соответственно) и долгосрочн</w:t>
      </w:r>
      <w:r w:rsidR="007E63DB">
        <w:rPr>
          <w:rFonts w:ascii="Times New Roman" w:hAnsi="Times New Roman" w:cs="Times New Roman"/>
          <w:color w:val="000000"/>
          <w:sz w:val="24"/>
          <w:szCs w:val="24"/>
        </w:rPr>
        <w:t>ой</w:t>
      </w:r>
      <w:r w:rsidRPr="00160362">
        <w:rPr>
          <w:rFonts w:ascii="Times New Roman" w:hAnsi="Times New Roman" w:cs="Times New Roman"/>
          <w:color w:val="000000"/>
          <w:sz w:val="24"/>
          <w:szCs w:val="24"/>
        </w:rPr>
        <w:t xml:space="preserve"> – 48,5% (max 120%).</w:t>
      </w:r>
    </w:p>
    <w:p w14:paraId="607C7F83" w14:textId="2438BFB2"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В 2020 году коммерческие банки получили чистый процентный доход в сумме </w:t>
      </w:r>
      <w:r w:rsidR="00B7692C">
        <w:rPr>
          <w:rFonts w:ascii="Times New Roman" w:hAnsi="Times New Roman" w:cs="Times New Roman"/>
          <w:color w:val="000000"/>
          <w:sz w:val="24"/>
          <w:szCs w:val="24"/>
        </w:rPr>
        <w:br/>
      </w:r>
      <w:r w:rsidRPr="00160362">
        <w:rPr>
          <w:rFonts w:ascii="Times New Roman" w:hAnsi="Times New Roman" w:cs="Times New Roman"/>
          <w:color w:val="000000"/>
          <w:sz w:val="24"/>
          <w:szCs w:val="24"/>
        </w:rPr>
        <w:t xml:space="preserve">221,8 млн руб., что на 7,0 млн руб. (-3,0%) ниже прошлогодней </w:t>
      </w:r>
      <w:r w:rsidR="007E63DB">
        <w:rPr>
          <w:rFonts w:ascii="Times New Roman" w:hAnsi="Times New Roman" w:cs="Times New Roman"/>
          <w:color w:val="000000"/>
          <w:sz w:val="24"/>
          <w:szCs w:val="24"/>
        </w:rPr>
        <w:t>величины</w:t>
      </w:r>
      <w:r w:rsidRPr="00160362">
        <w:rPr>
          <w:rFonts w:ascii="Times New Roman" w:hAnsi="Times New Roman" w:cs="Times New Roman"/>
          <w:color w:val="000000"/>
          <w:sz w:val="24"/>
          <w:szCs w:val="24"/>
        </w:rPr>
        <w:t>. Это обусловлено опережающим увеличением процентных расходов на 20,3 млн руб. (+9,6%), до 231,5 млн руб., при росте процентных доходов на 13,4 млн руб. (+3,0%), до 453,3 млн руб.</w:t>
      </w:r>
    </w:p>
    <w:p w14:paraId="0E111668" w14:textId="517C9541"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О снижении рентабельности процентных операций коммерческих банков свидетельствует также динамика спреда процентных доходов и </w:t>
      </w:r>
      <w:r w:rsidRPr="00160362">
        <w:rPr>
          <w:rFonts w:ascii="Times New Roman" w:hAnsi="Times New Roman" w:cs="Times New Roman"/>
          <w:sz w:val="24"/>
          <w:szCs w:val="24"/>
        </w:rPr>
        <w:t>расходов</w:t>
      </w:r>
      <w:r w:rsidRPr="00160362">
        <w:rPr>
          <w:rStyle w:val="ae"/>
          <w:rFonts w:ascii="Times New Roman" w:hAnsi="Times New Roman"/>
          <w:color w:val="000000"/>
          <w:sz w:val="24"/>
          <w:szCs w:val="24"/>
        </w:rPr>
        <w:footnoteReference w:id="16"/>
      </w:r>
      <w:r w:rsidRPr="00160362">
        <w:rPr>
          <w:rFonts w:ascii="Times New Roman" w:hAnsi="Times New Roman" w:cs="Times New Roman"/>
          <w:sz w:val="24"/>
          <w:szCs w:val="24"/>
        </w:rPr>
        <w:t xml:space="preserve">, </w:t>
      </w:r>
      <w:r w:rsidR="00831CC4">
        <w:rPr>
          <w:rFonts w:ascii="Times New Roman" w:hAnsi="Times New Roman" w:cs="Times New Roman"/>
          <w:sz w:val="24"/>
          <w:szCs w:val="24"/>
        </w:rPr>
        <w:t xml:space="preserve">который </w:t>
      </w:r>
      <w:r w:rsidRPr="00160362">
        <w:rPr>
          <w:rFonts w:ascii="Times New Roman" w:hAnsi="Times New Roman" w:cs="Times New Roman"/>
          <w:color w:val="000000"/>
          <w:sz w:val="24"/>
          <w:szCs w:val="24"/>
        </w:rPr>
        <w:t xml:space="preserve">сократился на 0,2 п, до 6,0. </w:t>
      </w:r>
    </w:p>
    <w:p w14:paraId="40954E73" w14:textId="77777777" w:rsidR="00873FD7" w:rsidRPr="00160362"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Чистый непроцентный доход уступил базисному значению 3,5% (-11,1 млн руб.), составив 302,6 млн руб., что явилось дополнительным фактором отрицательной динамики финансовых итогов деятельности коммерческих банков.</w:t>
      </w:r>
    </w:p>
    <w:p w14:paraId="269158A8" w14:textId="5B83BE6E" w:rsidR="0083024B" w:rsidRDefault="00873FD7" w:rsidP="00873FD7">
      <w:pPr>
        <w:widowControl w:val="0"/>
        <w:spacing w:before="0" w:after="0" w:line="240" w:lineRule="auto"/>
        <w:ind w:firstLine="425"/>
        <w:jc w:val="both"/>
        <w:rPr>
          <w:rFonts w:ascii="Times New Roman" w:hAnsi="Times New Roman" w:cs="Times New Roman"/>
          <w:color w:val="000000"/>
          <w:sz w:val="24"/>
          <w:szCs w:val="24"/>
        </w:rPr>
      </w:pPr>
      <w:r w:rsidRPr="00160362">
        <w:rPr>
          <w:rFonts w:ascii="Times New Roman" w:hAnsi="Times New Roman" w:cs="Times New Roman"/>
          <w:color w:val="000000"/>
          <w:sz w:val="24"/>
          <w:szCs w:val="24"/>
        </w:rPr>
        <w:t xml:space="preserve">В </w:t>
      </w:r>
      <w:r w:rsidR="007E63DB">
        <w:rPr>
          <w:rFonts w:ascii="Times New Roman" w:hAnsi="Times New Roman" w:cs="Times New Roman"/>
          <w:color w:val="000000"/>
          <w:sz w:val="24"/>
          <w:szCs w:val="24"/>
        </w:rPr>
        <w:t xml:space="preserve">результате полученная коммерческими банками в </w:t>
      </w:r>
      <w:r w:rsidRPr="00160362">
        <w:rPr>
          <w:rFonts w:ascii="Times New Roman" w:hAnsi="Times New Roman" w:cs="Times New Roman"/>
          <w:color w:val="000000"/>
          <w:sz w:val="24"/>
          <w:szCs w:val="24"/>
        </w:rPr>
        <w:t xml:space="preserve">отчётном году </w:t>
      </w:r>
      <w:r w:rsidR="007E63DB">
        <w:rPr>
          <w:rFonts w:ascii="Times New Roman" w:hAnsi="Times New Roman" w:cs="Times New Roman"/>
          <w:color w:val="000000"/>
          <w:sz w:val="24"/>
          <w:szCs w:val="24"/>
        </w:rPr>
        <w:t xml:space="preserve">чистая прибыль была на 35,8 млн руб. </w:t>
      </w:r>
      <w:r w:rsidR="007E63DB" w:rsidRPr="00160362">
        <w:rPr>
          <w:rFonts w:ascii="Times New Roman" w:hAnsi="Times New Roman" w:cs="Times New Roman"/>
          <w:color w:val="000000"/>
          <w:sz w:val="24"/>
          <w:szCs w:val="24"/>
        </w:rPr>
        <w:t>(-22,9%) меньше, чем годом ранее</w:t>
      </w:r>
      <w:r w:rsidR="007E63DB">
        <w:rPr>
          <w:rFonts w:ascii="Times New Roman" w:hAnsi="Times New Roman" w:cs="Times New Roman"/>
          <w:color w:val="000000"/>
          <w:sz w:val="24"/>
          <w:szCs w:val="24"/>
        </w:rPr>
        <w:t>, и составила</w:t>
      </w:r>
      <w:r w:rsidRPr="00160362">
        <w:rPr>
          <w:rFonts w:ascii="Times New Roman" w:hAnsi="Times New Roman" w:cs="Times New Roman"/>
          <w:color w:val="000000"/>
          <w:sz w:val="24"/>
          <w:szCs w:val="24"/>
        </w:rPr>
        <w:t xml:space="preserve"> 120,6 млн руб.</w:t>
      </w:r>
    </w:p>
    <w:p w14:paraId="682D605E" w14:textId="77777777" w:rsidR="00907724" w:rsidRPr="00160362" w:rsidRDefault="00907724" w:rsidP="00873FD7">
      <w:pPr>
        <w:widowControl w:val="0"/>
        <w:spacing w:before="0" w:after="0" w:line="240" w:lineRule="auto"/>
        <w:ind w:firstLine="425"/>
        <w:jc w:val="both"/>
        <w:rPr>
          <w:rFonts w:ascii="Times New Roman" w:hAnsi="Times New Roman" w:cs="Times New Roman"/>
          <w:color w:val="000000"/>
          <w:sz w:val="24"/>
          <w:szCs w:val="24"/>
        </w:rPr>
      </w:pPr>
    </w:p>
    <w:p w14:paraId="6285CE92" w14:textId="77777777" w:rsidR="00790507" w:rsidRPr="00160362" w:rsidRDefault="00790507" w:rsidP="00907724">
      <w:pPr>
        <w:pStyle w:val="2"/>
        <w:jc w:val="center"/>
        <w:rPr>
          <w:rFonts w:ascii="Times New Roman" w:hAnsi="Times New Roman" w:cs="Times New Roman"/>
          <w:b/>
          <w:noProof/>
        </w:rPr>
      </w:pPr>
      <w:r w:rsidRPr="00160362">
        <w:rPr>
          <w:b/>
          <w:noProof/>
        </w:rPr>
        <w:t>Страховой рынок</w:t>
      </w:r>
    </w:p>
    <w:p w14:paraId="7C2D3043" w14:textId="77777777" w:rsidR="00907724" w:rsidRDefault="00907724" w:rsidP="00EA3F00">
      <w:pPr>
        <w:spacing w:before="0" w:after="0" w:line="240" w:lineRule="auto"/>
        <w:ind w:firstLine="425"/>
        <w:jc w:val="both"/>
        <w:rPr>
          <w:rFonts w:ascii="Times New Roman" w:eastAsia="Times New Roman" w:hAnsi="Times New Roman" w:cs="Times New Roman"/>
          <w:color w:val="000000"/>
          <w:sz w:val="24"/>
          <w:szCs w:val="22"/>
        </w:rPr>
      </w:pPr>
    </w:p>
    <w:p w14:paraId="67FE9D24" w14:textId="7FF885AD" w:rsidR="00EA3F00" w:rsidRPr="00160362" w:rsidRDefault="00EA3F00" w:rsidP="00EA3F00">
      <w:pPr>
        <w:spacing w:before="0" w:after="0" w:line="240" w:lineRule="auto"/>
        <w:ind w:firstLine="425"/>
        <w:jc w:val="both"/>
        <w:rPr>
          <w:rFonts w:ascii="Times New Roman" w:eastAsia="Times New Roman" w:hAnsi="Times New Roman" w:cs="Times New Roman"/>
          <w:color w:val="000000"/>
          <w:sz w:val="24"/>
          <w:szCs w:val="22"/>
        </w:rPr>
      </w:pPr>
      <w:r w:rsidRPr="00160362">
        <w:rPr>
          <w:rFonts w:ascii="Times New Roman" w:eastAsia="Times New Roman" w:hAnsi="Times New Roman" w:cs="Times New Roman"/>
          <w:color w:val="000000"/>
          <w:sz w:val="24"/>
          <w:szCs w:val="22"/>
        </w:rPr>
        <w:t>По состоянию на 1 января 2021 года на территории республики функционировали две страховые организации</w:t>
      </w:r>
      <w:r w:rsidR="00831CC4">
        <w:rPr>
          <w:rFonts w:ascii="Times New Roman" w:eastAsia="Times New Roman" w:hAnsi="Times New Roman" w:cs="Times New Roman"/>
          <w:color w:val="000000"/>
          <w:sz w:val="24"/>
          <w:szCs w:val="22"/>
        </w:rPr>
        <w:t>, у</w:t>
      </w:r>
      <w:r w:rsidRPr="00160362">
        <w:rPr>
          <w:rFonts w:ascii="Times New Roman" w:eastAsia="Times New Roman" w:hAnsi="Times New Roman" w:cs="Times New Roman"/>
          <w:color w:val="000000"/>
          <w:sz w:val="24"/>
          <w:szCs w:val="22"/>
        </w:rPr>
        <w:t>ставный капитал</w:t>
      </w:r>
      <w:r w:rsidR="00831CC4">
        <w:rPr>
          <w:rFonts w:ascii="Times New Roman" w:eastAsia="Times New Roman" w:hAnsi="Times New Roman" w:cs="Times New Roman"/>
          <w:color w:val="000000"/>
          <w:sz w:val="24"/>
          <w:szCs w:val="22"/>
        </w:rPr>
        <w:t xml:space="preserve"> которых </w:t>
      </w:r>
      <w:r w:rsidRPr="00160362">
        <w:rPr>
          <w:rFonts w:ascii="Times New Roman" w:eastAsia="Times New Roman" w:hAnsi="Times New Roman" w:cs="Times New Roman"/>
          <w:color w:val="000000"/>
          <w:sz w:val="24"/>
          <w:szCs w:val="22"/>
        </w:rPr>
        <w:t xml:space="preserve">за отчётный год не изменился, </w:t>
      </w:r>
      <w:r w:rsidR="00831CC4">
        <w:rPr>
          <w:rFonts w:ascii="Times New Roman" w:eastAsia="Times New Roman" w:hAnsi="Times New Roman" w:cs="Times New Roman"/>
          <w:color w:val="000000"/>
          <w:sz w:val="24"/>
          <w:szCs w:val="22"/>
        </w:rPr>
        <w:t>составив</w:t>
      </w:r>
      <w:r w:rsidRPr="00160362">
        <w:rPr>
          <w:rFonts w:ascii="Times New Roman" w:eastAsia="Times New Roman" w:hAnsi="Times New Roman" w:cs="Times New Roman"/>
          <w:color w:val="000000"/>
          <w:sz w:val="24"/>
          <w:szCs w:val="22"/>
        </w:rPr>
        <w:t xml:space="preserve"> 23,0 млн руб. Совокупный объём </w:t>
      </w:r>
      <w:r w:rsidR="007E63DB">
        <w:rPr>
          <w:rFonts w:ascii="Times New Roman" w:eastAsia="Times New Roman" w:hAnsi="Times New Roman" w:cs="Times New Roman"/>
          <w:color w:val="000000"/>
          <w:sz w:val="24"/>
          <w:szCs w:val="22"/>
        </w:rPr>
        <w:t xml:space="preserve">их </w:t>
      </w:r>
      <w:r w:rsidRPr="00160362">
        <w:rPr>
          <w:rFonts w:ascii="Times New Roman" w:eastAsia="Times New Roman" w:hAnsi="Times New Roman" w:cs="Times New Roman"/>
          <w:color w:val="000000"/>
          <w:sz w:val="24"/>
          <w:szCs w:val="22"/>
        </w:rPr>
        <w:t xml:space="preserve">активов </w:t>
      </w:r>
      <w:r w:rsidR="00831CC4">
        <w:rPr>
          <w:rFonts w:ascii="Times New Roman" w:eastAsia="Times New Roman" w:hAnsi="Times New Roman" w:cs="Times New Roman"/>
          <w:color w:val="000000"/>
          <w:sz w:val="24"/>
          <w:szCs w:val="22"/>
        </w:rPr>
        <w:t>увеличился на 12,2%, до</w:t>
      </w:r>
      <w:r w:rsidRPr="00160362">
        <w:rPr>
          <w:rFonts w:ascii="Times New Roman" w:eastAsia="Times New Roman" w:hAnsi="Times New Roman" w:cs="Times New Roman"/>
          <w:color w:val="000000"/>
          <w:sz w:val="24"/>
          <w:szCs w:val="22"/>
        </w:rPr>
        <w:t xml:space="preserve"> 96,9 млн руб.</w:t>
      </w:r>
    </w:p>
    <w:p w14:paraId="2DDF52B5" w14:textId="77777777" w:rsidR="00EA3F00" w:rsidRPr="00160362" w:rsidRDefault="00EA3F00" w:rsidP="00EA3F00">
      <w:pPr>
        <w:spacing w:before="0" w:after="0" w:line="240" w:lineRule="auto"/>
        <w:ind w:firstLine="425"/>
        <w:jc w:val="both"/>
        <w:rPr>
          <w:rFonts w:ascii="Times New Roman" w:eastAsia="Times New Roman" w:hAnsi="Times New Roman" w:cs="Times New Roman"/>
          <w:color w:val="000000"/>
          <w:sz w:val="24"/>
          <w:szCs w:val="22"/>
        </w:rPr>
      </w:pPr>
      <w:r w:rsidRPr="00160362">
        <w:rPr>
          <w:rFonts w:ascii="Times New Roman" w:eastAsia="Times New Roman" w:hAnsi="Times New Roman" w:cs="Times New Roman"/>
          <w:color w:val="000000"/>
          <w:sz w:val="24"/>
          <w:szCs w:val="22"/>
        </w:rPr>
        <w:t xml:space="preserve">За 2020 год страховщиками было заключено 108 098 договоров, что на 2,3% меньше, чем год назад. Основным фактором данной динамики выступило существенное сокращение количества договоров по добровольному страхованию (-22,2%, до 16 039 единиц). В то же </w:t>
      </w:r>
      <w:r w:rsidRPr="00160362">
        <w:rPr>
          <w:rFonts w:ascii="Times New Roman" w:eastAsia="Times New Roman" w:hAnsi="Times New Roman" w:cs="Times New Roman"/>
          <w:color w:val="000000"/>
          <w:sz w:val="24"/>
          <w:szCs w:val="22"/>
        </w:rPr>
        <w:lastRenderedPageBreak/>
        <w:t>время вследствие роста числа договоров по страхованию гражданской ответственности владельцев транспортных средств увеличилось общее количество договоров по обязательному страхованию (+1,1%, до 91 058 единиц).</w:t>
      </w:r>
    </w:p>
    <w:p w14:paraId="6B74C16B" w14:textId="77777777" w:rsidR="00EA3F00" w:rsidRPr="00160362" w:rsidRDefault="00EA3F00" w:rsidP="00EA3F00">
      <w:pPr>
        <w:spacing w:before="0" w:after="0" w:line="240" w:lineRule="auto"/>
        <w:ind w:firstLine="425"/>
        <w:jc w:val="both"/>
        <w:rPr>
          <w:rFonts w:ascii="Times New Roman" w:eastAsia="Times New Roman" w:hAnsi="Times New Roman" w:cs="Times New Roman"/>
          <w:color w:val="000000"/>
          <w:sz w:val="24"/>
          <w:szCs w:val="22"/>
        </w:rPr>
      </w:pPr>
      <w:r w:rsidRPr="00160362">
        <w:rPr>
          <w:rFonts w:ascii="Times New Roman" w:eastAsia="Times New Roman" w:hAnsi="Times New Roman" w:cs="Times New Roman"/>
          <w:color w:val="000000"/>
          <w:sz w:val="24"/>
          <w:szCs w:val="22"/>
        </w:rPr>
        <w:t>Сумма страховых взносов в 2020 году составила 64,4 млн руб. (-1,6%, или -1,1 млн руб.), из них по договорам добровольного страхования имущества юридических лиц – 31,3 млн руб. (-2,7%, или -0,9 млн руб.), обязательного страхования гражданской ответственности владельцев транспортных средств – 30,4 млн руб. (-1,5%, или -0,4 млн руб.).</w:t>
      </w:r>
    </w:p>
    <w:p w14:paraId="51575876" w14:textId="60EEED99" w:rsidR="00EA3F00" w:rsidRPr="00160362" w:rsidRDefault="00EA3F00" w:rsidP="00EA3F00">
      <w:pPr>
        <w:spacing w:before="0" w:after="0" w:line="240" w:lineRule="auto"/>
        <w:ind w:firstLine="425"/>
        <w:jc w:val="both"/>
        <w:rPr>
          <w:rFonts w:ascii="Times New Roman" w:eastAsia="Times New Roman" w:hAnsi="Times New Roman" w:cs="Times New Roman"/>
          <w:color w:val="000000"/>
          <w:sz w:val="24"/>
          <w:szCs w:val="22"/>
        </w:rPr>
      </w:pPr>
      <w:r w:rsidRPr="00160362">
        <w:rPr>
          <w:rFonts w:ascii="Times New Roman" w:eastAsia="Times New Roman" w:hAnsi="Times New Roman" w:cs="Times New Roman"/>
          <w:color w:val="000000"/>
          <w:sz w:val="24"/>
          <w:szCs w:val="22"/>
        </w:rPr>
        <w:t xml:space="preserve">Объём страховых выплат страховщиков по всем видам страхования составил </w:t>
      </w:r>
      <w:r w:rsidR="00160362">
        <w:rPr>
          <w:rFonts w:ascii="Times New Roman" w:eastAsia="Times New Roman" w:hAnsi="Times New Roman" w:cs="Times New Roman"/>
          <w:color w:val="000000"/>
          <w:sz w:val="24"/>
          <w:szCs w:val="22"/>
        </w:rPr>
        <w:br/>
      </w:r>
      <w:r w:rsidRPr="00160362">
        <w:rPr>
          <w:rFonts w:ascii="Times New Roman" w:eastAsia="Times New Roman" w:hAnsi="Times New Roman" w:cs="Times New Roman"/>
          <w:color w:val="000000"/>
          <w:sz w:val="24"/>
          <w:szCs w:val="22"/>
        </w:rPr>
        <w:t xml:space="preserve">11,7 млн руб., что на 11,9% больше значения 2019 года. Определяющим фактором повышательной динамики выступило активное увеличение выплат по обязательному страхованию гражданской ответственности владельцев транспортных средств (+8,3%, до </w:t>
      </w:r>
      <w:r w:rsidR="00160362">
        <w:rPr>
          <w:rFonts w:ascii="Times New Roman" w:eastAsia="Times New Roman" w:hAnsi="Times New Roman" w:cs="Times New Roman"/>
          <w:color w:val="000000"/>
          <w:sz w:val="24"/>
          <w:szCs w:val="22"/>
        </w:rPr>
        <w:br/>
      </w:r>
      <w:r w:rsidRPr="00160362">
        <w:rPr>
          <w:rFonts w:ascii="Times New Roman" w:eastAsia="Times New Roman" w:hAnsi="Times New Roman" w:cs="Times New Roman"/>
          <w:color w:val="000000"/>
          <w:sz w:val="24"/>
          <w:szCs w:val="22"/>
        </w:rPr>
        <w:t xml:space="preserve">10,5 млн руб.), занимающие 89,9% совокупного показателя. Выплаты по договорам добровольного страхования от несчастных случаев и болезней возросли на 11,3%, до </w:t>
      </w:r>
      <w:r w:rsidR="00160362">
        <w:rPr>
          <w:rFonts w:ascii="Times New Roman" w:eastAsia="Times New Roman" w:hAnsi="Times New Roman" w:cs="Times New Roman"/>
          <w:color w:val="000000"/>
          <w:sz w:val="24"/>
          <w:szCs w:val="22"/>
        </w:rPr>
        <w:br/>
      </w:r>
      <w:r w:rsidRPr="00160362">
        <w:rPr>
          <w:rFonts w:ascii="Times New Roman" w:eastAsia="Times New Roman" w:hAnsi="Times New Roman" w:cs="Times New Roman"/>
          <w:color w:val="000000"/>
          <w:sz w:val="24"/>
          <w:szCs w:val="22"/>
        </w:rPr>
        <w:t xml:space="preserve">0,5 млн руб. </w:t>
      </w:r>
    </w:p>
    <w:p w14:paraId="1EE997A3" w14:textId="77777777" w:rsidR="00EA3F00" w:rsidRPr="00160362" w:rsidRDefault="00EA3F00" w:rsidP="00EA3F00">
      <w:pPr>
        <w:spacing w:before="0" w:after="0" w:line="240" w:lineRule="auto"/>
        <w:ind w:firstLine="425"/>
        <w:jc w:val="both"/>
        <w:rPr>
          <w:rFonts w:ascii="Times New Roman" w:eastAsia="Times New Roman" w:hAnsi="Times New Roman" w:cs="Times New Roman"/>
          <w:color w:val="000000"/>
          <w:sz w:val="24"/>
          <w:szCs w:val="22"/>
        </w:rPr>
      </w:pPr>
      <w:r w:rsidRPr="00160362">
        <w:rPr>
          <w:rFonts w:ascii="Times New Roman" w:eastAsia="Times New Roman" w:hAnsi="Times New Roman" w:cs="Times New Roman"/>
          <w:color w:val="000000"/>
          <w:sz w:val="24"/>
          <w:szCs w:val="22"/>
        </w:rPr>
        <w:t>Коэффициент выплат (отношение страховых выплат к страховым взносам) в целом по всем видам страхования сложился на уровне 18,1%, в том числе по добровольному страхованию – 1,8%, по обязательному – 35,7%.</w:t>
      </w:r>
    </w:p>
    <w:p w14:paraId="026B09DB" w14:textId="597AE684" w:rsidR="00EA3F00" w:rsidRPr="00160362" w:rsidRDefault="00EA3F00" w:rsidP="00EA3F00">
      <w:pPr>
        <w:spacing w:before="0" w:after="0" w:line="240" w:lineRule="auto"/>
        <w:ind w:firstLine="425"/>
        <w:jc w:val="both"/>
        <w:rPr>
          <w:rFonts w:ascii="Times New Roman" w:eastAsia="Times New Roman" w:hAnsi="Times New Roman" w:cs="Times New Roman"/>
          <w:color w:val="000000"/>
          <w:sz w:val="24"/>
          <w:szCs w:val="22"/>
        </w:rPr>
      </w:pPr>
      <w:r w:rsidRPr="00160362">
        <w:rPr>
          <w:rFonts w:ascii="Times New Roman" w:eastAsia="Times New Roman" w:hAnsi="Times New Roman" w:cs="Times New Roman"/>
          <w:color w:val="000000"/>
          <w:sz w:val="24"/>
          <w:szCs w:val="22"/>
        </w:rPr>
        <w:t xml:space="preserve">Страховые резервы страховщиков на конец 2020 года достигли 49,4 млн руб., увеличившись за </w:t>
      </w:r>
      <w:r w:rsidR="00831CC4">
        <w:rPr>
          <w:rFonts w:ascii="Times New Roman" w:eastAsia="Times New Roman" w:hAnsi="Times New Roman" w:cs="Times New Roman"/>
          <w:color w:val="000000"/>
          <w:sz w:val="24"/>
          <w:szCs w:val="22"/>
        </w:rPr>
        <w:t>отчётный период</w:t>
      </w:r>
      <w:r w:rsidRPr="00160362">
        <w:rPr>
          <w:rFonts w:ascii="Times New Roman" w:eastAsia="Times New Roman" w:hAnsi="Times New Roman" w:cs="Times New Roman"/>
          <w:color w:val="000000"/>
          <w:sz w:val="24"/>
          <w:szCs w:val="22"/>
        </w:rPr>
        <w:t xml:space="preserve"> на 17,3% (+7,3 млн руб.). </w:t>
      </w:r>
    </w:p>
    <w:p w14:paraId="5F65CE87" w14:textId="77777777" w:rsidR="00EA3F00" w:rsidRPr="00EA3F00" w:rsidRDefault="00EA3F00" w:rsidP="00EA3F00">
      <w:pPr>
        <w:spacing w:before="0" w:after="0" w:line="240" w:lineRule="auto"/>
        <w:ind w:firstLine="425"/>
        <w:jc w:val="both"/>
        <w:rPr>
          <w:rFonts w:ascii="Times New Roman" w:eastAsia="Times New Roman" w:hAnsi="Times New Roman" w:cs="Times New Roman"/>
          <w:color w:val="000000"/>
          <w:sz w:val="24"/>
          <w:szCs w:val="22"/>
        </w:rPr>
      </w:pPr>
      <w:r w:rsidRPr="00160362">
        <w:rPr>
          <w:rFonts w:ascii="Times New Roman" w:eastAsia="Times New Roman" w:hAnsi="Times New Roman" w:cs="Times New Roman"/>
          <w:color w:val="000000"/>
          <w:sz w:val="24"/>
          <w:szCs w:val="22"/>
        </w:rPr>
        <w:t>Финансовые итоги деятельности страховых компаний республики в 2020 году характеризовались получением прибыли в размере 4,8 млн руб., что на треть больше, чем год назад.</w:t>
      </w:r>
      <w:r w:rsidRPr="00EA3F00">
        <w:rPr>
          <w:rFonts w:ascii="Times New Roman" w:eastAsia="Times New Roman" w:hAnsi="Times New Roman" w:cs="Times New Roman"/>
          <w:color w:val="000000"/>
          <w:sz w:val="24"/>
          <w:szCs w:val="22"/>
        </w:rPr>
        <w:t xml:space="preserve"> </w:t>
      </w:r>
    </w:p>
    <w:p w14:paraId="624C6B64" w14:textId="0B910B0C" w:rsidR="005211EE" w:rsidRDefault="005211EE" w:rsidP="00102848">
      <w:pPr>
        <w:spacing w:before="0" w:after="0" w:line="240" w:lineRule="auto"/>
        <w:ind w:firstLine="425"/>
        <w:jc w:val="both"/>
        <w:rPr>
          <w:rFonts w:ascii="Times New Roman" w:eastAsia="Times New Roman" w:hAnsi="Times New Roman" w:cs="Times New Roman"/>
          <w:color w:val="000000"/>
          <w:sz w:val="24"/>
          <w:szCs w:val="22"/>
        </w:rPr>
      </w:pPr>
    </w:p>
    <w:p w14:paraId="28C0D623" w14:textId="7B16F459" w:rsidR="003C18BB" w:rsidRPr="004D7D79" w:rsidRDefault="003C18BB" w:rsidP="00822F2A">
      <w:pPr>
        <w:pStyle w:val="1"/>
        <w:widowControl w:val="0"/>
        <w:numPr>
          <w:ilvl w:val="1"/>
          <w:numId w:val="1"/>
        </w:numPr>
        <w:jc w:val="center"/>
        <w:rPr>
          <w:b/>
          <w:bCs/>
          <w:noProof/>
          <w:sz w:val="24"/>
          <w:szCs w:val="24"/>
        </w:rPr>
      </w:pPr>
      <w:r w:rsidRPr="004D7D79">
        <w:rPr>
          <w:b/>
          <w:bCs/>
          <w:noProof/>
          <w:sz w:val="24"/>
          <w:szCs w:val="24"/>
        </w:rPr>
        <w:t>ПЛАТЁЖНАЯ СИСТЕМА</w:t>
      </w:r>
    </w:p>
    <w:p w14:paraId="08E3CB65" w14:textId="77777777" w:rsidR="00DF7D73" w:rsidRDefault="00DF7D73" w:rsidP="008A651D">
      <w:pPr>
        <w:pStyle w:val="aff4"/>
        <w:spacing w:before="0" w:after="0" w:line="240" w:lineRule="auto"/>
        <w:ind w:left="0" w:firstLine="426"/>
        <w:jc w:val="both"/>
        <w:rPr>
          <w:rFonts w:ascii="Times New Roman" w:hAnsi="Times New Roman" w:cs="Times New Roman"/>
          <w:color w:val="000000" w:themeColor="text1"/>
          <w:sz w:val="24"/>
          <w:szCs w:val="24"/>
        </w:rPr>
      </w:pPr>
    </w:p>
    <w:p w14:paraId="760ACF8D" w14:textId="1CDD012D" w:rsidR="00C70B24" w:rsidRPr="00160362" w:rsidRDefault="0097567A" w:rsidP="00C70B24">
      <w:pPr>
        <w:tabs>
          <w:tab w:val="left" w:pos="426"/>
        </w:tabs>
        <w:spacing w:before="0" w:after="0" w:line="240" w:lineRule="auto"/>
        <w:ind w:firstLine="425"/>
        <w:jc w:val="both"/>
        <w:rPr>
          <w:rFonts w:ascii="Times New Roman" w:hAnsi="Times New Roman" w:cs="Times New Roman"/>
          <w:sz w:val="24"/>
          <w:szCs w:val="24"/>
        </w:rPr>
      </w:pPr>
      <w:r w:rsidRPr="0097567A">
        <w:rPr>
          <w:rFonts w:ascii="Times New Roman" w:hAnsi="Times New Roman" w:cs="Times New Roman"/>
          <w:sz w:val="24"/>
          <w:szCs w:val="24"/>
        </w:rPr>
        <w:t xml:space="preserve">Развитие системы безналичных платежей и повышение финансовой доступности являются приоритетными задачами в рамках совершенствования платёжной системы Приднестровской Молдавской Республики. В 2020 году банковским сообществом велась работа по созданию единой платёжной системы, позволяющей объединить в себе карты действующих локальных платёжных систем, расширить территориальный и субъектный охват и реализовать технологический скачок в обеспечении рынка качественными услугами финансового посредничества. </w:t>
      </w:r>
    </w:p>
    <w:p w14:paraId="17C93E2D" w14:textId="1054BFED" w:rsidR="00C70B24" w:rsidRPr="00160362" w:rsidRDefault="00910EFC" w:rsidP="00C70B24">
      <w:pPr>
        <w:widowControl w:val="0"/>
        <w:tabs>
          <w:tab w:val="left" w:pos="426"/>
        </w:tabs>
        <w:spacing w:before="0" w:after="0" w:line="240" w:lineRule="auto"/>
        <w:ind w:firstLine="425"/>
        <w:jc w:val="both"/>
        <w:rPr>
          <w:rFonts w:ascii="Times New Roman" w:hAnsi="Times New Roman" w:cs="Times New Roman"/>
          <w:color w:val="000000" w:themeColor="text1"/>
          <w:sz w:val="24"/>
          <w:szCs w:val="24"/>
        </w:rPr>
      </w:pPr>
      <w:r w:rsidRPr="00160362">
        <w:rPr>
          <w:rFonts w:ascii="Times New Roman" w:hAnsi="Times New Roman" w:cs="Times New Roman"/>
          <w:color w:val="000000" w:themeColor="text1"/>
          <w:sz w:val="24"/>
          <w:szCs w:val="24"/>
        </w:rPr>
        <w:t xml:space="preserve">Количество </w:t>
      </w:r>
      <w:r w:rsidR="00C70B24" w:rsidRPr="00160362">
        <w:rPr>
          <w:rFonts w:ascii="Times New Roman" w:hAnsi="Times New Roman" w:cs="Times New Roman"/>
          <w:color w:val="000000" w:themeColor="text1"/>
          <w:sz w:val="24"/>
          <w:szCs w:val="24"/>
        </w:rPr>
        <w:t xml:space="preserve">локальных платёжных карт, выпущенных приднестровскими банками, за </w:t>
      </w:r>
      <w:r w:rsidR="0097567A">
        <w:rPr>
          <w:rFonts w:ascii="Times New Roman" w:hAnsi="Times New Roman" w:cs="Times New Roman"/>
          <w:color w:val="000000" w:themeColor="text1"/>
          <w:sz w:val="24"/>
          <w:szCs w:val="24"/>
        </w:rPr>
        <w:t>отчётный период</w:t>
      </w:r>
      <w:r w:rsidR="00C70B24" w:rsidRPr="00160362">
        <w:rPr>
          <w:rFonts w:ascii="Times New Roman" w:hAnsi="Times New Roman" w:cs="Times New Roman"/>
          <w:color w:val="000000" w:themeColor="text1"/>
          <w:sz w:val="24"/>
          <w:szCs w:val="24"/>
        </w:rPr>
        <w:t xml:space="preserve"> </w:t>
      </w:r>
      <w:r w:rsidR="00FD4B6D" w:rsidRPr="00160362">
        <w:rPr>
          <w:rFonts w:ascii="Times New Roman" w:hAnsi="Times New Roman" w:cs="Times New Roman"/>
          <w:color w:val="000000" w:themeColor="text1"/>
          <w:sz w:val="24"/>
          <w:szCs w:val="24"/>
        </w:rPr>
        <w:t xml:space="preserve">увеличилось </w:t>
      </w:r>
      <w:r w:rsidR="00C70B24" w:rsidRPr="00160362">
        <w:rPr>
          <w:rFonts w:ascii="Times New Roman" w:hAnsi="Times New Roman" w:cs="Times New Roman"/>
          <w:color w:val="000000" w:themeColor="text1"/>
          <w:sz w:val="24"/>
          <w:szCs w:val="24"/>
        </w:rPr>
        <w:t>на 14,2%, до 288 464 ед., из которых</w:t>
      </w:r>
      <w:r>
        <w:rPr>
          <w:rFonts w:ascii="Times New Roman" w:hAnsi="Times New Roman" w:cs="Times New Roman"/>
          <w:color w:val="000000" w:themeColor="text1"/>
          <w:sz w:val="24"/>
          <w:szCs w:val="24"/>
        </w:rPr>
        <w:t xml:space="preserve"> </w:t>
      </w:r>
      <w:r w:rsidR="00C70B24" w:rsidRPr="00160362">
        <w:rPr>
          <w:rFonts w:ascii="Times New Roman" w:hAnsi="Times New Roman" w:cs="Times New Roman"/>
          <w:color w:val="000000" w:themeColor="text1"/>
          <w:sz w:val="24"/>
          <w:szCs w:val="24"/>
        </w:rPr>
        <w:t xml:space="preserve">213 115 ед. являлись активными. </w:t>
      </w:r>
      <w:r w:rsidR="00C70B24" w:rsidRPr="00160362">
        <w:rPr>
          <w:rFonts w:ascii="Times New Roman" w:hAnsi="Times New Roman" w:cs="Times New Roman"/>
          <w:sz w:val="24"/>
          <w:szCs w:val="24"/>
        </w:rPr>
        <w:t xml:space="preserve">В связи с постепенным переходом ПС «Радуга» и «НПС» под стандарты единой платёжной системы, на начало 2021 года количество </w:t>
      </w:r>
      <w:r w:rsidR="00C70B24" w:rsidRPr="00433BAA">
        <w:rPr>
          <w:rFonts w:ascii="Times New Roman" w:hAnsi="Times New Roman" w:cs="Times New Roman"/>
          <w:sz w:val="24"/>
          <w:szCs w:val="24"/>
        </w:rPr>
        <w:t>карт</w:t>
      </w:r>
      <w:r w:rsidR="00D37076" w:rsidRPr="00433BAA">
        <w:rPr>
          <w:rFonts w:ascii="Times New Roman" w:hAnsi="Times New Roman" w:cs="Times New Roman"/>
          <w:sz w:val="24"/>
          <w:szCs w:val="24"/>
        </w:rPr>
        <w:t>, адаптирова</w:t>
      </w:r>
      <w:r w:rsidR="00F910C6">
        <w:rPr>
          <w:rFonts w:ascii="Times New Roman" w:hAnsi="Times New Roman" w:cs="Times New Roman"/>
          <w:sz w:val="24"/>
          <w:szCs w:val="24"/>
        </w:rPr>
        <w:t>н</w:t>
      </w:r>
      <w:r w:rsidR="00D37076" w:rsidRPr="00433BAA">
        <w:rPr>
          <w:rFonts w:ascii="Times New Roman" w:hAnsi="Times New Roman" w:cs="Times New Roman"/>
          <w:sz w:val="24"/>
          <w:szCs w:val="24"/>
        </w:rPr>
        <w:t>ных к работе в</w:t>
      </w:r>
      <w:r w:rsidR="00C70B24" w:rsidRPr="00433BAA">
        <w:rPr>
          <w:rFonts w:ascii="Times New Roman" w:hAnsi="Times New Roman" w:cs="Times New Roman"/>
          <w:sz w:val="24"/>
          <w:szCs w:val="24"/>
        </w:rPr>
        <w:t xml:space="preserve"> </w:t>
      </w:r>
      <w:r w:rsidR="00433BAA">
        <w:rPr>
          <w:rFonts w:ascii="Times New Roman" w:hAnsi="Times New Roman" w:cs="Times New Roman"/>
          <w:sz w:val="24"/>
          <w:szCs w:val="24"/>
        </w:rPr>
        <w:br/>
      </w:r>
      <w:r w:rsidR="00C70B24" w:rsidRPr="00433BAA">
        <w:rPr>
          <w:rFonts w:ascii="Times New Roman" w:hAnsi="Times New Roman" w:cs="Times New Roman"/>
          <w:sz w:val="24"/>
          <w:szCs w:val="24"/>
        </w:rPr>
        <w:t>ПС «КЛЕВЕР»</w:t>
      </w:r>
      <w:r w:rsidR="00D37076" w:rsidRPr="00433BAA">
        <w:rPr>
          <w:rFonts w:ascii="Times New Roman" w:hAnsi="Times New Roman" w:cs="Times New Roman"/>
          <w:sz w:val="24"/>
          <w:szCs w:val="24"/>
        </w:rPr>
        <w:t>,</w:t>
      </w:r>
      <w:r w:rsidR="00C70B24" w:rsidRPr="00433BAA">
        <w:rPr>
          <w:rFonts w:ascii="Times New Roman" w:hAnsi="Times New Roman" w:cs="Times New Roman"/>
          <w:sz w:val="24"/>
          <w:szCs w:val="24"/>
        </w:rPr>
        <w:t xml:space="preserve"> составило 215 022 ед., «НПС» – 73 442 ед</w:t>
      </w:r>
      <w:r w:rsidR="00C70B24" w:rsidRPr="00160362">
        <w:rPr>
          <w:rFonts w:ascii="Times New Roman" w:hAnsi="Times New Roman" w:cs="Times New Roman"/>
          <w:sz w:val="24"/>
          <w:szCs w:val="24"/>
        </w:rPr>
        <w:t>. Наибольшую долю в общей структуре выпущенных карт занимают расчётные (дебетовые) карты – 81,4%, или 234 908 шт., при этом число кредитных карт составило 53 556 ед. Охват населения республики локальными платёжными картами внутренних систем составил 61,9% (годом ранее – 54,3</w:t>
      </w:r>
      <w:r w:rsidR="00781F02" w:rsidRPr="00160362">
        <w:rPr>
          <w:rFonts w:ascii="Times New Roman" w:hAnsi="Times New Roman" w:cs="Times New Roman"/>
          <w:color w:val="000000" w:themeColor="text1"/>
          <w:sz w:val="24"/>
          <w:szCs w:val="24"/>
        </w:rPr>
        <w:t>%).</w:t>
      </w:r>
    </w:p>
    <w:p w14:paraId="2FE667AA" w14:textId="05D86030" w:rsidR="0097567A" w:rsidRPr="0097567A" w:rsidRDefault="0097567A" w:rsidP="00910EFC">
      <w:pPr>
        <w:tabs>
          <w:tab w:val="left" w:pos="426"/>
        </w:tabs>
        <w:spacing w:before="0" w:after="0" w:line="240" w:lineRule="auto"/>
        <w:ind w:right="-2" w:firstLine="425"/>
        <w:jc w:val="both"/>
        <w:rPr>
          <w:rFonts w:ascii="Times New Roman" w:hAnsi="Times New Roman" w:cs="Times New Roman"/>
          <w:sz w:val="24"/>
          <w:szCs w:val="24"/>
        </w:rPr>
      </w:pPr>
      <w:r w:rsidRPr="0097567A">
        <w:rPr>
          <w:rFonts w:ascii="Times New Roman" w:hAnsi="Times New Roman" w:cs="Times New Roman"/>
          <w:sz w:val="24"/>
          <w:szCs w:val="24"/>
        </w:rPr>
        <w:t xml:space="preserve">На протяжении 2020 года платёжная инфраструктура характеризовалась существенным расширением. На 1 января 2021 года количество электронных терминалов (POS-терминалов) в пунктах оплаты товаров (работ, услуг) составило 4 076 ед. (+23,9% к уровню начала </w:t>
      </w:r>
      <w:r w:rsidR="00EF13D3">
        <w:rPr>
          <w:rFonts w:ascii="Times New Roman" w:hAnsi="Times New Roman" w:cs="Times New Roman"/>
          <w:sz w:val="24"/>
          <w:szCs w:val="24"/>
        </w:rPr>
        <w:br/>
      </w:r>
      <w:r w:rsidRPr="0097567A">
        <w:rPr>
          <w:rFonts w:ascii="Times New Roman" w:hAnsi="Times New Roman" w:cs="Times New Roman"/>
          <w:sz w:val="24"/>
          <w:szCs w:val="24"/>
        </w:rPr>
        <w:t>2020 года). Наибольшая доля терминалов расположена в организациях торговли и оказания услуг – 66,3%, или 2 702 ед. На страховые и кредитные организации при</w:t>
      </w:r>
      <w:r w:rsidR="00FD4B6D">
        <w:rPr>
          <w:rFonts w:ascii="Times New Roman" w:hAnsi="Times New Roman" w:cs="Times New Roman"/>
          <w:sz w:val="24"/>
          <w:szCs w:val="24"/>
        </w:rPr>
        <w:t>ш</w:t>
      </w:r>
      <w:r w:rsidRPr="0097567A">
        <w:rPr>
          <w:rFonts w:ascii="Times New Roman" w:hAnsi="Times New Roman" w:cs="Times New Roman"/>
          <w:sz w:val="24"/>
          <w:szCs w:val="24"/>
        </w:rPr>
        <w:t>лось 14,2% установленных POS-терминалов, или 579 ед., на аптеки и организации здравоохранения – 14,1%, или 574 ед. Количество POS-терминалов в организациях общественного питания составило 124 ед. (3,0% в общей структуре).</w:t>
      </w:r>
      <w:r w:rsidR="00910EFC">
        <w:rPr>
          <w:rFonts w:ascii="Times New Roman" w:hAnsi="Times New Roman" w:cs="Times New Roman"/>
          <w:sz w:val="24"/>
          <w:szCs w:val="24"/>
        </w:rPr>
        <w:t xml:space="preserve"> В целом з</w:t>
      </w:r>
      <w:r w:rsidR="00910EFC" w:rsidRPr="006C5DD8">
        <w:rPr>
          <w:rFonts w:ascii="Times New Roman" w:hAnsi="Times New Roman" w:cs="Times New Roman"/>
          <w:sz w:val="24"/>
          <w:szCs w:val="24"/>
        </w:rPr>
        <w:t xml:space="preserve">а 2020 год посредством электронных </w:t>
      </w:r>
      <w:r w:rsidR="00910EFC" w:rsidRPr="006C5DD8">
        <w:rPr>
          <w:rFonts w:ascii="Times New Roman" w:hAnsi="Times New Roman" w:cs="Times New Roman"/>
          <w:sz w:val="24"/>
          <w:szCs w:val="24"/>
          <w:lang w:val="en-US"/>
        </w:rPr>
        <w:lastRenderedPageBreak/>
        <w:t>POS</w:t>
      </w:r>
      <w:r w:rsidR="00910EFC" w:rsidRPr="006C5DD8">
        <w:rPr>
          <w:rFonts w:ascii="Times New Roman" w:hAnsi="Times New Roman" w:cs="Times New Roman"/>
          <w:sz w:val="24"/>
          <w:szCs w:val="24"/>
        </w:rPr>
        <w:t>-терминалов было осуществлено 14 384,5 тыс. операций, что в денежном выражении составило 5 811,8 млн руб.</w:t>
      </w:r>
      <w:r w:rsidR="00D37076">
        <w:rPr>
          <w:rFonts w:ascii="Times New Roman" w:hAnsi="Times New Roman" w:cs="Times New Roman"/>
          <w:sz w:val="24"/>
          <w:szCs w:val="24"/>
        </w:rPr>
        <w:t xml:space="preserve"> </w:t>
      </w:r>
    </w:p>
    <w:p w14:paraId="67EADDFB" w14:textId="6D4ED920" w:rsidR="006C5DD8" w:rsidRDefault="006C5DD8" w:rsidP="00910EFC">
      <w:pPr>
        <w:tabs>
          <w:tab w:val="left" w:pos="426"/>
        </w:tabs>
        <w:spacing w:before="0" w:after="0" w:line="240" w:lineRule="auto"/>
        <w:ind w:right="-2" w:firstLine="425"/>
        <w:jc w:val="both"/>
        <w:rPr>
          <w:rFonts w:ascii="Times New Roman" w:hAnsi="Times New Roman" w:cs="Times New Roman"/>
          <w:sz w:val="24"/>
          <w:szCs w:val="24"/>
        </w:rPr>
      </w:pPr>
      <w:r w:rsidRPr="0097567A">
        <w:rPr>
          <w:rFonts w:ascii="Times New Roman" w:hAnsi="Times New Roman" w:cs="Times New Roman"/>
          <w:sz w:val="24"/>
          <w:szCs w:val="24"/>
        </w:rPr>
        <w:t xml:space="preserve">Число </w:t>
      </w:r>
      <w:r w:rsidR="0097567A" w:rsidRPr="0097567A">
        <w:rPr>
          <w:rFonts w:ascii="Times New Roman" w:hAnsi="Times New Roman" w:cs="Times New Roman"/>
          <w:sz w:val="24"/>
          <w:szCs w:val="24"/>
        </w:rPr>
        <w:t xml:space="preserve">банкоматов и платёжных терминалов увеличилось на 4,0%, до 471 ед. </w:t>
      </w:r>
      <w:r w:rsidR="00910EFC">
        <w:rPr>
          <w:rFonts w:ascii="Times New Roman" w:hAnsi="Times New Roman" w:cs="Times New Roman"/>
          <w:sz w:val="24"/>
          <w:szCs w:val="24"/>
        </w:rPr>
        <w:t>С их</w:t>
      </w:r>
      <w:r w:rsidR="00910EFC" w:rsidRPr="006C5DD8">
        <w:rPr>
          <w:rFonts w:ascii="Times New Roman" w:hAnsi="Times New Roman" w:cs="Times New Roman"/>
          <w:sz w:val="24"/>
          <w:szCs w:val="24"/>
        </w:rPr>
        <w:t xml:space="preserve"> помощ</w:t>
      </w:r>
      <w:r w:rsidR="00910EFC">
        <w:rPr>
          <w:rFonts w:ascii="Times New Roman" w:hAnsi="Times New Roman" w:cs="Times New Roman"/>
          <w:sz w:val="24"/>
          <w:szCs w:val="24"/>
        </w:rPr>
        <w:t>ью</w:t>
      </w:r>
      <w:r w:rsidR="00910EFC" w:rsidRPr="006C5DD8">
        <w:rPr>
          <w:rFonts w:ascii="Times New Roman" w:hAnsi="Times New Roman" w:cs="Times New Roman"/>
          <w:sz w:val="24"/>
          <w:szCs w:val="24"/>
        </w:rPr>
        <w:t xml:space="preserve"> было проведено 5 360,7 тыс. операций на общую сумму 3 352,7 млн руб.</w:t>
      </w:r>
    </w:p>
    <w:p w14:paraId="5EE6857B" w14:textId="77777777" w:rsidR="006C5DD8" w:rsidRPr="006C5DD8" w:rsidRDefault="006C5DD8" w:rsidP="00910EFC">
      <w:pPr>
        <w:tabs>
          <w:tab w:val="left" w:pos="426"/>
        </w:tabs>
        <w:spacing w:before="0" w:after="0" w:line="240" w:lineRule="auto"/>
        <w:ind w:right="-2" w:firstLine="425"/>
        <w:jc w:val="both"/>
        <w:rPr>
          <w:rFonts w:ascii="Times New Roman" w:hAnsi="Times New Roman" w:cs="Times New Roman"/>
          <w:sz w:val="24"/>
          <w:szCs w:val="24"/>
        </w:rPr>
      </w:pPr>
      <w:r w:rsidRPr="006C5DD8">
        <w:rPr>
          <w:rFonts w:ascii="Times New Roman" w:hAnsi="Times New Roman" w:cs="Times New Roman"/>
          <w:sz w:val="24"/>
          <w:szCs w:val="24"/>
        </w:rPr>
        <w:t>На начало 2021 года рассчитаться безналичным способом можно в 3 491 торговой точке. Кроме терминального оборудования, в 2 296 торговых точках по всей республике имеется возможность расплатиться за покупки при помощи QR-кода.</w:t>
      </w:r>
    </w:p>
    <w:p w14:paraId="14DD3254" w14:textId="4637370F" w:rsidR="006C5DD8" w:rsidRDefault="006C5DD8" w:rsidP="00910EFC">
      <w:pPr>
        <w:widowControl w:val="0"/>
        <w:tabs>
          <w:tab w:val="left" w:pos="426"/>
        </w:tabs>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Активными темпами развиваются услуги дистанционного банковского обслуживания </w:t>
      </w:r>
      <w:r w:rsidR="00FD4B6D">
        <w:rPr>
          <w:rFonts w:ascii="Times New Roman" w:hAnsi="Times New Roman" w:cs="Times New Roman"/>
          <w:sz w:val="24"/>
          <w:szCs w:val="24"/>
        </w:rPr>
        <w:t>для</w:t>
      </w:r>
      <w:r>
        <w:rPr>
          <w:rFonts w:ascii="Times New Roman" w:hAnsi="Times New Roman" w:cs="Times New Roman"/>
          <w:sz w:val="24"/>
          <w:szCs w:val="24"/>
        </w:rPr>
        <w:t xml:space="preserve"> населения.</w:t>
      </w:r>
      <w:r w:rsidRPr="006C5DD8">
        <w:rPr>
          <w:rFonts w:ascii="Times New Roman" w:hAnsi="Times New Roman" w:cs="Times New Roman"/>
          <w:sz w:val="24"/>
          <w:szCs w:val="24"/>
        </w:rPr>
        <w:t xml:space="preserve"> По состоянию на 01.01.2021 систем</w:t>
      </w:r>
      <w:r>
        <w:rPr>
          <w:rFonts w:ascii="Times New Roman" w:hAnsi="Times New Roman" w:cs="Times New Roman"/>
          <w:sz w:val="24"/>
          <w:szCs w:val="24"/>
        </w:rPr>
        <w:t>ой</w:t>
      </w:r>
      <w:r w:rsidRPr="006C5DD8">
        <w:rPr>
          <w:rFonts w:ascii="Times New Roman" w:hAnsi="Times New Roman" w:cs="Times New Roman"/>
          <w:sz w:val="24"/>
          <w:szCs w:val="24"/>
        </w:rPr>
        <w:t xml:space="preserve"> «интернет-банк» пользовались </w:t>
      </w:r>
      <w:r>
        <w:rPr>
          <w:rFonts w:ascii="Times New Roman" w:hAnsi="Times New Roman" w:cs="Times New Roman"/>
          <w:sz w:val="24"/>
          <w:szCs w:val="24"/>
        </w:rPr>
        <w:br/>
      </w:r>
      <w:r w:rsidRPr="006C5DD8">
        <w:rPr>
          <w:rFonts w:ascii="Times New Roman" w:hAnsi="Times New Roman" w:cs="Times New Roman"/>
          <w:sz w:val="24"/>
          <w:szCs w:val="24"/>
        </w:rPr>
        <w:t xml:space="preserve">330 680 частных клиентов кредитных организаций (с учётом наличия возможности обслуживания одновременно в нескольких коммерческих банках). Из них 47,7%, или </w:t>
      </w:r>
      <w:r w:rsidR="00B7692C">
        <w:rPr>
          <w:rFonts w:ascii="Times New Roman" w:hAnsi="Times New Roman" w:cs="Times New Roman"/>
          <w:sz w:val="24"/>
          <w:szCs w:val="24"/>
        </w:rPr>
        <w:br/>
      </w:r>
      <w:r w:rsidRPr="006C5DD8">
        <w:rPr>
          <w:rFonts w:ascii="Times New Roman" w:hAnsi="Times New Roman" w:cs="Times New Roman"/>
          <w:sz w:val="24"/>
          <w:szCs w:val="24"/>
        </w:rPr>
        <w:t>157 751 человек, имеют доступ к приложению «</w:t>
      </w:r>
      <w:r w:rsidR="00FD4B6D" w:rsidRPr="006C5DD8">
        <w:rPr>
          <w:rFonts w:ascii="Times New Roman" w:hAnsi="Times New Roman" w:cs="Times New Roman"/>
          <w:sz w:val="24"/>
          <w:szCs w:val="24"/>
        </w:rPr>
        <w:t xml:space="preserve">Мобильный </w:t>
      </w:r>
      <w:r w:rsidRPr="006C5DD8">
        <w:rPr>
          <w:rFonts w:ascii="Times New Roman" w:hAnsi="Times New Roman" w:cs="Times New Roman"/>
          <w:sz w:val="24"/>
          <w:szCs w:val="24"/>
        </w:rPr>
        <w:t>платёж», а активно им пользуются 101 779 человек.</w:t>
      </w:r>
      <w:r w:rsidR="00910EFC">
        <w:rPr>
          <w:rFonts w:ascii="Times New Roman" w:hAnsi="Times New Roman" w:cs="Times New Roman"/>
          <w:sz w:val="24"/>
          <w:szCs w:val="24"/>
        </w:rPr>
        <w:t xml:space="preserve"> </w:t>
      </w:r>
      <w:r w:rsidR="00910EFC" w:rsidRPr="006C5DD8">
        <w:rPr>
          <w:rFonts w:ascii="Times New Roman" w:hAnsi="Times New Roman" w:cs="Times New Roman"/>
          <w:sz w:val="24"/>
          <w:szCs w:val="24"/>
        </w:rPr>
        <w:t>Количество безналичных платежей, совершённых с использованием услуги «</w:t>
      </w:r>
      <w:r w:rsidR="00FD4B6D" w:rsidRPr="006C5DD8">
        <w:rPr>
          <w:rFonts w:ascii="Times New Roman" w:hAnsi="Times New Roman" w:cs="Times New Roman"/>
          <w:sz w:val="24"/>
          <w:szCs w:val="24"/>
        </w:rPr>
        <w:t xml:space="preserve">мобильный </w:t>
      </w:r>
      <w:r w:rsidR="00910EFC" w:rsidRPr="006C5DD8">
        <w:rPr>
          <w:rFonts w:ascii="Times New Roman" w:hAnsi="Times New Roman" w:cs="Times New Roman"/>
          <w:sz w:val="24"/>
          <w:szCs w:val="24"/>
        </w:rPr>
        <w:t>платёж», составило 605,6 тыс. ед., а их сумма – 93,6 млн руб.</w:t>
      </w:r>
      <w:r w:rsidR="00D37076">
        <w:rPr>
          <w:rFonts w:ascii="Times New Roman" w:hAnsi="Times New Roman" w:cs="Times New Roman"/>
          <w:sz w:val="24"/>
          <w:szCs w:val="24"/>
        </w:rPr>
        <w:t xml:space="preserve"> </w:t>
      </w:r>
    </w:p>
    <w:p w14:paraId="7BF96D36" w14:textId="4F2E9B67" w:rsid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r w:rsidRPr="006C5DD8">
        <w:rPr>
          <w:rFonts w:ascii="Times New Roman" w:hAnsi="Times New Roman" w:cs="Times New Roman"/>
          <w:sz w:val="24"/>
          <w:szCs w:val="24"/>
        </w:rPr>
        <w:t>За отчётный год общее количество операций, осуществлённых при помощи платёжных карт, по безналичной оплате товаров (работ, услуг) и по снятию наличных денежных средств достигло 21 422,1 тыс. ед., что на 33,9% выше уровня 2019 года. Сумма задействованных в данных операциях денежных средств увеличилась на 35,7%, до 9 324,2 млн руб.</w:t>
      </w:r>
      <w:r w:rsidR="00D37076">
        <w:rPr>
          <w:rFonts w:ascii="Times New Roman" w:hAnsi="Times New Roman" w:cs="Times New Roman"/>
          <w:sz w:val="24"/>
          <w:szCs w:val="24"/>
        </w:rPr>
        <w:t xml:space="preserve"> </w:t>
      </w:r>
    </w:p>
    <w:p w14:paraId="33EC2670" w14:textId="5FF28B59"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r w:rsidRPr="006C5DD8">
        <w:rPr>
          <w:rFonts w:ascii="Times New Roman" w:hAnsi="Times New Roman" w:cs="Times New Roman"/>
          <w:sz w:val="24"/>
          <w:szCs w:val="24"/>
        </w:rPr>
        <w:t>Существенным ростом характеризовались операции по безналичной оплате товаров (работ, услуг) – по сравнению с 2019 годом на 40,3%, до 14 121,7 тыс. ед. Количество операций по снятию наличных денежных средств возросло на 22,9%, до 7 300,4 тыс. ед., из которых 5 235,8 тыс. операций (+31,7%) было осуществлено через банкоматы. Таким образом, в совокупной структуре соотношение данных транзакций составило 65,9 : 34,1 в пользу безналичной оплаты, причём её доля за ист</w:t>
      </w:r>
      <w:r w:rsidR="00BF3A99">
        <w:rPr>
          <w:rFonts w:ascii="Times New Roman" w:hAnsi="Times New Roman" w:cs="Times New Roman"/>
          <w:sz w:val="24"/>
          <w:szCs w:val="24"/>
        </w:rPr>
        <w:t>е</w:t>
      </w:r>
      <w:r w:rsidRPr="006C5DD8">
        <w:rPr>
          <w:rFonts w:ascii="Times New Roman" w:hAnsi="Times New Roman" w:cs="Times New Roman"/>
          <w:sz w:val="24"/>
          <w:szCs w:val="24"/>
        </w:rPr>
        <w:t xml:space="preserve">кший год возросла на 3,0 п.п. </w:t>
      </w:r>
    </w:p>
    <w:p w14:paraId="058B5448" w14:textId="11F08B3A"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r w:rsidRPr="006C5DD8">
        <w:rPr>
          <w:rFonts w:ascii="Times New Roman" w:hAnsi="Times New Roman" w:cs="Times New Roman"/>
          <w:sz w:val="24"/>
          <w:szCs w:val="24"/>
        </w:rPr>
        <w:t xml:space="preserve">В то же время в денежном </w:t>
      </w:r>
      <w:r w:rsidR="00FD4B6D">
        <w:rPr>
          <w:rFonts w:ascii="Times New Roman" w:hAnsi="Times New Roman" w:cs="Times New Roman"/>
          <w:sz w:val="24"/>
          <w:szCs w:val="24"/>
        </w:rPr>
        <w:t>эквиваленте</w:t>
      </w:r>
      <w:r w:rsidRPr="006C5DD8">
        <w:rPr>
          <w:rFonts w:ascii="Times New Roman" w:hAnsi="Times New Roman" w:cs="Times New Roman"/>
          <w:sz w:val="24"/>
          <w:szCs w:val="24"/>
        </w:rPr>
        <w:t xml:space="preserve"> сумма операций по снятию наличных средств по-прежнему занимала наибольшую долю в общем объёме (79,3%, -1,0 п.п.)</w:t>
      </w:r>
      <w:r w:rsidR="00FD4B6D">
        <w:rPr>
          <w:rFonts w:ascii="Times New Roman" w:hAnsi="Times New Roman" w:cs="Times New Roman"/>
          <w:sz w:val="24"/>
          <w:szCs w:val="24"/>
        </w:rPr>
        <w:t xml:space="preserve"> и</w:t>
      </w:r>
      <w:r w:rsidRPr="006C5DD8">
        <w:rPr>
          <w:rFonts w:ascii="Times New Roman" w:hAnsi="Times New Roman" w:cs="Times New Roman"/>
          <w:sz w:val="24"/>
          <w:szCs w:val="24"/>
        </w:rPr>
        <w:t xml:space="preserve"> в абсолютном выражении возросла на 33,9%, до 7 389,9 млн руб., из которых 3 333,9 млн руб. (+45,9%) б</w:t>
      </w:r>
      <w:r>
        <w:rPr>
          <w:rFonts w:ascii="Times New Roman" w:hAnsi="Times New Roman" w:cs="Times New Roman"/>
          <w:sz w:val="24"/>
          <w:szCs w:val="24"/>
        </w:rPr>
        <w:t>ыло снято при помощи банкоматов</w:t>
      </w:r>
      <w:r w:rsidRPr="006C5DD8">
        <w:rPr>
          <w:rFonts w:ascii="Times New Roman" w:hAnsi="Times New Roman" w:cs="Times New Roman"/>
          <w:sz w:val="24"/>
          <w:szCs w:val="24"/>
        </w:rPr>
        <w:t xml:space="preserve">. В среднем за одну транзакцию обналичивалось 1 012,4 руб. против 930,8 руб. в базисном году. </w:t>
      </w:r>
    </w:p>
    <w:p w14:paraId="546AA117" w14:textId="77777777"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r w:rsidRPr="006C5DD8">
        <w:rPr>
          <w:rFonts w:ascii="Times New Roman" w:hAnsi="Times New Roman" w:cs="Times New Roman"/>
          <w:sz w:val="24"/>
          <w:szCs w:val="24"/>
        </w:rPr>
        <w:t>Динамика операций по снятию денежных средств в течение года коррелировала с периодами ужесточения и смягчения карантинных ограничений. В апреле произошло сокращение их количества (на 26,7% к марту 2020 года), в последующие месяцы наблюдался восстановительный рост. Начиная с августа в среднем за одну транзакцию обналичивалось 1 083,5 руб. против 955,2 руб. в январе-июле 2020 года, достигнув максимального значения в декабре – 1 197,9 руб.</w:t>
      </w:r>
    </w:p>
    <w:p w14:paraId="0F1BAC11" w14:textId="2806D152"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r w:rsidRPr="006C5DD8">
        <w:rPr>
          <w:rFonts w:ascii="Times New Roman" w:hAnsi="Times New Roman" w:cs="Times New Roman"/>
          <w:sz w:val="24"/>
          <w:szCs w:val="24"/>
        </w:rPr>
        <w:t xml:space="preserve">С 2017 года продолжается стремительный рост доли безналичных расчётов при оплате товаров (работ, услуг), в 2020 году </w:t>
      </w:r>
      <w:r w:rsidR="00AA735A">
        <w:rPr>
          <w:rFonts w:ascii="Times New Roman" w:hAnsi="Times New Roman" w:cs="Times New Roman"/>
          <w:sz w:val="24"/>
          <w:szCs w:val="24"/>
        </w:rPr>
        <w:t xml:space="preserve">она была на </w:t>
      </w:r>
      <w:r w:rsidRPr="006C5DD8">
        <w:rPr>
          <w:rFonts w:ascii="Times New Roman" w:hAnsi="Times New Roman" w:cs="Times New Roman"/>
          <w:sz w:val="24"/>
          <w:szCs w:val="24"/>
        </w:rPr>
        <w:t>6,5 п.п.</w:t>
      </w:r>
      <w:r w:rsidR="00AA735A">
        <w:rPr>
          <w:rFonts w:ascii="Times New Roman" w:hAnsi="Times New Roman" w:cs="Times New Roman"/>
          <w:sz w:val="24"/>
          <w:szCs w:val="24"/>
        </w:rPr>
        <w:t xml:space="preserve"> выше, чем в предыдущем, и</w:t>
      </w:r>
      <w:r w:rsidRPr="006C5DD8">
        <w:rPr>
          <w:rFonts w:ascii="Times New Roman" w:hAnsi="Times New Roman" w:cs="Times New Roman"/>
          <w:sz w:val="24"/>
          <w:szCs w:val="24"/>
        </w:rPr>
        <w:t xml:space="preserve"> </w:t>
      </w:r>
      <w:r w:rsidR="00433BAA">
        <w:rPr>
          <w:rFonts w:ascii="Times New Roman" w:hAnsi="Times New Roman" w:cs="Times New Roman"/>
          <w:sz w:val="24"/>
          <w:szCs w:val="24"/>
        </w:rPr>
        <w:t>состави</w:t>
      </w:r>
      <w:r w:rsidR="00AA735A">
        <w:rPr>
          <w:rFonts w:ascii="Times New Roman" w:hAnsi="Times New Roman" w:cs="Times New Roman"/>
          <w:sz w:val="24"/>
          <w:szCs w:val="24"/>
        </w:rPr>
        <w:t>ла</w:t>
      </w:r>
      <w:r w:rsidRPr="006C5DD8">
        <w:rPr>
          <w:rFonts w:ascii="Times New Roman" w:hAnsi="Times New Roman" w:cs="Times New Roman"/>
          <w:sz w:val="24"/>
          <w:szCs w:val="24"/>
        </w:rPr>
        <w:t xml:space="preserve"> 19,3%</w:t>
      </w:r>
      <w:r w:rsidR="00D37076">
        <w:rPr>
          <w:rFonts w:ascii="Times New Roman" w:hAnsi="Times New Roman" w:cs="Times New Roman"/>
          <w:sz w:val="24"/>
          <w:szCs w:val="24"/>
        </w:rPr>
        <w:t xml:space="preserve"> </w:t>
      </w:r>
      <w:r w:rsidRPr="006C5DD8">
        <w:rPr>
          <w:rFonts w:ascii="Times New Roman" w:hAnsi="Times New Roman" w:cs="Times New Roman"/>
          <w:sz w:val="24"/>
          <w:szCs w:val="24"/>
        </w:rPr>
        <w:t>к общему объёму реализации потребительских товаров и услуг</w:t>
      </w:r>
      <w:r w:rsidR="00FD4B6D">
        <w:rPr>
          <w:rFonts w:ascii="Times New Roman" w:hAnsi="Times New Roman" w:cs="Times New Roman"/>
          <w:sz w:val="24"/>
          <w:szCs w:val="24"/>
        </w:rPr>
        <w:t xml:space="preserve"> </w:t>
      </w:r>
      <w:r w:rsidR="00FD4B6D" w:rsidRPr="006C5DD8">
        <w:rPr>
          <w:rFonts w:ascii="Times New Roman" w:hAnsi="Times New Roman" w:cs="Times New Roman"/>
          <w:sz w:val="24"/>
          <w:szCs w:val="24"/>
        </w:rPr>
        <w:t>(рис. 1)</w:t>
      </w:r>
      <w:r w:rsidRPr="006C5DD8">
        <w:rPr>
          <w:rFonts w:ascii="Times New Roman" w:hAnsi="Times New Roman" w:cs="Times New Roman"/>
          <w:sz w:val="24"/>
          <w:szCs w:val="24"/>
        </w:rPr>
        <w:t xml:space="preserve">. Прежде всего основными факторами увеличения использования платёжных карт в расчётных операциях выступили проводимые мероприятия по повышению финансовой доступности на всей территории республики, а также рост предпочтения </w:t>
      </w:r>
      <w:r w:rsidR="00AA735A">
        <w:rPr>
          <w:rFonts w:ascii="Times New Roman" w:hAnsi="Times New Roman" w:cs="Times New Roman"/>
          <w:sz w:val="24"/>
          <w:szCs w:val="24"/>
        </w:rPr>
        <w:t xml:space="preserve">граждан и бизнеса </w:t>
      </w:r>
      <w:r w:rsidRPr="006C5DD8">
        <w:rPr>
          <w:rFonts w:ascii="Times New Roman" w:hAnsi="Times New Roman" w:cs="Times New Roman"/>
          <w:sz w:val="24"/>
          <w:szCs w:val="24"/>
        </w:rPr>
        <w:t>при совершении покупок в условиях ухудшения эпидемиологической обстановки</w:t>
      </w:r>
      <w:r w:rsidR="00AA735A" w:rsidRPr="00AA735A">
        <w:rPr>
          <w:rFonts w:ascii="Times New Roman" w:hAnsi="Times New Roman" w:cs="Times New Roman"/>
          <w:sz w:val="24"/>
          <w:szCs w:val="24"/>
        </w:rPr>
        <w:t xml:space="preserve"> </w:t>
      </w:r>
      <w:r w:rsidR="00AA735A">
        <w:rPr>
          <w:rFonts w:ascii="Times New Roman" w:hAnsi="Times New Roman" w:cs="Times New Roman"/>
          <w:sz w:val="24"/>
          <w:szCs w:val="24"/>
        </w:rPr>
        <w:t xml:space="preserve">использовать </w:t>
      </w:r>
      <w:r w:rsidR="00AA735A" w:rsidRPr="006C5DD8">
        <w:rPr>
          <w:rFonts w:ascii="Times New Roman" w:hAnsi="Times New Roman" w:cs="Times New Roman"/>
          <w:sz w:val="24"/>
          <w:szCs w:val="24"/>
        </w:rPr>
        <w:t>безналичны</w:t>
      </w:r>
      <w:r w:rsidR="00AA735A">
        <w:rPr>
          <w:rFonts w:ascii="Times New Roman" w:hAnsi="Times New Roman" w:cs="Times New Roman"/>
          <w:sz w:val="24"/>
          <w:szCs w:val="24"/>
        </w:rPr>
        <w:t>е</w:t>
      </w:r>
      <w:r w:rsidR="00AA735A" w:rsidRPr="006C5DD8">
        <w:rPr>
          <w:rFonts w:ascii="Times New Roman" w:hAnsi="Times New Roman" w:cs="Times New Roman"/>
          <w:sz w:val="24"/>
          <w:szCs w:val="24"/>
        </w:rPr>
        <w:t xml:space="preserve"> </w:t>
      </w:r>
      <w:r w:rsidR="00AA735A">
        <w:rPr>
          <w:rFonts w:ascii="Times New Roman" w:hAnsi="Times New Roman" w:cs="Times New Roman"/>
          <w:sz w:val="24"/>
          <w:szCs w:val="24"/>
        </w:rPr>
        <w:t>способы оплаты</w:t>
      </w:r>
      <w:r w:rsidRPr="006C5DD8">
        <w:rPr>
          <w:rFonts w:ascii="Times New Roman" w:hAnsi="Times New Roman" w:cs="Times New Roman"/>
          <w:sz w:val="24"/>
          <w:szCs w:val="24"/>
        </w:rPr>
        <w:t>.</w:t>
      </w:r>
      <w:r w:rsidR="00433BAA" w:rsidRPr="00433BAA">
        <w:rPr>
          <w:rFonts w:ascii="Times New Roman" w:hAnsi="Times New Roman" w:cs="Times New Roman"/>
          <w:sz w:val="24"/>
          <w:szCs w:val="24"/>
        </w:rPr>
        <w:t xml:space="preserve"> </w:t>
      </w:r>
      <w:r w:rsidR="00433BAA" w:rsidRPr="006C5DD8">
        <w:rPr>
          <w:rFonts w:ascii="Times New Roman" w:hAnsi="Times New Roman" w:cs="Times New Roman"/>
          <w:sz w:val="24"/>
          <w:szCs w:val="24"/>
        </w:rPr>
        <w:t>Объём денежных средств, задействованных в операциях по оплате товаров (работ, услуг), возрос на 43,1%, до 1 934,3 млн руб. В среднем стоимость одной покупки составила</w:t>
      </w:r>
      <w:r w:rsidR="00433BAA">
        <w:rPr>
          <w:rFonts w:ascii="Times New Roman" w:hAnsi="Times New Roman" w:cs="Times New Roman"/>
          <w:sz w:val="24"/>
          <w:szCs w:val="24"/>
        </w:rPr>
        <w:t xml:space="preserve"> </w:t>
      </w:r>
      <w:r w:rsidR="00433BAA" w:rsidRPr="006C5DD8">
        <w:rPr>
          <w:rFonts w:ascii="Times New Roman" w:hAnsi="Times New Roman" w:cs="Times New Roman"/>
          <w:sz w:val="24"/>
          <w:szCs w:val="24"/>
        </w:rPr>
        <w:t xml:space="preserve">137,0 руб. </w:t>
      </w:r>
      <w:r w:rsidR="00AA735A">
        <w:rPr>
          <w:rFonts w:ascii="Times New Roman" w:hAnsi="Times New Roman" w:cs="Times New Roman"/>
          <w:sz w:val="24"/>
          <w:szCs w:val="24"/>
        </w:rPr>
        <w:t>(</w:t>
      </w:r>
      <w:r w:rsidR="00433BAA" w:rsidRPr="006C5DD8">
        <w:rPr>
          <w:rFonts w:ascii="Times New Roman" w:hAnsi="Times New Roman" w:cs="Times New Roman"/>
          <w:sz w:val="24"/>
          <w:szCs w:val="24"/>
        </w:rPr>
        <w:t>134,3 руб. в 2019 году).</w:t>
      </w:r>
    </w:p>
    <w:p w14:paraId="33A4B4C2" w14:textId="77777777"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r w:rsidRPr="00AE1D04">
        <w:rPr>
          <w:rFonts w:ascii="Times New Roman" w:hAnsi="Times New Roman" w:cs="Times New Roman"/>
          <w:noProof/>
          <w:sz w:val="22"/>
          <w:szCs w:val="22"/>
        </w:rPr>
        <w:drawing>
          <wp:anchor distT="0" distB="0" distL="114300" distR="114300" simplePos="0" relativeHeight="251663360" behindDoc="0" locked="0" layoutInCell="1" allowOverlap="1" wp14:anchorId="0A4E41DE" wp14:editId="17202B1A">
            <wp:simplePos x="0" y="0"/>
            <wp:positionH relativeFrom="margin">
              <wp:posOffset>-47092</wp:posOffset>
            </wp:positionH>
            <wp:positionV relativeFrom="paragraph">
              <wp:posOffset>1321</wp:posOffset>
            </wp:positionV>
            <wp:extent cx="6228792" cy="1219200"/>
            <wp:effectExtent l="0" t="0" r="635" b="0"/>
            <wp:wrapNone/>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0B7533D" w14:textId="77777777"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p>
    <w:p w14:paraId="2401200E" w14:textId="77777777"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p>
    <w:p w14:paraId="5A378B35" w14:textId="77777777"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p>
    <w:p w14:paraId="1FE44D18" w14:textId="77777777" w:rsidR="006C5DD8" w:rsidRPr="006C5DD8" w:rsidRDefault="006C5DD8" w:rsidP="006C5DD8">
      <w:pPr>
        <w:widowControl w:val="0"/>
        <w:tabs>
          <w:tab w:val="left" w:pos="426"/>
        </w:tabs>
        <w:spacing w:before="0" w:after="0" w:line="240" w:lineRule="auto"/>
        <w:ind w:firstLine="425"/>
        <w:jc w:val="both"/>
        <w:rPr>
          <w:rFonts w:ascii="Times New Roman" w:hAnsi="Times New Roman" w:cs="Times New Roman"/>
          <w:sz w:val="24"/>
          <w:szCs w:val="24"/>
        </w:rPr>
      </w:pPr>
    </w:p>
    <w:p w14:paraId="0539F62F" w14:textId="490C7A5F" w:rsidR="006C5DD8" w:rsidRPr="006C5DD8" w:rsidRDefault="006C5DD8" w:rsidP="00EF13D3">
      <w:pPr>
        <w:widowControl w:val="0"/>
        <w:tabs>
          <w:tab w:val="left" w:pos="426"/>
        </w:tabs>
        <w:spacing w:before="120" w:after="0" w:line="240" w:lineRule="auto"/>
        <w:ind w:firstLine="425"/>
        <w:jc w:val="center"/>
        <w:rPr>
          <w:rFonts w:ascii="Times New Roman" w:hAnsi="Times New Roman" w:cs="Times New Roman"/>
          <w:sz w:val="24"/>
          <w:szCs w:val="24"/>
        </w:rPr>
      </w:pPr>
      <w:r w:rsidRPr="006C5DD8">
        <w:rPr>
          <w:rFonts w:ascii="Times New Roman" w:hAnsi="Times New Roman" w:cs="Times New Roman"/>
          <w:b/>
          <w:i/>
          <w:sz w:val="24"/>
          <w:szCs w:val="24"/>
        </w:rPr>
        <w:t>Рис. 1. Доля операций по оплате товаров (работ, услуг) с использованием банковских карт</w:t>
      </w:r>
      <w:r>
        <w:rPr>
          <w:rFonts w:ascii="Times New Roman" w:hAnsi="Times New Roman" w:cs="Times New Roman"/>
          <w:b/>
          <w:i/>
          <w:sz w:val="24"/>
          <w:szCs w:val="24"/>
        </w:rPr>
        <w:t xml:space="preserve"> </w:t>
      </w:r>
      <w:r w:rsidRPr="006C5DD8">
        <w:rPr>
          <w:rFonts w:ascii="Times New Roman" w:hAnsi="Times New Roman" w:cs="Times New Roman"/>
          <w:b/>
          <w:i/>
          <w:sz w:val="24"/>
          <w:szCs w:val="24"/>
        </w:rPr>
        <w:t>к объёму потребительского рынка, %</w:t>
      </w:r>
    </w:p>
    <w:p w14:paraId="170C0C1A" w14:textId="5CCACD06" w:rsidR="002454B7" w:rsidRPr="00160362" w:rsidRDefault="002454B7" w:rsidP="00EF13D3">
      <w:pPr>
        <w:spacing w:before="120" w:after="0" w:line="240" w:lineRule="auto"/>
        <w:ind w:firstLine="425"/>
        <w:jc w:val="both"/>
        <w:rPr>
          <w:rFonts w:ascii="Times New Roman" w:hAnsi="Times New Roman" w:cs="Times New Roman"/>
          <w:sz w:val="24"/>
          <w:szCs w:val="24"/>
        </w:rPr>
      </w:pPr>
      <w:r w:rsidRPr="00160362">
        <w:rPr>
          <w:rFonts w:ascii="Times New Roman" w:hAnsi="Times New Roman" w:cs="Times New Roman"/>
          <w:sz w:val="24"/>
          <w:szCs w:val="24"/>
        </w:rPr>
        <w:t xml:space="preserve">Помимо банковских карт безналичная сфера денежных расчётов и платежей на территории республики представлена восемью системами денежных переводов, пять из которых международные («Золотая корона», </w:t>
      </w:r>
      <w:r w:rsidRPr="00160362">
        <w:rPr>
          <w:rFonts w:ascii="Times New Roman" w:hAnsi="Times New Roman" w:cs="Times New Roman"/>
          <w:color w:val="000000"/>
          <w:sz w:val="24"/>
          <w:szCs w:val="24"/>
        </w:rPr>
        <w:t>Contact</w:t>
      </w:r>
      <w:r w:rsidR="00B7692C">
        <w:rPr>
          <w:rFonts w:ascii="Times New Roman" w:hAnsi="Times New Roman" w:cs="Times New Roman"/>
          <w:sz w:val="24"/>
          <w:szCs w:val="24"/>
        </w:rPr>
        <w:t xml:space="preserve">, Western Union, MoneyGram, </w:t>
      </w:r>
      <w:r w:rsidRPr="00160362">
        <w:rPr>
          <w:rFonts w:ascii="Times New Roman" w:hAnsi="Times New Roman" w:cs="Times New Roman"/>
          <w:sz w:val="24"/>
          <w:szCs w:val="24"/>
        </w:rPr>
        <w:t xml:space="preserve">«Юнистрим») и три системы, осуществляющие денежные переводы </w:t>
      </w:r>
      <w:r w:rsidR="007D5A8B">
        <w:rPr>
          <w:rFonts w:ascii="Times New Roman" w:hAnsi="Times New Roman" w:cs="Times New Roman"/>
          <w:sz w:val="24"/>
          <w:szCs w:val="24"/>
        </w:rPr>
        <w:t xml:space="preserve">только </w:t>
      </w:r>
      <w:r w:rsidRPr="00160362">
        <w:rPr>
          <w:rFonts w:ascii="Times New Roman" w:hAnsi="Times New Roman" w:cs="Times New Roman"/>
          <w:sz w:val="24"/>
          <w:szCs w:val="24"/>
        </w:rPr>
        <w:t xml:space="preserve">по республике («Переводы по Приднестровью», «Ракета» и «Мгновенные переводы»). </w:t>
      </w:r>
    </w:p>
    <w:p w14:paraId="6F0048E5" w14:textId="15847F62" w:rsidR="00B22F0B" w:rsidRDefault="002454B7" w:rsidP="002454B7">
      <w:pPr>
        <w:spacing w:before="0" w:after="0" w:line="240" w:lineRule="auto"/>
        <w:ind w:firstLine="426"/>
        <w:jc w:val="both"/>
        <w:rPr>
          <w:rFonts w:ascii="Times New Roman" w:hAnsi="Times New Roman" w:cs="Times New Roman"/>
          <w:color w:val="000000" w:themeColor="text1"/>
          <w:sz w:val="24"/>
          <w:szCs w:val="24"/>
        </w:rPr>
      </w:pPr>
      <w:r w:rsidRPr="00160362">
        <w:rPr>
          <w:rFonts w:ascii="Times New Roman" w:hAnsi="Times New Roman" w:cs="Times New Roman"/>
          <w:sz w:val="24"/>
          <w:szCs w:val="24"/>
        </w:rPr>
        <w:t>За 2020 год объём средств, поступивших в Приднестровье по системам международных де</w:t>
      </w:r>
      <w:r w:rsidR="00B22F0B">
        <w:rPr>
          <w:rFonts w:ascii="Times New Roman" w:hAnsi="Times New Roman" w:cs="Times New Roman"/>
          <w:sz w:val="24"/>
          <w:szCs w:val="24"/>
        </w:rPr>
        <w:t>нежных переводов, составил 128,9</w:t>
      </w:r>
      <w:r w:rsidRPr="00160362">
        <w:rPr>
          <w:rFonts w:ascii="Times New Roman" w:hAnsi="Times New Roman" w:cs="Times New Roman"/>
          <w:sz w:val="24"/>
          <w:szCs w:val="24"/>
        </w:rPr>
        <w:t xml:space="preserve"> млн</w:t>
      </w:r>
      <w:r w:rsidR="00B22F0B">
        <w:rPr>
          <w:rFonts w:ascii="Times New Roman" w:hAnsi="Times New Roman" w:cs="Times New Roman"/>
          <w:sz w:val="24"/>
          <w:szCs w:val="24"/>
        </w:rPr>
        <w:t xml:space="preserve"> долл.</w:t>
      </w:r>
      <w:r w:rsidRPr="00160362">
        <w:rPr>
          <w:rFonts w:ascii="Times New Roman" w:hAnsi="Times New Roman" w:cs="Times New Roman"/>
          <w:sz w:val="24"/>
          <w:szCs w:val="24"/>
        </w:rPr>
        <w:t xml:space="preserve"> против 104,1 млн </w:t>
      </w:r>
      <w:r w:rsidR="00B22F0B">
        <w:rPr>
          <w:rFonts w:ascii="Times New Roman" w:hAnsi="Times New Roman" w:cs="Times New Roman"/>
          <w:sz w:val="24"/>
          <w:szCs w:val="24"/>
        </w:rPr>
        <w:t>долл</w:t>
      </w:r>
      <w:r w:rsidRPr="00160362">
        <w:rPr>
          <w:rFonts w:ascii="Times New Roman" w:hAnsi="Times New Roman" w:cs="Times New Roman"/>
          <w:sz w:val="24"/>
          <w:szCs w:val="24"/>
        </w:rPr>
        <w:t>. в 2019 году</w:t>
      </w:r>
      <w:r w:rsidR="00613F25">
        <w:rPr>
          <w:rFonts w:ascii="Times New Roman" w:hAnsi="Times New Roman" w:cs="Times New Roman"/>
          <w:sz w:val="24"/>
          <w:szCs w:val="24"/>
        </w:rPr>
        <w:t xml:space="preserve"> (+23,8%)</w:t>
      </w:r>
      <w:r w:rsidRPr="00160362">
        <w:rPr>
          <w:rFonts w:ascii="Times New Roman" w:hAnsi="Times New Roman" w:cs="Times New Roman"/>
          <w:sz w:val="24"/>
          <w:szCs w:val="24"/>
        </w:rPr>
        <w:t xml:space="preserve">. Сумма средств, отправленных за границу, выросла на 22,4%, до 39,7 млн долл. в эквиваленте. В результате </w:t>
      </w:r>
      <w:r w:rsidR="00613F25">
        <w:rPr>
          <w:rFonts w:ascii="Times New Roman" w:hAnsi="Times New Roman" w:cs="Times New Roman"/>
          <w:sz w:val="24"/>
          <w:szCs w:val="24"/>
        </w:rPr>
        <w:t>чистый приток средств на территорию республики составил</w:t>
      </w:r>
      <w:r w:rsidR="007D5A8B">
        <w:rPr>
          <w:rFonts w:ascii="Times New Roman" w:hAnsi="Times New Roman" w:cs="Times New Roman"/>
          <w:sz w:val="24"/>
          <w:szCs w:val="24"/>
        </w:rPr>
        <w:t xml:space="preserve"> </w:t>
      </w:r>
      <w:r w:rsidRPr="00160362">
        <w:rPr>
          <w:rFonts w:ascii="Times New Roman" w:hAnsi="Times New Roman" w:cs="Times New Roman"/>
          <w:color w:val="000000" w:themeColor="text1"/>
          <w:sz w:val="24"/>
          <w:szCs w:val="24"/>
        </w:rPr>
        <w:t xml:space="preserve">89,2 млн долл., что на 24,5% превысило уровень 2019 года. </w:t>
      </w:r>
      <w:r w:rsidR="00B22F0B">
        <w:rPr>
          <w:rFonts w:ascii="Times New Roman" w:hAnsi="Times New Roman" w:cs="Times New Roman"/>
          <w:color w:val="000000" w:themeColor="text1"/>
          <w:sz w:val="24"/>
          <w:szCs w:val="24"/>
        </w:rPr>
        <w:t xml:space="preserve">Росту официального оборота </w:t>
      </w:r>
      <w:r w:rsidR="00613F25">
        <w:rPr>
          <w:rFonts w:ascii="Times New Roman" w:hAnsi="Times New Roman" w:cs="Times New Roman"/>
          <w:color w:val="000000" w:themeColor="text1"/>
          <w:sz w:val="24"/>
          <w:szCs w:val="24"/>
        </w:rPr>
        <w:t>переводов физических лиц</w:t>
      </w:r>
      <w:r w:rsidR="00B22F0B">
        <w:rPr>
          <w:rFonts w:ascii="Times New Roman" w:hAnsi="Times New Roman" w:cs="Times New Roman"/>
          <w:color w:val="000000" w:themeColor="text1"/>
          <w:sz w:val="24"/>
          <w:szCs w:val="24"/>
        </w:rPr>
        <w:t xml:space="preserve"> посредством данных систем способствовали ограничения, вводимые странами на передвижение граждан и транспортных средств в период пандемии. </w:t>
      </w:r>
    </w:p>
    <w:p w14:paraId="4438ED48" w14:textId="723DBD3E" w:rsidR="002454B7" w:rsidRPr="00160362" w:rsidRDefault="002454B7" w:rsidP="002454B7">
      <w:pPr>
        <w:spacing w:before="0" w:after="0" w:line="240" w:lineRule="auto"/>
        <w:ind w:firstLine="426"/>
        <w:jc w:val="both"/>
        <w:rPr>
          <w:rFonts w:ascii="Times New Roman" w:hAnsi="Times New Roman" w:cs="Times New Roman"/>
          <w:color w:val="000000" w:themeColor="text1"/>
          <w:sz w:val="24"/>
          <w:szCs w:val="24"/>
        </w:rPr>
      </w:pPr>
      <w:r w:rsidRPr="00160362">
        <w:rPr>
          <w:rFonts w:ascii="Times New Roman" w:hAnsi="Times New Roman" w:cs="Times New Roman"/>
          <w:color w:val="000000" w:themeColor="text1"/>
          <w:sz w:val="24"/>
          <w:szCs w:val="24"/>
        </w:rPr>
        <w:t xml:space="preserve">Основной страной, откуда поступают </w:t>
      </w:r>
      <w:r w:rsidR="00B22F0B">
        <w:rPr>
          <w:rFonts w:ascii="Times New Roman" w:hAnsi="Times New Roman" w:cs="Times New Roman"/>
          <w:color w:val="000000" w:themeColor="text1"/>
          <w:sz w:val="24"/>
          <w:szCs w:val="24"/>
        </w:rPr>
        <w:t xml:space="preserve">и </w:t>
      </w:r>
      <w:r w:rsidR="00B22F0B" w:rsidRPr="00160362">
        <w:rPr>
          <w:rFonts w:ascii="Times New Roman" w:hAnsi="Times New Roman" w:cs="Times New Roman"/>
          <w:color w:val="000000" w:themeColor="text1"/>
          <w:sz w:val="24"/>
          <w:szCs w:val="24"/>
        </w:rPr>
        <w:t xml:space="preserve">куда направляются </w:t>
      </w:r>
      <w:r w:rsidRPr="00160362">
        <w:rPr>
          <w:rFonts w:ascii="Times New Roman" w:hAnsi="Times New Roman" w:cs="Times New Roman"/>
          <w:color w:val="000000" w:themeColor="text1"/>
          <w:sz w:val="24"/>
          <w:szCs w:val="24"/>
        </w:rPr>
        <w:t>частные трансферты, является Российская Федерация (55,6% и 48,7% соответственно). В валютной структуре наибольший удельный вес приходится на доллар США – 51,5% и 73,2% соответственно во входящем и исходящем денежном потоке.</w:t>
      </w:r>
    </w:p>
    <w:p w14:paraId="4D440D98" w14:textId="56A37C15" w:rsidR="00604578" w:rsidRDefault="00C70B24" w:rsidP="00DD3E93">
      <w:pPr>
        <w:spacing w:before="0" w:after="0" w:line="240" w:lineRule="auto"/>
        <w:ind w:firstLine="426"/>
        <w:jc w:val="both"/>
        <w:rPr>
          <w:rFonts w:ascii="Times New Roman" w:hAnsi="Times New Roman" w:cs="Times New Roman"/>
          <w:sz w:val="24"/>
          <w:szCs w:val="24"/>
        </w:rPr>
      </w:pPr>
      <w:r w:rsidRPr="00160362">
        <w:rPr>
          <w:rFonts w:ascii="Times New Roman" w:hAnsi="Times New Roman" w:cs="Times New Roman"/>
          <w:color w:val="000000" w:themeColor="text1"/>
          <w:sz w:val="24"/>
          <w:szCs w:val="24"/>
        </w:rPr>
        <w:t>Кроме того, услуги по переводу денежных средств оказывает сеть почтовых отделений. За 2020 год через них было переведено 6,9 млн руб. (-4,1% к базисному году</w:t>
      </w:r>
      <w:r w:rsidRPr="00160362">
        <w:rPr>
          <w:rFonts w:ascii="Times New Roman" w:hAnsi="Times New Roman" w:cs="Times New Roman"/>
          <w:sz w:val="24"/>
          <w:szCs w:val="24"/>
        </w:rPr>
        <w:t xml:space="preserve">), из которых 56,7% (3,9 млн руб.) пришлось на операции внутри республики. Для отправки денежных средств от граждан было принято 3,6 млн руб. (-4,5%), из которых 2,4 млн руб. (-12,6%) пересылались по территории </w:t>
      </w:r>
      <w:r w:rsidRPr="00160362">
        <w:rPr>
          <w:rFonts w:ascii="Times New Roman" w:hAnsi="Times New Roman" w:cs="Times New Roman"/>
          <w:color w:val="000000" w:themeColor="text1"/>
          <w:sz w:val="24"/>
          <w:szCs w:val="24"/>
        </w:rPr>
        <w:t>Приднестровской Молдавской Республики</w:t>
      </w:r>
      <w:r w:rsidRPr="00160362">
        <w:rPr>
          <w:rFonts w:ascii="Times New Roman" w:hAnsi="Times New Roman" w:cs="Times New Roman"/>
          <w:sz w:val="24"/>
          <w:szCs w:val="24"/>
        </w:rPr>
        <w:t>. Объём выданных населению средств составил 3,3 млн руб. (-3,8%), из которых в рамках внутренних переводов – 1,5 млн руб. (-20,9%).</w:t>
      </w:r>
    </w:p>
    <w:p w14:paraId="6B5CAE79" w14:textId="77777777" w:rsidR="006C4B32" w:rsidRDefault="006C4B32" w:rsidP="00EF13D3">
      <w:pPr>
        <w:widowControl w:val="0"/>
        <w:spacing w:before="0" w:after="120"/>
        <w:ind w:firstLine="425"/>
        <w:jc w:val="center"/>
        <w:rPr>
          <w:b/>
          <w:bCs/>
          <w:noProof/>
          <w:sz w:val="28"/>
          <w:szCs w:val="28"/>
        </w:rPr>
      </w:pPr>
    </w:p>
    <w:p w14:paraId="6F3F0DDD" w14:textId="675D98DB" w:rsidR="00EF13D3" w:rsidRPr="00170B9B" w:rsidRDefault="00EF13D3" w:rsidP="00EF13D3">
      <w:pPr>
        <w:widowControl w:val="0"/>
        <w:spacing w:before="0" w:after="120"/>
        <w:ind w:firstLine="425"/>
        <w:jc w:val="center"/>
        <w:rPr>
          <w:b/>
          <w:bCs/>
          <w:noProof/>
          <w:sz w:val="28"/>
          <w:szCs w:val="28"/>
        </w:rPr>
      </w:pPr>
      <w:r w:rsidRPr="00170B9B">
        <w:rPr>
          <w:b/>
          <w:bCs/>
          <w:noProof/>
          <w:sz w:val="28"/>
          <w:szCs w:val="28"/>
        </w:rPr>
        <w:t>РАЗДЕЛ 2. ДЕЯТЕЛЬНОСТЬ ПРИДНЕСТРОВСКОГО РЕСПУБЛИКАНСКОГО БАНКА В 20</w:t>
      </w:r>
      <w:r>
        <w:rPr>
          <w:b/>
          <w:bCs/>
          <w:noProof/>
          <w:sz w:val="28"/>
          <w:szCs w:val="28"/>
        </w:rPr>
        <w:t>20</w:t>
      </w:r>
      <w:r w:rsidRPr="00170B9B">
        <w:rPr>
          <w:b/>
          <w:bCs/>
          <w:noProof/>
          <w:sz w:val="28"/>
          <w:szCs w:val="28"/>
        </w:rPr>
        <w:t xml:space="preserve"> ГОДУ</w:t>
      </w:r>
    </w:p>
    <w:p w14:paraId="6103D550" w14:textId="77777777" w:rsidR="00EF13D3" w:rsidRDefault="00EF13D3" w:rsidP="00EF13D3">
      <w:pPr>
        <w:spacing w:before="120" w:after="0" w:line="240" w:lineRule="auto"/>
        <w:ind w:firstLine="425"/>
        <w:jc w:val="both"/>
        <w:rPr>
          <w:rFonts w:ascii="Times New Roman" w:hAnsi="Times New Roman" w:cs="Times New Roman"/>
          <w:b/>
          <w:bCs/>
          <w:sz w:val="24"/>
          <w:szCs w:val="24"/>
        </w:rPr>
      </w:pPr>
    </w:p>
    <w:p w14:paraId="113EC7EF" w14:textId="77777777" w:rsidR="00EF13D3" w:rsidRPr="00170B9B" w:rsidRDefault="00EF13D3" w:rsidP="00822F2A">
      <w:pPr>
        <w:pStyle w:val="1"/>
        <w:widowControl w:val="0"/>
        <w:spacing w:before="0" w:line="240" w:lineRule="auto"/>
        <w:jc w:val="center"/>
        <w:rPr>
          <w:b/>
          <w:bCs/>
          <w:noProof/>
          <w:sz w:val="24"/>
          <w:szCs w:val="24"/>
        </w:rPr>
      </w:pPr>
      <w:r>
        <w:rPr>
          <w:b/>
          <w:bCs/>
          <w:noProof/>
          <w:sz w:val="24"/>
          <w:szCs w:val="24"/>
        </w:rPr>
        <w:t>2.1.</w:t>
      </w:r>
      <w:r w:rsidRPr="00170B9B">
        <w:rPr>
          <w:b/>
          <w:bCs/>
          <w:noProof/>
          <w:sz w:val="24"/>
          <w:szCs w:val="24"/>
        </w:rPr>
        <w:t xml:space="preserve"> ДЕНЕЖНО-КРЕДИТНАЯ ПОЛИТИКА</w:t>
      </w:r>
    </w:p>
    <w:p w14:paraId="3088D718" w14:textId="77777777" w:rsidR="00EF13D3" w:rsidRDefault="00EF13D3" w:rsidP="00EF13D3">
      <w:pPr>
        <w:spacing w:before="0" w:after="0" w:line="240" w:lineRule="auto"/>
        <w:ind w:firstLine="425"/>
        <w:jc w:val="both"/>
        <w:rPr>
          <w:rFonts w:ascii="Times New Roman" w:hAnsi="Times New Roman" w:cs="Times New Roman"/>
          <w:i/>
          <w:iCs/>
          <w:sz w:val="24"/>
          <w:szCs w:val="24"/>
        </w:rPr>
      </w:pPr>
    </w:p>
    <w:p w14:paraId="0CB08133" w14:textId="77777777" w:rsidR="00EF13D3" w:rsidRPr="006728F7" w:rsidRDefault="00EF13D3" w:rsidP="00822F2A">
      <w:pPr>
        <w:pStyle w:val="2"/>
        <w:jc w:val="center"/>
        <w:rPr>
          <w:b/>
          <w:noProof/>
        </w:rPr>
      </w:pPr>
      <w:r w:rsidRPr="006728F7">
        <w:rPr>
          <w:b/>
          <w:noProof/>
        </w:rPr>
        <w:t>Цели и результаты денежно-кредитной политики</w:t>
      </w:r>
    </w:p>
    <w:p w14:paraId="6A592DF5"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7A450530" w14:textId="77777777" w:rsidR="00EF13D3" w:rsidRPr="006A018A" w:rsidRDefault="00EF13D3" w:rsidP="00EF13D3">
      <w:pPr>
        <w:spacing w:before="0" w:after="0" w:line="240" w:lineRule="auto"/>
        <w:ind w:firstLine="425"/>
        <w:jc w:val="both"/>
        <w:rPr>
          <w:rFonts w:ascii="Times New Roman" w:hAnsi="Times New Roman" w:cs="Times New Roman"/>
          <w:sz w:val="24"/>
          <w:szCs w:val="24"/>
        </w:rPr>
      </w:pPr>
      <w:r w:rsidRPr="006A018A">
        <w:rPr>
          <w:rFonts w:ascii="Times New Roman" w:hAnsi="Times New Roman" w:cs="Times New Roman"/>
          <w:sz w:val="24"/>
          <w:szCs w:val="24"/>
        </w:rPr>
        <w:t xml:space="preserve">Реализация денежно-кредитной политики производилась в соответствии с целями и задачами, изложенными в Основных направлениях единой государственной денежно-кредитной политики на 2020 год, и была основана на таргетировании валютного курса в рамках целевого диапазона 16,1-16,5 руб./долл. </w:t>
      </w:r>
    </w:p>
    <w:p w14:paraId="32AC37BD" w14:textId="783B49C3" w:rsidR="00AA735A" w:rsidRDefault="00EF13D3" w:rsidP="00EF13D3">
      <w:pPr>
        <w:spacing w:before="0" w:after="0" w:line="240" w:lineRule="auto"/>
        <w:ind w:firstLine="425"/>
        <w:jc w:val="both"/>
        <w:rPr>
          <w:rFonts w:ascii="Times New Roman" w:hAnsi="Times New Roman" w:cs="Times New Roman"/>
          <w:sz w:val="24"/>
          <w:szCs w:val="24"/>
        </w:rPr>
      </w:pPr>
      <w:r w:rsidRPr="006A018A">
        <w:rPr>
          <w:rFonts w:ascii="Times New Roman" w:hAnsi="Times New Roman" w:cs="Times New Roman"/>
          <w:sz w:val="24"/>
          <w:szCs w:val="24"/>
        </w:rPr>
        <w:t xml:space="preserve">Преследуя цель сохранения стабильности на финансовом рынке, в условиях сбалансированной конъюнктуры внутреннего валютного рынка официальный курс доллара США в 2020 году находился на нижнем уровне установленного диапазона – 16,10 руб. ПМР за 1 долл. США. </w:t>
      </w:r>
    </w:p>
    <w:p w14:paraId="44E505F0" w14:textId="013A3FBF" w:rsidR="00EF13D3" w:rsidRPr="00170B9B" w:rsidRDefault="00EF13D3" w:rsidP="00EF13D3">
      <w:pPr>
        <w:spacing w:before="0" w:after="0" w:line="240" w:lineRule="auto"/>
        <w:ind w:firstLine="425"/>
        <w:jc w:val="both"/>
        <w:rPr>
          <w:rFonts w:ascii="Times New Roman" w:hAnsi="Times New Roman" w:cs="Times New Roman"/>
          <w:sz w:val="24"/>
          <w:szCs w:val="24"/>
        </w:rPr>
      </w:pPr>
      <w:r w:rsidRPr="006A018A">
        <w:rPr>
          <w:rFonts w:ascii="Times New Roman" w:hAnsi="Times New Roman" w:cs="Times New Roman"/>
          <w:sz w:val="24"/>
          <w:szCs w:val="24"/>
        </w:rPr>
        <w:t xml:space="preserve">На наличном сегменте валютного рынка средневзвешенный курс продажи доллара США в целом за 2020 год составил 16,3563 руб. ПМР, что практически соответствует значению 2019 </w:t>
      </w:r>
      <w:r w:rsidRPr="006A018A">
        <w:rPr>
          <w:rFonts w:ascii="Times New Roman" w:hAnsi="Times New Roman" w:cs="Times New Roman"/>
          <w:sz w:val="24"/>
          <w:szCs w:val="24"/>
        </w:rPr>
        <w:lastRenderedPageBreak/>
        <w:t xml:space="preserve">года. Курс покупки также сложился на отметке, близкой к базисной, – </w:t>
      </w:r>
      <w:r>
        <w:rPr>
          <w:rFonts w:ascii="Times New Roman" w:hAnsi="Times New Roman" w:cs="Times New Roman"/>
          <w:sz w:val="24"/>
          <w:szCs w:val="24"/>
        </w:rPr>
        <w:br/>
      </w:r>
      <w:r w:rsidRPr="006A018A">
        <w:rPr>
          <w:rFonts w:ascii="Times New Roman" w:hAnsi="Times New Roman" w:cs="Times New Roman"/>
          <w:sz w:val="24"/>
          <w:szCs w:val="24"/>
        </w:rPr>
        <w:t>16,3043 руб. ПМР.</w:t>
      </w:r>
    </w:p>
    <w:p w14:paraId="444A6357" w14:textId="6EFDF313" w:rsidR="00AA735A" w:rsidRDefault="00EF13D3" w:rsidP="00EF13D3">
      <w:pPr>
        <w:spacing w:before="0" w:after="0" w:line="240" w:lineRule="auto"/>
        <w:ind w:firstLine="425"/>
        <w:jc w:val="both"/>
        <w:rPr>
          <w:rFonts w:ascii="Times New Roman" w:hAnsi="Times New Roman" w:cs="Times New Roman"/>
          <w:sz w:val="24"/>
          <w:szCs w:val="24"/>
        </w:rPr>
      </w:pPr>
      <w:r w:rsidRPr="006A018A">
        <w:rPr>
          <w:rFonts w:ascii="Times New Roman" w:hAnsi="Times New Roman" w:cs="Times New Roman"/>
          <w:sz w:val="24"/>
          <w:szCs w:val="24"/>
        </w:rPr>
        <w:t>Ослабление валют стран с формирующимися рынками, многие из которых являются торговыми партнёрами Приднестровья, в совокупности с менее активным инфляционным фоном в республике, определил</w:t>
      </w:r>
      <w:r w:rsidR="006C4B32">
        <w:rPr>
          <w:rFonts w:ascii="Times New Roman" w:hAnsi="Times New Roman" w:cs="Times New Roman"/>
          <w:sz w:val="24"/>
          <w:szCs w:val="24"/>
        </w:rPr>
        <w:t>о</w:t>
      </w:r>
      <w:r w:rsidRPr="006A018A">
        <w:rPr>
          <w:rFonts w:ascii="Times New Roman" w:hAnsi="Times New Roman" w:cs="Times New Roman"/>
          <w:sz w:val="24"/>
          <w:szCs w:val="24"/>
        </w:rPr>
        <w:t xml:space="preserve"> рост реального эффективного курса </w:t>
      </w:r>
      <w:r w:rsidRPr="00AA735A">
        <w:rPr>
          <w:rFonts w:ascii="Times New Roman" w:hAnsi="Times New Roman" w:cs="Times New Roman"/>
          <w:sz w:val="24"/>
          <w:szCs w:val="24"/>
        </w:rPr>
        <w:t xml:space="preserve">приднестровского рубля </w:t>
      </w:r>
      <w:r w:rsidR="006C4B32" w:rsidRPr="006A018A">
        <w:rPr>
          <w:rFonts w:ascii="Times New Roman" w:hAnsi="Times New Roman" w:cs="Times New Roman"/>
          <w:sz w:val="24"/>
          <w:szCs w:val="24"/>
        </w:rPr>
        <w:t xml:space="preserve">по итогам 2020 года </w:t>
      </w:r>
      <w:r w:rsidRPr="00AA735A">
        <w:rPr>
          <w:rFonts w:ascii="Times New Roman" w:hAnsi="Times New Roman" w:cs="Times New Roman"/>
          <w:sz w:val="24"/>
          <w:szCs w:val="24"/>
        </w:rPr>
        <w:t xml:space="preserve">на 4,0%. После его снижения в 2019 году на 3,5%, в целом за два года реальное укрепление составило </w:t>
      </w:r>
      <w:r w:rsidR="00811532" w:rsidRPr="00AA735A">
        <w:rPr>
          <w:rFonts w:ascii="Times New Roman" w:hAnsi="Times New Roman" w:cs="Times New Roman"/>
          <w:sz w:val="24"/>
          <w:szCs w:val="24"/>
        </w:rPr>
        <w:t>0,4%</w:t>
      </w:r>
      <w:r w:rsidRPr="00AA735A">
        <w:rPr>
          <w:rFonts w:ascii="Times New Roman" w:hAnsi="Times New Roman" w:cs="Times New Roman"/>
          <w:sz w:val="24"/>
          <w:szCs w:val="24"/>
        </w:rPr>
        <w:t xml:space="preserve">. </w:t>
      </w:r>
    </w:p>
    <w:p w14:paraId="212199A3" w14:textId="4B382759" w:rsidR="00EF13D3" w:rsidRPr="006A018A" w:rsidRDefault="00EF13D3" w:rsidP="00EF13D3">
      <w:pPr>
        <w:spacing w:before="0" w:after="0" w:line="240" w:lineRule="auto"/>
        <w:ind w:firstLine="425"/>
        <w:jc w:val="both"/>
        <w:rPr>
          <w:rFonts w:ascii="Times New Roman" w:hAnsi="Times New Roman" w:cs="Times New Roman"/>
          <w:sz w:val="24"/>
          <w:szCs w:val="24"/>
        </w:rPr>
      </w:pPr>
      <w:r w:rsidRPr="00AA735A">
        <w:rPr>
          <w:rFonts w:ascii="Times New Roman" w:hAnsi="Times New Roman" w:cs="Times New Roman"/>
          <w:sz w:val="24"/>
          <w:szCs w:val="24"/>
        </w:rPr>
        <w:t>Относительно валют ключевых торговых партнёров</w:t>
      </w:r>
      <w:r w:rsidRPr="006A018A">
        <w:rPr>
          <w:rFonts w:ascii="Times New Roman" w:hAnsi="Times New Roman" w:cs="Times New Roman"/>
          <w:sz w:val="24"/>
          <w:szCs w:val="24"/>
        </w:rPr>
        <w:t xml:space="preserve"> реальный курс приднестровского рубля повысился на 15,3% к гривне, на 14,0% – к рублю РФ, на 0,8% – к лею РМ. В то же время зафиксировано его уменьшение на 7,2% к румынскому лею, на 7,1% – к евро и на 6,4% – к польскому злотому.</w:t>
      </w:r>
    </w:p>
    <w:p w14:paraId="455F047A" w14:textId="77777777" w:rsidR="004E5D20" w:rsidRPr="00170B9B" w:rsidRDefault="004E5D20" w:rsidP="00EF13D3">
      <w:pPr>
        <w:spacing w:before="0" w:after="0" w:line="240" w:lineRule="auto"/>
        <w:ind w:firstLine="425"/>
        <w:jc w:val="both"/>
        <w:rPr>
          <w:rFonts w:ascii="Times New Roman" w:hAnsi="Times New Roman" w:cs="Times New Roman"/>
          <w:sz w:val="24"/>
          <w:szCs w:val="24"/>
        </w:rPr>
      </w:pPr>
    </w:p>
    <w:p w14:paraId="75469B9D" w14:textId="45B24CBF" w:rsidR="00EF13D3" w:rsidRPr="00235BE2" w:rsidRDefault="00EF13D3" w:rsidP="00822F2A">
      <w:pPr>
        <w:pStyle w:val="2"/>
        <w:jc w:val="center"/>
        <w:rPr>
          <w:b/>
          <w:noProof/>
        </w:rPr>
      </w:pPr>
      <w:r w:rsidRPr="00235BE2">
        <w:rPr>
          <w:b/>
          <w:noProof/>
        </w:rPr>
        <w:t>Инструменты денежно-кредитной политики</w:t>
      </w:r>
    </w:p>
    <w:p w14:paraId="37FDF650" w14:textId="77777777" w:rsidR="00ED165B" w:rsidRDefault="00ED165B" w:rsidP="00ED165B">
      <w:pPr>
        <w:spacing w:before="0" w:after="0" w:line="240" w:lineRule="auto"/>
        <w:ind w:firstLine="425"/>
        <w:jc w:val="both"/>
        <w:rPr>
          <w:rFonts w:ascii="Times New Roman" w:hAnsi="Times New Roman" w:cs="Times New Roman"/>
          <w:sz w:val="24"/>
          <w:szCs w:val="24"/>
        </w:rPr>
      </w:pPr>
    </w:p>
    <w:p w14:paraId="3AFC2E16" w14:textId="1B08B46A" w:rsidR="00EF13D3" w:rsidRPr="00170B9B" w:rsidRDefault="00EF13D3" w:rsidP="00ED165B">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t xml:space="preserve">Основным инструментом денежно-кредитной политики в течение </w:t>
      </w:r>
      <w:r>
        <w:rPr>
          <w:rFonts w:ascii="Times New Roman" w:hAnsi="Times New Roman" w:cs="Times New Roman"/>
          <w:sz w:val="24"/>
          <w:szCs w:val="24"/>
        </w:rPr>
        <w:t>2020 года</w:t>
      </w:r>
      <w:r w:rsidRPr="00170B9B">
        <w:rPr>
          <w:rFonts w:ascii="Times New Roman" w:hAnsi="Times New Roman" w:cs="Times New Roman"/>
          <w:sz w:val="24"/>
          <w:szCs w:val="24"/>
        </w:rPr>
        <w:t xml:space="preserve"> оставались </w:t>
      </w:r>
      <w:r>
        <w:rPr>
          <w:rFonts w:ascii="Times New Roman" w:hAnsi="Times New Roman" w:cs="Times New Roman"/>
          <w:sz w:val="24"/>
          <w:szCs w:val="24"/>
        </w:rPr>
        <w:t xml:space="preserve">безналичные валютные интервенции, которые проводились </w:t>
      </w:r>
      <w:r w:rsidRPr="00170B9B">
        <w:rPr>
          <w:rFonts w:ascii="Times New Roman" w:hAnsi="Times New Roman" w:cs="Times New Roman"/>
          <w:sz w:val="24"/>
          <w:szCs w:val="24"/>
        </w:rPr>
        <w:t>на постоянной основе посредством продажи иностранной валюты коммерческим б</w:t>
      </w:r>
      <w:r w:rsidRPr="004F5D29">
        <w:rPr>
          <w:rFonts w:ascii="Times New Roman" w:hAnsi="Times New Roman" w:cs="Times New Roman"/>
          <w:sz w:val="24"/>
          <w:szCs w:val="24"/>
        </w:rPr>
        <w:t>анкам для их клиентов в установленном порядке не реже двух раз в неделю с отсрочкой поставки валюты до 60 дней, для нетто-экспортёров</w:t>
      </w:r>
      <w:r w:rsidRPr="00170B9B">
        <w:rPr>
          <w:rFonts w:ascii="Times New Roman" w:hAnsi="Times New Roman" w:cs="Times New Roman"/>
          <w:sz w:val="24"/>
          <w:szCs w:val="24"/>
        </w:rPr>
        <w:t xml:space="preserve"> поставка осуществлялась в день проведения интервенции. </w:t>
      </w:r>
    </w:p>
    <w:p w14:paraId="7780D3F6" w14:textId="77777777" w:rsidR="00EF13D3"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t>Рассредоточив спрос на валюту во времени, центральный банк смог удовлетворить в полном объёме все заявки хозяйствующих субъектов на иностранную валюту. Общая сумма безналичных интервенций составила</w:t>
      </w:r>
      <w:r>
        <w:rPr>
          <w:rFonts w:ascii="Times New Roman" w:hAnsi="Times New Roman" w:cs="Times New Roman"/>
          <w:sz w:val="24"/>
          <w:szCs w:val="24"/>
        </w:rPr>
        <w:t xml:space="preserve"> 250,5</w:t>
      </w:r>
      <w:r w:rsidRPr="00170B9B">
        <w:rPr>
          <w:rFonts w:ascii="Times New Roman" w:hAnsi="Times New Roman" w:cs="Times New Roman"/>
          <w:sz w:val="24"/>
          <w:szCs w:val="24"/>
        </w:rPr>
        <w:t xml:space="preserve"> млн в долларовом эквиваленте (</w:t>
      </w:r>
      <w:r>
        <w:rPr>
          <w:rFonts w:ascii="Times New Roman" w:hAnsi="Times New Roman" w:cs="Times New Roman"/>
          <w:sz w:val="24"/>
          <w:szCs w:val="24"/>
        </w:rPr>
        <w:t>+14,8</w:t>
      </w:r>
      <w:r w:rsidRPr="00170B9B">
        <w:rPr>
          <w:rFonts w:ascii="Times New Roman" w:hAnsi="Times New Roman" w:cs="Times New Roman"/>
          <w:sz w:val="24"/>
          <w:szCs w:val="24"/>
        </w:rPr>
        <w:t>% к уровню 201</w:t>
      </w:r>
      <w:r>
        <w:rPr>
          <w:rFonts w:ascii="Times New Roman" w:hAnsi="Times New Roman" w:cs="Times New Roman"/>
          <w:sz w:val="24"/>
          <w:szCs w:val="24"/>
        </w:rPr>
        <w:t>9</w:t>
      </w:r>
      <w:r w:rsidRPr="00170B9B">
        <w:rPr>
          <w:rFonts w:ascii="Times New Roman" w:hAnsi="Times New Roman" w:cs="Times New Roman"/>
          <w:sz w:val="24"/>
          <w:szCs w:val="24"/>
        </w:rPr>
        <w:t xml:space="preserve"> года)</w:t>
      </w:r>
      <w:r>
        <w:rPr>
          <w:rFonts w:ascii="Times New Roman" w:hAnsi="Times New Roman" w:cs="Times New Roman"/>
          <w:sz w:val="24"/>
          <w:szCs w:val="24"/>
        </w:rPr>
        <w:t>, наличные интервенции не проводились</w:t>
      </w:r>
      <w:r w:rsidRPr="00170B9B">
        <w:rPr>
          <w:rFonts w:ascii="Times New Roman" w:hAnsi="Times New Roman" w:cs="Times New Roman"/>
          <w:sz w:val="24"/>
          <w:szCs w:val="24"/>
        </w:rPr>
        <w:t>.</w:t>
      </w:r>
    </w:p>
    <w:p w14:paraId="245079A2" w14:textId="77777777" w:rsidR="00EF13D3" w:rsidRPr="00170B9B"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t xml:space="preserve">В отчётном периоде не производилось корректировок ставок по основным инструментам регулирования банковской ликвидности. Нормативы обязательных резервов сохранялись на уровне, действующем с 1 февраля 2017 года: 15% – по отношению к обязательствам кредитных организаций перед юридическими лицами в рублях и 12% – к обязательствам в валюте. При этом депонирование осуществлялось исключительно в национальной валюте. </w:t>
      </w:r>
    </w:p>
    <w:p w14:paraId="3E56F9AB" w14:textId="77777777" w:rsidR="00EF13D3" w:rsidRPr="006C7D72"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t>Общий объём средств, аккумулированных по состоянию на 1 января 202</w:t>
      </w:r>
      <w:r>
        <w:rPr>
          <w:rFonts w:ascii="Times New Roman" w:hAnsi="Times New Roman" w:cs="Times New Roman"/>
          <w:sz w:val="24"/>
          <w:szCs w:val="24"/>
        </w:rPr>
        <w:t>1</w:t>
      </w:r>
      <w:r w:rsidRPr="00170B9B">
        <w:rPr>
          <w:rFonts w:ascii="Times New Roman" w:hAnsi="Times New Roman" w:cs="Times New Roman"/>
          <w:sz w:val="24"/>
          <w:szCs w:val="24"/>
        </w:rPr>
        <w:t xml:space="preserve"> года в </w:t>
      </w:r>
      <w:r w:rsidRPr="006C7D72">
        <w:rPr>
          <w:rFonts w:ascii="Times New Roman" w:hAnsi="Times New Roman" w:cs="Times New Roman"/>
          <w:sz w:val="24"/>
          <w:szCs w:val="24"/>
        </w:rPr>
        <w:t xml:space="preserve">центральном банке в качестве обязательных резервов, по сравнению с данными на 1 января 2020 года увеличился на 28,8%, или на 89,4 млн руб., составив по действующим кредитным организациям 400,1 млн руб. </w:t>
      </w:r>
    </w:p>
    <w:p w14:paraId="29B4E958" w14:textId="77777777" w:rsidR="00EF13D3" w:rsidRPr="00E81BAC" w:rsidRDefault="00EF13D3" w:rsidP="00EF13D3">
      <w:pPr>
        <w:spacing w:before="0" w:after="0" w:line="240" w:lineRule="auto"/>
        <w:ind w:firstLine="425"/>
        <w:jc w:val="both"/>
        <w:rPr>
          <w:rFonts w:ascii="Times New Roman" w:hAnsi="Times New Roman" w:cs="Times New Roman"/>
          <w:sz w:val="24"/>
          <w:szCs w:val="24"/>
        </w:rPr>
      </w:pPr>
      <w:r w:rsidRPr="006C7D72">
        <w:rPr>
          <w:rFonts w:ascii="Times New Roman" w:hAnsi="Times New Roman" w:cs="Times New Roman"/>
          <w:sz w:val="24"/>
          <w:szCs w:val="24"/>
        </w:rPr>
        <w:t>Ставка страховых взносов составляла</w:t>
      </w:r>
      <w:r w:rsidRPr="00170B9B">
        <w:rPr>
          <w:rFonts w:ascii="Times New Roman" w:hAnsi="Times New Roman" w:cs="Times New Roman"/>
          <w:sz w:val="24"/>
          <w:szCs w:val="24"/>
        </w:rPr>
        <w:t xml:space="preserve"> 12% от обязательств банка перед физическими лицами в рублях и 14% – в иностранной валюте. За </w:t>
      </w:r>
      <w:r w:rsidRPr="00E81BAC">
        <w:rPr>
          <w:rFonts w:ascii="Times New Roman" w:hAnsi="Times New Roman" w:cs="Times New Roman"/>
          <w:sz w:val="24"/>
          <w:szCs w:val="24"/>
        </w:rPr>
        <w:t xml:space="preserve">2020 год объём страховых фондов возрос на 10,7%, или на 44,8 млн руб., до 463,0 млн руб. </w:t>
      </w:r>
    </w:p>
    <w:p w14:paraId="1C688EBE" w14:textId="75631CFB" w:rsidR="00EF13D3" w:rsidRPr="00170B9B" w:rsidRDefault="00EF13D3" w:rsidP="00EF13D3">
      <w:pPr>
        <w:pStyle w:val="a5"/>
        <w:spacing w:before="0" w:after="0" w:line="240" w:lineRule="auto"/>
        <w:ind w:firstLine="425"/>
        <w:rPr>
          <w:rFonts w:ascii="Times New Roman" w:hAnsi="Times New Roman" w:cs="Times New Roman"/>
          <w:sz w:val="24"/>
          <w:szCs w:val="24"/>
        </w:rPr>
      </w:pPr>
      <w:r w:rsidRPr="0063030A">
        <w:rPr>
          <w:rFonts w:ascii="Times New Roman" w:hAnsi="Times New Roman" w:cs="Times New Roman"/>
          <w:sz w:val="24"/>
          <w:szCs w:val="24"/>
        </w:rPr>
        <w:t xml:space="preserve">На фоне применения ряда поддерживающих мер со стороны законодательной и исполнительной власти, а также непосредственно </w:t>
      </w:r>
      <w:r w:rsidR="00293C22">
        <w:rPr>
          <w:rFonts w:ascii="Times New Roman" w:hAnsi="Times New Roman" w:cs="Times New Roman"/>
          <w:sz w:val="24"/>
          <w:szCs w:val="24"/>
        </w:rPr>
        <w:t>ц</w:t>
      </w:r>
      <w:r w:rsidRPr="0063030A">
        <w:rPr>
          <w:rFonts w:ascii="Times New Roman" w:hAnsi="Times New Roman" w:cs="Times New Roman"/>
          <w:sz w:val="24"/>
          <w:szCs w:val="24"/>
        </w:rPr>
        <w:t xml:space="preserve">ентрального и коммерческих банков, не потребовалось дополнительное стимулирование денежного предложения. Приток частных ресурсов в банковскую систему обуславливал низкий уровень спроса кредитных организаций на рефинансирование со стороны центрального банка. </w:t>
      </w:r>
      <w:r w:rsidRPr="00904BFA">
        <w:rPr>
          <w:rFonts w:ascii="Times New Roman" w:hAnsi="Times New Roman" w:cs="Times New Roman"/>
          <w:sz w:val="24"/>
          <w:szCs w:val="24"/>
        </w:rPr>
        <w:t xml:space="preserve">Объём предоставления коммерческим банкам ликвидности путём выдачи межбанковских кредитов за 2020 год составил 40 млн руб. (операции проводились в течение I квартала </w:t>
      </w:r>
      <w:r>
        <w:rPr>
          <w:rFonts w:ascii="Times New Roman" w:hAnsi="Times New Roman" w:cs="Times New Roman"/>
          <w:sz w:val="24"/>
          <w:szCs w:val="24"/>
        </w:rPr>
        <w:t>отчётного</w:t>
      </w:r>
      <w:r w:rsidRPr="00904BFA">
        <w:rPr>
          <w:rFonts w:ascii="Times New Roman" w:hAnsi="Times New Roman" w:cs="Times New Roman"/>
          <w:sz w:val="24"/>
          <w:szCs w:val="24"/>
        </w:rPr>
        <w:t xml:space="preserve"> года). </w:t>
      </w:r>
      <w:r w:rsidRPr="0063030A">
        <w:rPr>
          <w:rFonts w:ascii="Times New Roman" w:hAnsi="Times New Roman" w:cs="Times New Roman"/>
          <w:sz w:val="24"/>
          <w:szCs w:val="24"/>
        </w:rPr>
        <w:t xml:space="preserve">Ставка рефинансирования была </w:t>
      </w:r>
      <w:r>
        <w:rPr>
          <w:rFonts w:ascii="Times New Roman" w:hAnsi="Times New Roman" w:cs="Times New Roman"/>
          <w:sz w:val="24"/>
          <w:szCs w:val="24"/>
        </w:rPr>
        <w:t>сохранена на уровне 7,0% годовых.</w:t>
      </w:r>
      <w:r w:rsidRPr="00170B9B">
        <w:rPr>
          <w:rFonts w:ascii="Times New Roman" w:hAnsi="Times New Roman" w:cs="Times New Roman"/>
          <w:sz w:val="24"/>
          <w:szCs w:val="24"/>
        </w:rPr>
        <w:t xml:space="preserve"> </w:t>
      </w:r>
    </w:p>
    <w:p w14:paraId="7238C438" w14:textId="154118D9" w:rsidR="00EF13D3" w:rsidRDefault="00EF13D3" w:rsidP="00EF13D3">
      <w:pPr>
        <w:spacing w:before="0" w:after="0" w:line="240" w:lineRule="auto"/>
        <w:ind w:firstLine="425"/>
        <w:jc w:val="both"/>
        <w:rPr>
          <w:rFonts w:ascii="Times New Roman" w:hAnsi="Times New Roman" w:cs="Times New Roman"/>
          <w:sz w:val="24"/>
          <w:szCs w:val="24"/>
        </w:rPr>
      </w:pPr>
    </w:p>
    <w:p w14:paraId="06CC9733" w14:textId="099D9AD4" w:rsidR="00EF13D3" w:rsidRPr="00450764" w:rsidRDefault="00EF13D3" w:rsidP="00822F2A">
      <w:pPr>
        <w:pStyle w:val="1"/>
        <w:widowControl w:val="0"/>
        <w:spacing w:before="0" w:line="240" w:lineRule="auto"/>
        <w:jc w:val="center"/>
        <w:rPr>
          <w:b/>
          <w:bCs/>
          <w:noProof/>
          <w:sz w:val="24"/>
          <w:szCs w:val="24"/>
        </w:rPr>
      </w:pPr>
      <w:r>
        <w:rPr>
          <w:b/>
          <w:bCs/>
          <w:noProof/>
          <w:sz w:val="24"/>
          <w:szCs w:val="24"/>
        </w:rPr>
        <w:t xml:space="preserve">2.2. </w:t>
      </w:r>
      <w:r w:rsidRPr="00450764">
        <w:rPr>
          <w:b/>
          <w:bCs/>
          <w:noProof/>
          <w:sz w:val="24"/>
          <w:szCs w:val="24"/>
        </w:rPr>
        <w:t>ДИНАМИКА ЗОЛОТОВАЛЮТНЫХ РЕЗЕРВОВ</w:t>
      </w:r>
    </w:p>
    <w:p w14:paraId="71D146EE"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049B1CA3" w14:textId="77777777" w:rsidR="00EF13D3"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lastRenderedPageBreak/>
        <w:t>Пополнение золотовалютных резервов в 20</w:t>
      </w:r>
      <w:r>
        <w:rPr>
          <w:rFonts w:ascii="Times New Roman" w:hAnsi="Times New Roman" w:cs="Times New Roman"/>
          <w:sz w:val="24"/>
          <w:szCs w:val="24"/>
        </w:rPr>
        <w:t>20</w:t>
      </w:r>
      <w:r w:rsidRPr="00170B9B">
        <w:rPr>
          <w:rFonts w:ascii="Times New Roman" w:hAnsi="Times New Roman" w:cs="Times New Roman"/>
          <w:sz w:val="24"/>
          <w:szCs w:val="24"/>
        </w:rPr>
        <w:t xml:space="preserve"> году осуществлялось преимущественно за счёт обязательной продажи части валютной выручки, покупки иностранной валюты на межбанковском рынке</w:t>
      </w:r>
      <w:r>
        <w:rPr>
          <w:rFonts w:ascii="Times New Roman" w:hAnsi="Times New Roman" w:cs="Times New Roman"/>
          <w:sz w:val="24"/>
          <w:szCs w:val="24"/>
        </w:rPr>
        <w:t xml:space="preserve"> и у Министерства финансов </w:t>
      </w:r>
      <w:r w:rsidRPr="00170B9B">
        <w:rPr>
          <w:rFonts w:ascii="Times New Roman" w:hAnsi="Times New Roman" w:cs="Times New Roman"/>
          <w:sz w:val="24"/>
          <w:szCs w:val="24"/>
        </w:rPr>
        <w:t>П</w:t>
      </w:r>
      <w:r>
        <w:rPr>
          <w:rFonts w:ascii="Times New Roman" w:hAnsi="Times New Roman" w:cs="Times New Roman"/>
          <w:sz w:val="24"/>
          <w:szCs w:val="24"/>
        </w:rPr>
        <w:t xml:space="preserve">риднестровской </w:t>
      </w:r>
      <w:r w:rsidRPr="00170B9B">
        <w:rPr>
          <w:rFonts w:ascii="Times New Roman" w:hAnsi="Times New Roman" w:cs="Times New Roman"/>
          <w:sz w:val="24"/>
          <w:szCs w:val="24"/>
        </w:rPr>
        <w:t>М</w:t>
      </w:r>
      <w:r>
        <w:rPr>
          <w:rFonts w:ascii="Times New Roman" w:hAnsi="Times New Roman" w:cs="Times New Roman"/>
          <w:sz w:val="24"/>
          <w:szCs w:val="24"/>
        </w:rPr>
        <w:t xml:space="preserve">олдавской </w:t>
      </w:r>
      <w:r w:rsidRPr="00170B9B">
        <w:rPr>
          <w:rFonts w:ascii="Times New Roman" w:hAnsi="Times New Roman" w:cs="Times New Roman"/>
          <w:sz w:val="24"/>
          <w:szCs w:val="24"/>
        </w:rPr>
        <w:t>Р</w:t>
      </w:r>
      <w:r>
        <w:rPr>
          <w:rFonts w:ascii="Times New Roman" w:hAnsi="Times New Roman" w:cs="Times New Roman"/>
          <w:sz w:val="24"/>
          <w:szCs w:val="24"/>
        </w:rPr>
        <w:t>еспублики</w:t>
      </w:r>
      <w:r w:rsidRPr="00170B9B">
        <w:rPr>
          <w:rFonts w:ascii="Times New Roman" w:hAnsi="Times New Roman" w:cs="Times New Roman"/>
          <w:sz w:val="24"/>
          <w:szCs w:val="24"/>
        </w:rPr>
        <w:t>.</w:t>
      </w:r>
      <w:r>
        <w:rPr>
          <w:rFonts w:ascii="Times New Roman" w:hAnsi="Times New Roman" w:cs="Times New Roman"/>
          <w:sz w:val="24"/>
          <w:szCs w:val="24"/>
        </w:rPr>
        <w:t xml:space="preserve"> </w:t>
      </w:r>
    </w:p>
    <w:p w14:paraId="4DA65C93" w14:textId="77777777" w:rsidR="00EF13D3" w:rsidRPr="00170B9B"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t>В свою очередь, расходование золотовалютных резервов было обусловлено продажей иностранной валюты с отсрочкой поставки коммерческим банкам в</w:t>
      </w:r>
      <w:r>
        <w:rPr>
          <w:rFonts w:ascii="Times New Roman" w:hAnsi="Times New Roman" w:cs="Times New Roman"/>
          <w:sz w:val="24"/>
          <w:szCs w:val="24"/>
        </w:rPr>
        <w:t xml:space="preserve"> </w:t>
      </w:r>
      <w:r w:rsidRPr="00170B9B">
        <w:rPr>
          <w:rFonts w:ascii="Times New Roman" w:hAnsi="Times New Roman" w:cs="Times New Roman"/>
          <w:sz w:val="24"/>
          <w:szCs w:val="24"/>
        </w:rPr>
        <w:t>рамках проводимых Приднестровским республиканским банком безналичных валютных интервенций, а также продажей иностранной валюты Министерству финансов П</w:t>
      </w:r>
      <w:r>
        <w:rPr>
          <w:rFonts w:ascii="Times New Roman" w:hAnsi="Times New Roman" w:cs="Times New Roman"/>
          <w:sz w:val="24"/>
          <w:szCs w:val="24"/>
        </w:rPr>
        <w:t xml:space="preserve">риднестровской </w:t>
      </w:r>
      <w:r w:rsidRPr="00170B9B">
        <w:rPr>
          <w:rFonts w:ascii="Times New Roman" w:hAnsi="Times New Roman" w:cs="Times New Roman"/>
          <w:sz w:val="24"/>
          <w:szCs w:val="24"/>
        </w:rPr>
        <w:t>М</w:t>
      </w:r>
      <w:r>
        <w:rPr>
          <w:rFonts w:ascii="Times New Roman" w:hAnsi="Times New Roman" w:cs="Times New Roman"/>
          <w:sz w:val="24"/>
          <w:szCs w:val="24"/>
        </w:rPr>
        <w:t xml:space="preserve">олдавской </w:t>
      </w:r>
      <w:r w:rsidRPr="00170B9B">
        <w:rPr>
          <w:rFonts w:ascii="Times New Roman" w:hAnsi="Times New Roman" w:cs="Times New Roman"/>
          <w:sz w:val="24"/>
          <w:szCs w:val="24"/>
        </w:rPr>
        <w:t>Р</w:t>
      </w:r>
      <w:r>
        <w:rPr>
          <w:rFonts w:ascii="Times New Roman" w:hAnsi="Times New Roman" w:cs="Times New Roman"/>
          <w:sz w:val="24"/>
          <w:szCs w:val="24"/>
        </w:rPr>
        <w:t>еспублики</w:t>
      </w:r>
      <w:r w:rsidRPr="00170B9B">
        <w:rPr>
          <w:rFonts w:ascii="Times New Roman" w:hAnsi="Times New Roman" w:cs="Times New Roman"/>
          <w:sz w:val="24"/>
          <w:szCs w:val="24"/>
        </w:rPr>
        <w:t>.</w:t>
      </w:r>
    </w:p>
    <w:p w14:paraId="023A588F" w14:textId="5A53D449" w:rsidR="00EF13D3" w:rsidRDefault="00EF13D3" w:rsidP="00EF13D3">
      <w:pPr>
        <w:spacing w:before="0" w:after="0" w:line="240" w:lineRule="auto"/>
        <w:ind w:firstLine="425"/>
        <w:jc w:val="both"/>
        <w:rPr>
          <w:rFonts w:ascii="Times New Roman" w:hAnsi="Times New Roman" w:cs="Times New Roman"/>
          <w:sz w:val="24"/>
          <w:szCs w:val="24"/>
        </w:rPr>
      </w:pPr>
      <w:r w:rsidRPr="00D07E87">
        <w:rPr>
          <w:rFonts w:ascii="Times New Roman" w:hAnsi="Times New Roman" w:cs="Times New Roman"/>
          <w:sz w:val="24"/>
          <w:szCs w:val="24"/>
        </w:rPr>
        <w:t xml:space="preserve">Ситуация на внутреннем валютном рынке Приднестровья была стабильной и характеризовалась формированием нетто-предложения валюты со стороны клиентов кредитных </w:t>
      </w:r>
      <w:r w:rsidRPr="007F62DF">
        <w:rPr>
          <w:rFonts w:ascii="Times New Roman" w:hAnsi="Times New Roman" w:cs="Times New Roman"/>
          <w:sz w:val="24"/>
          <w:szCs w:val="24"/>
        </w:rPr>
        <w:t>организаций,</w:t>
      </w:r>
      <w:r w:rsidRPr="00D07E87">
        <w:rPr>
          <w:rFonts w:ascii="Times New Roman" w:hAnsi="Times New Roman" w:cs="Times New Roman"/>
          <w:sz w:val="24"/>
          <w:szCs w:val="24"/>
        </w:rPr>
        <w:t xml:space="preserve"> что позволило сократить отрицательное значение золотовалютных резервов </w:t>
      </w:r>
      <w:r w:rsidRPr="004F5D29">
        <w:rPr>
          <w:rFonts w:ascii="Times New Roman" w:hAnsi="Times New Roman" w:cs="Times New Roman"/>
          <w:sz w:val="24"/>
          <w:szCs w:val="24"/>
        </w:rPr>
        <w:t>на 13,7 млн долл.</w:t>
      </w:r>
      <w:r w:rsidRPr="00170B9B">
        <w:rPr>
          <w:rFonts w:ascii="Times New Roman" w:hAnsi="Times New Roman" w:cs="Times New Roman"/>
          <w:sz w:val="24"/>
          <w:szCs w:val="24"/>
        </w:rPr>
        <w:t xml:space="preserve"> </w:t>
      </w:r>
      <w:r w:rsidRPr="004F5D29">
        <w:rPr>
          <w:rFonts w:ascii="Times New Roman" w:hAnsi="Times New Roman" w:cs="Times New Roman"/>
          <w:sz w:val="24"/>
          <w:szCs w:val="24"/>
        </w:rPr>
        <w:t>В то же время их объём всё ещё находится в отрицательной зоне</w:t>
      </w:r>
      <w:r>
        <w:rPr>
          <w:rFonts w:ascii="Times New Roman" w:hAnsi="Times New Roman" w:cs="Times New Roman"/>
          <w:sz w:val="24"/>
          <w:szCs w:val="24"/>
        </w:rPr>
        <w:t>.</w:t>
      </w:r>
    </w:p>
    <w:p w14:paraId="7CF0C7AF" w14:textId="77777777" w:rsidR="006C4B32" w:rsidRDefault="006C4B32" w:rsidP="00EF13D3">
      <w:pPr>
        <w:spacing w:before="0" w:after="0" w:line="240" w:lineRule="auto"/>
        <w:ind w:firstLine="425"/>
        <w:jc w:val="both"/>
        <w:rPr>
          <w:rFonts w:ascii="Times New Roman" w:hAnsi="Times New Roman" w:cs="Times New Roman"/>
          <w:sz w:val="24"/>
          <w:szCs w:val="24"/>
        </w:rPr>
      </w:pPr>
    </w:p>
    <w:p w14:paraId="036C6E0D" w14:textId="77777777" w:rsidR="00EF13D3" w:rsidRPr="00E37347" w:rsidRDefault="00EF13D3" w:rsidP="00822F2A">
      <w:pPr>
        <w:pStyle w:val="1"/>
        <w:widowControl w:val="0"/>
        <w:spacing w:before="0" w:line="240" w:lineRule="auto"/>
        <w:jc w:val="center"/>
        <w:rPr>
          <w:b/>
          <w:bCs/>
          <w:noProof/>
          <w:sz w:val="24"/>
          <w:szCs w:val="24"/>
        </w:rPr>
      </w:pPr>
      <w:r>
        <w:rPr>
          <w:b/>
          <w:bCs/>
          <w:noProof/>
          <w:sz w:val="24"/>
          <w:szCs w:val="24"/>
        </w:rPr>
        <w:t xml:space="preserve">2.3. </w:t>
      </w:r>
      <w:r w:rsidRPr="00E37347">
        <w:rPr>
          <w:b/>
          <w:bCs/>
          <w:noProof/>
          <w:sz w:val="24"/>
          <w:szCs w:val="24"/>
        </w:rPr>
        <w:t>Мониторинг рисков и меры регулирования для обеспечения финансовой стабильности</w:t>
      </w:r>
    </w:p>
    <w:p w14:paraId="71C6936E" w14:textId="0DC24F43" w:rsidR="00EF13D3" w:rsidRDefault="00EF13D3" w:rsidP="00EF13D3">
      <w:pPr>
        <w:spacing w:before="12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В</w:t>
      </w:r>
      <w:r w:rsidRPr="00B2297B">
        <w:rPr>
          <w:rFonts w:ascii="Times New Roman" w:hAnsi="Times New Roman" w:cs="Times New Roman"/>
          <w:sz w:val="24"/>
          <w:szCs w:val="24"/>
        </w:rPr>
        <w:t xml:space="preserve"> 2020 году в связи с введением на территории </w:t>
      </w:r>
      <w:r w:rsidR="00AD7716">
        <w:rPr>
          <w:rFonts w:ascii="Times New Roman" w:hAnsi="Times New Roman" w:cs="Times New Roman"/>
          <w:sz w:val="24"/>
          <w:szCs w:val="24"/>
        </w:rPr>
        <w:t>Приднестровской Молдавской Республики</w:t>
      </w:r>
      <w:r w:rsidR="00AD7716" w:rsidRPr="00C63EC5">
        <w:rPr>
          <w:rFonts w:ascii="Times New Roman" w:hAnsi="Times New Roman" w:cs="Times New Roman"/>
          <w:sz w:val="24"/>
          <w:szCs w:val="24"/>
        </w:rPr>
        <w:t xml:space="preserve"> </w:t>
      </w:r>
      <w:r w:rsidRPr="00C63EC5">
        <w:rPr>
          <w:rFonts w:ascii="Times New Roman" w:hAnsi="Times New Roman" w:cs="Times New Roman"/>
          <w:sz w:val="24"/>
          <w:szCs w:val="24"/>
        </w:rPr>
        <w:t>ограничений</w:t>
      </w:r>
      <w:r>
        <w:rPr>
          <w:rFonts w:ascii="Times New Roman" w:hAnsi="Times New Roman" w:cs="Times New Roman"/>
          <w:sz w:val="24"/>
          <w:szCs w:val="24"/>
        </w:rPr>
        <w:t xml:space="preserve">, </w:t>
      </w:r>
      <w:r w:rsidRPr="00C63EC5">
        <w:rPr>
          <w:rFonts w:ascii="Times New Roman" w:hAnsi="Times New Roman" w:cs="Times New Roman"/>
          <w:sz w:val="24"/>
          <w:szCs w:val="24"/>
        </w:rPr>
        <w:t>направленных на</w:t>
      </w:r>
      <w:r w:rsidRPr="00B2297B">
        <w:rPr>
          <w:rFonts w:ascii="Times New Roman" w:hAnsi="Times New Roman" w:cs="Times New Roman"/>
          <w:sz w:val="24"/>
          <w:szCs w:val="24"/>
        </w:rPr>
        <w:t xml:space="preserve"> предотвращени</w:t>
      </w:r>
      <w:r>
        <w:rPr>
          <w:rFonts w:ascii="Times New Roman" w:hAnsi="Times New Roman" w:cs="Times New Roman"/>
          <w:sz w:val="24"/>
          <w:szCs w:val="24"/>
        </w:rPr>
        <w:t>е</w:t>
      </w:r>
      <w:r w:rsidRPr="00B2297B">
        <w:rPr>
          <w:rFonts w:ascii="Times New Roman" w:hAnsi="Times New Roman" w:cs="Times New Roman"/>
          <w:sz w:val="24"/>
          <w:szCs w:val="24"/>
        </w:rPr>
        <w:t xml:space="preserve"> распространения коронавирусной инфекции</w:t>
      </w:r>
      <w:r>
        <w:rPr>
          <w:rFonts w:ascii="Times New Roman" w:hAnsi="Times New Roman" w:cs="Times New Roman"/>
          <w:sz w:val="24"/>
          <w:szCs w:val="24"/>
        </w:rPr>
        <w:t>,</w:t>
      </w:r>
      <w:r w:rsidRPr="00B2297B">
        <w:rPr>
          <w:rFonts w:ascii="Times New Roman" w:hAnsi="Times New Roman" w:cs="Times New Roman"/>
          <w:sz w:val="24"/>
          <w:szCs w:val="24"/>
        </w:rPr>
        <w:t xml:space="preserve"> </w:t>
      </w:r>
      <w:r>
        <w:rPr>
          <w:rFonts w:ascii="Times New Roman" w:hAnsi="Times New Roman" w:cs="Times New Roman"/>
          <w:sz w:val="24"/>
          <w:szCs w:val="24"/>
        </w:rPr>
        <w:t>Приднестровским республиканским банком</w:t>
      </w:r>
      <w:r w:rsidRPr="00B2297B">
        <w:rPr>
          <w:rFonts w:ascii="Times New Roman" w:hAnsi="Times New Roman" w:cs="Times New Roman"/>
          <w:sz w:val="24"/>
          <w:szCs w:val="24"/>
        </w:rPr>
        <w:t xml:space="preserve"> были приняты меры, способствующие </w:t>
      </w:r>
      <w:r>
        <w:rPr>
          <w:rFonts w:ascii="Times New Roman" w:hAnsi="Times New Roman" w:cs="Times New Roman"/>
          <w:sz w:val="24"/>
          <w:szCs w:val="24"/>
        </w:rPr>
        <w:t xml:space="preserve">адаптации финансовой системы и </w:t>
      </w:r>
      <w:r w:rsidRPr="00B2297B">
        <w:rPr>
          <w:rFonts w:ascii="Times New Roman" w:hAnsi="Times New Roman" w:cs="Times New Roman"/>
          <w:sz w:val="24"/>
          <w:szCs w:val="24"/>
        </w:rPr>
        <w:t xml:space="preserve">экономики </w:t>
      </w:r>
      <w:r>
        <w:rPr>
          <w:rFonts w:ascii="Times New Roman" w:hAnsi="Times New Roman" w:cs="Times New Roman"/>
          <w:sz w:val="24"/>
          <w:szCs w:val="24"/>
        </w:rPr>
        <w:t xml:space="preserve">в целом к </w:t>
      </w:r>
      <w:r w:rsidRPr="00B2297B">
        <w:rPr>
          <w:rFonts w:ascii="Times New Roman" w:hAnsi="Times New Roman" w:cs="Times New Roman"/>
          <w:sz w:val="24"/>
          <w:szCs w:val="24"/>
        </w:rPr>
        <w:t xml:space="preserve">новым условиям и обеспечению финансовой стабильности. </w:t>
      </w:r>
      <w:r>
        <w:rPr>
          <w:rFonts w:ascii="Times New Roman" w:hAnsi="Times New Roman" w:cs="Times New Roman"/>
          <w:sz w:val="24"/>
          <w:szCs w:val="24"/>
        </w:rPr>
        <w:t>Так, с</w:t>
      </w:r>
      <w:r w:rsidRPr="00D872F2">
        <w:rPr>
          <w:rFonts w:ascii="Times New Roman" w:hAnsi="Times New Roman" w:cs="Times New Roman"/>
          <w:sz w:val="24"/>
          <w:szCs w:val="24"/>
        </w:rPr>
        <w:t xml:space="preserve"> целью поддержки организаций и физических лиц, </w:t>
      </w:r>
      <w:r w:rsidRPr="00C86864">
        <w:rPr>
          <w:rFonts w:ascii="Times New Roman" w:hAnsi="Times New Roman" w:cs="Times New Roman"/>
          <w:sz w:val="24"/>
          <w:szCs w:val="24"/>
        </w:rPr>
        <w:t xml:space="preserve">которые понесли ущерб </w:t>
      </w:r>
      <w:r w:rsidRPr="00D872F2">
        <w:rPr>
          <w:rFonts w:ascii="Times New Roman" w:hAnsi="Times New Roman" w:cs="Times New Roman"/>
          <w:sz w:val="24"/>
          <w:szCs w:val="24"/>
        </w:rPr>
        <w:t xml:space="preserve">в связи с введением чрезвычайного положения в Приднестровской Молдавской Республике, </w:t>
      </w:r>
      <w:r w:rsidRPr="00CA36F5">
        <w:rPr>
          <w:rFonts w:ascii="Times New Roman" w:hAnsi="Times New Roman" w:cs="Times New Roman"/>
          <w:sz w:val="24"/>
          <w:szCs w:val="24"/>
        </w:rPr>
        <w:t>по рекомендации центрального банка, коммерчески</w:t>
      </w:r>
      <w:r>
        <w:rPr>
          <w:rFonts w:ascii="Times New Roman" w:hAnsi="Times New Roman" w:cs="Times New Roman"/>
          <w:sz w:val="24"/>
          <w:szCs w:val="24"/>
        </w:rPr>
        <w:t>ми</w:t>
      </w:r>
      <w:r w:rsidRPr="00CA36F5">
        <w:rPr>
          <w:rFonts w:ascii="Times New Roman" w:hAnsi="Times New Roman" w:cs="Times New Roman"/>
          <w:sz w:val="24"/>
          <w:szCs w:val="24"/>
        </w:rPr>
        <w:t xml:space="preserve"> банк</w:t>
      </w:r>
      <w:r>
        <w:rPr>
          <w:rFonts w:ascii="Times New Roman" w:hAnsi="Times New Roman" w:cs="Times New Roman"/>
          <w:sz w:val="24"/>
          <w:szCs w:val="24"/>
        </w:rPr>
        <w:t>ами</w:t>
      </w:r>
      <w:r w:rsidRPr="00CA36F5">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CA36F5">
        <w:rPr>
          <w:rFonts w:ascii="Times New Roman" w:hAnsi="Times New Roman" w:cs="Times New Roman"/>
          <w:sz w:val="24"/>
          <w:szCs w:val="24"/>
        </w:rPr>
        <w:t>отношении за</w:t>
      </w:r>
      <w:r>
        <w:rPr>
          <w:rFonts w:ascii="Times New Roman" w:hAnsi="Times New Roman" w:cs="Times New Roman"/>
          <w:sz w:val="24"/>
          <w:szCs w:val="24"/>
        </w:rPr>
        <w:t>ё</w:t>
      </w:r>
      <w:r w:rsidRPr="00CA36F5">
        <w:rPr>
          <w:rFonts w:ascii="Times New Roman" w:hAnsi="Times New Roman" w:cs="Times New Roman"/>
          <w:sz w:val="24"/>
          <w:szCs w:val="24"/>
        </w:rPr>
        <w:t xml:space="preserve">мщиков – организаций было приостановлено начисление процентов по кредитам и были отменены штрафы и санкции за просрочку платежей в соответствии </w:t>
      </w:r>
      <w:r>
        <w:rPr>
          <w:rFonts w:ascii="Times New Roman" w:hAnsi="Times New Roman" w:cs="Times New Roman"/>
          <w:sz w:val="24"/>
          <w:szCs w:val="24"/>
        </w:rPr>
        <w:t>с условиями кредитного договора</w:t>
      </w:r>
      <w:r w:rsidRPr="00CA36F5">
        <w:rPr>
          <w:rFonts w:ascii="Times New Roman" w:hAnsi="Times New Roman" w:cs="Times New Roman"/>
          <w:sz w:val="24"/>
          <w:szCs w:val="24"/>
        </w:rPr>
        <w:t>;</w:t>
      </w:r>
      <w:r>
        <w:rPr>
          <w:rFonts w:ascii="Times New Roman" w:hAnsi="Times New Roman" w:cs="Times New Roman"/>
          <w:sz w:val="24"/>
          <w:szCs w:val="24"/>
        </w:rPr>
        <w:t xml:space="preserve"> </w:t>
      </w:r>
      <w:r w:rsidRPr="00CA36F5">
        <w:rPr>
          <w:rFonts w:ascii="Times New Roman" w:hAnsi="Times New Roman" w:cs="Times New Roman"/>
          <w:sz w:val="24"/>
          <w:szCs w:val="24"/>
        </w:rPr>
        <w:t>в отношении за</w:t>
      </w:r>
      <w:r>
        <w:rPr>
          <w:rFonts w:ascii="Times New Roman" w:hAnsi="Times New Roman" w:cs="Times New Roman"/>
          <w:sz w:val="24"/>
          <w:szCs w:val="24"/>
        </w:rPr>
        <w:t>ё</w:t>
      </w:r>
      <w:r w:rsidRPr="00CA36F5">
        <w:rPr>
          <w:rFonts w:ascii="Times New Roman" w:hAnsi="Times New Roman" w:cs="Times New Roman"/>
          <w:sz w:val="24"/>
          <w:szCs w:val="24"/>
        </w:rPr>
        <w:t>мщиков – физических лиц разработаны варианты реструктуризации либо рефинансирования кредитов и отменены штрафы и санкции за пр</w:t>
      </w:r>
      <w:r>
        <w:rPr>
          <w:rFonts w:ascii="Times New Roman" w:hAnsi="Times New Roman" w:cs="Times New Roman"/>
          <w:sz w:val="24"/>
          <w:szCs w:val="24"/>
        </w:rPr>
        <w:t xml:space="preserve">осрочку платежей. </w:t>
      </w:r>
      <w:r w:rsidRPr="00D872F2">
        <w:rPr>
          <w:rFonts w:ascii="Times New Roman" w:hAnsi="Times New Roman" w:cs="Times New Roman"/>
          <w:sz w:val="24"/>
          <w:szCs w:val="24"/>
        </w:rPr>
        <w:t>При этом начисление процентов по депозитам (вкладам) населения производи</w:t>
      </w:r>
      <w:r>
        <w:rPr>
          <w:rFonts w:ascii="Times New Roman" w:hAnsi="Times New Roman" w:cs="Times New Roman"/>
          <w:sz w:val="24"/>
          <w:szCs w:val="24"/>
        </w:rPr>
        <w:t>лось</w:t>
      </w:r>
      <w:r w:rsidRPr="00D872F2">
        <w:rPr>
          <w:rFonts w:ascii="Times New Roman" w:hAnsi="Times New Roman" w:cs="Times New Roman"/>
          <w:sz w:val="24"/>
          <w:szCs w:val="24"/>
        </w:rPr>
        <w:t xml:space="preserve"> в соответствии с заключёнными договорами.</w:t>
      </w:r>
    </w:p>
    <w:p w14:paraId="6A12D154" w14:textId="1702BF27" w:rsidR="00EF13D3" w:rsidRPr="0063030A" w:rsidRDefault="00EF13D3" w:rsidP="00EF13D3">
      <w:pPr>
        <w:spacing w:before="0" w:after="0" w:line="240" w:lineRule="auto"/>
        <w:ind w:firstLine="426"/>
        <w:jc w:val="both"/>
        <w:rPr>
          <w:rFonts w:ascii="Times New Roman" w:hAnsi="Times New Roman" w:cs="Times New Roman"/>
          <w:sz w:val="24"/>
          <w:szCs w:val="24"/>
        </w:rPr>
      </w:pPr>
      <w:r w:rsidRPr="0063030A">
        <w:rPr>
          <w:rFonts w:ascii="Times New Roman" w:hAnsi="Times New Roman" w:cs="Times New Roman"/>
          <w:sz w:val="24"/>
          <w:szCs w:val="24"/>
        </w:rPr>
        <w:t xml:space="preserve">В результате, согласно данным коммерческих банков, по итогам 2020 года в рамках поддержки своих клиентов в период </w:t>
      </w:r>
      <w:r w:rsidR="00B23EDD">
        <w:rPr>
          <w:rFonts w:ascii="Times New Roman" w:hAnsi="Times New Roman" w:cs="Times New Roman"/>
          <w:sz w:val="24"/>
          <w:szCs w:val="24"/>
        </w:rPr>
        <w:t>действия</w:t>
      </w:r>
      <w:r w:rsidRPr="0063030A">
        <w:rPr>
          <w:rFonts w:ascii="Times New Roman" w:hAnsi="Times New Roman" w:cs="Times New Roman"/>
          <w:sz w:val="24"/>
          <w:szCs w:val="24"/>
        </w:rPr>
        <w:t xml:space="preserve"> чрезвычайного положения ими были реструктурированы долги по:</w:t>
      </w:r>
    </w:p>
    <w:p w14:paraId="6EF572C8" w14:textId="77777777" w:rsidR="00EF13D3" w:rsidRPr="0063030A" w:rsidRDefault="00EF13D3" w:rsidP="00EF13D3">
      <w:pPr>
        <w:spacing w:before="0" w:after="0" w:line="240" w:lineRule="auto"/>
        <w:ind w:firstLine="426"/>
        <w:jc w:val="both"/>
        <w:rPr>
          <w:rFonts w:ascii="Times New Roman" w:hAnsi="Times New Roman" w:cs="Times New Roman"/>
          <w:sz w:val="24"/>
          <w:szCs w:val="24"/>
        </w:rPr>
      </w:pPr>
      <w:r w:rsidRPr="0063030A">
        <w:rPr>
          <w:rFonts w:ascii="Times New Roman" w:hAnsi="Times New Roman" w:cs="Times New Roman"/>
          <w:sz w:val="24"/>
          <w:szCs w:val="24"/>
        </w:rPr>
        <w:t>– 249 кредитным договорам юридических лиц на общую сумму 841,2 млн руб., из которых снижены процентные ставки либо приостановлено начисление процентов на период чрезвычайного положения по 67 кредитным договорам на сумму 145,2 млн руб.;</w:t>
      </w:r>
    </w:p>
    <w:p w14:paraId="594158BE" w14:textId="77777777" w:rsidR="00EF13D3" w:rsidRPr="0063030A" w:rsidRDefault="00EF13D3" w:rsidP="00EF13D3">
      <w:pPr>
        <w:spacing w:before="0" w:after="0" w:line="240" w:lineRule="auto"/>
        <w:ind w:firstLine="426"/>
        <w:jc w:val="both"/>
        <w:rPr>
          <w:rFonts w:ascii="Times New Roman" w:hAnsi="Times New Roman" w:cs="Times New Roman"/>
          <w:sz w:val="24"/>
          <w:szCs w:val="24"/>
        </w:rPr>
      </w:pPr>
      <w:r w:rsidRPr="0063030A">
        <w:rPr>
          <w:rFonts w:ascii="Times New Roman" w:hAnsi="Times New Roman" w:cs="Times New Roman"/>
          <w:sz w:val="24"/>
          <w:szCs w:val="24"/>
        </w:rPr>
        <w:t xml:space="preserve">– 78 кредитным договорам индивидуальных предпринимателей на сумму 8,1 млн руб., из которых снижены процентные ставки либо приостановлено начисление процентов на период чрезвычайного положения по 69 кредитным договорам на сумму 7,4 млн руб.; </w:t>
      </w:r>
    </w:p>
    <w:p w14:paraId="3AF6550E" w14:textId="77777777" w:rsidR="00EF13D3" w:rsidRPr="00CA36F5" w:rsidRDefault="00EF13D3" w:rsidP="00EF13D3">
      <w:pPr>
        <w:spacing w:before="0" w:after="0" w:line="240" w:lineRule="auto"/>
        <w:ind w:firstLine="426"/>
        <w:jc w:val="both"/>
        <w:rPr>
          <w:rFonts w:ascii="Times New Roman" w:hAnsi="Times New Roman" w:cs="Times New Roman"/>
          <w:sz w:val="24"/>
          <w:szCs w:val="24"/>
        </w:rPr>
      </w:pPr>
      <w:r w:rsidRPr="0063030A">
        <w:rPr>
          <w:rFonts w:ascii="Times New Roman" w:hAnsi="Times New Roman" w:cs="Times New Roman"/>
          <w:sz w:val="24"/>
          <w:szCs w:val="24"/>
        </w:rPr>
        <w:t>–  11 033 договорам физических лиц в общем объёме 248,9 млн руб. (на основе письменного обращения заёмщика в банк).</w:t>
      </w:r>
    </w:p>
    <w:p w14:paraId="1729C05F" w14:textId="77777777" w:rsidR="00EF13D3" w:rsidRPr="00C63EC5" w:rsidRDefault="00EF13D3" w:rsidP="00EF13D3">
      <w:pPr>
        <w:pStyle w:val="31"/>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Со стороны центрального банка б</w:t>
      </w:r>
      <w:r w:rsidRPr="002F235C">
        <w:rPr>
          <w:rFonts w:ascii="Times New Roman" w:hAnsi="Times New Roman" w:cs="Times New Roman"/>
          <w:sz w:val="24"/>
          <w:szCs w:val="24"/>
        </w:rPr>
        <w:t>ыло принято решение о предоставлении коммерческим банкам регуляторных послаблений в отношении формирования резервов на возможные потери по кредитам, предоставленным за</w:t>
      </w:r>
      <w:r>
        <w:rPr>
          <w:rFonts w:ascii="Times New Roman" w:hAnsi="Times New Roman" w:cs="Times New Roman"/>
          <w:sz w:val="24"/>
          <w:szCs w:val="24"/>
        </w:rPr>
        <w:t>ё</w:t>
      </w:r>
      <w:r w:rsidRPr="002F235C">
        <w:rPr>
          <w:rFonts w:ascii="Times New Roman" w:hAnsi="Times New Roman" w:cs="Times New Roman"/>
          <w:sz w:val="24"/>
          <w:szCs w:val="24"/>
        </w:rPr>
        <w:t>мщикам,</w:t>
      </w:r>
      <w:r w:rsidRPr="00046D85">
        <w:rPr>
          <w:rFonts w:ascii="Times New Roman" w:hAnsi="Times New Roman" w:cs="Times New Roman"/>
          <w:sz w:val="24"/>
          <w:szCs w:val="24"/>
        </w:rPr>
        <w:t xml:space="preserve"> </w:t>
      </w:r>
      <w:r w:rsidRPr="00C86864">
        <w:rPr>
          <w:rFonts w:ascii="Times New Roman" w:hAnsi="Times New Roman" w:cs="Times New Roman"/>
          <w:sz w:val="24"/>
          <w:szCs w:val="24"/>
        </w:rPr>
        <w:t>пон</w:t>
      </w:r>
      <w:r>
        <w:rPr>
          <w:rFonts w:ascii="Times New Roman" w:hAnsi="Times New Roman" w:cs="Times New Roman"/>
          <w:sz w:val="24"/>
          <w:szCs w:val="24"/>
        </w:rPr>
        <w:t>ё</w:t>
      </w:r>
      <w:r w:rsidRPr="00C86864">
        <w:rPr>
          <w:rFonts w:ascii="Times New Roman" w:hAnsi="Times New Roman" w:cs="Times New Roman"/>
          <w:sz w:val="24"/>
          <w:szCs w:val="24"/>
        </w:rPr>
        <w:t>с</w:t>
      </w:r>
      <w:r>
        <w:rPr>
          <w:rFonts w:ascii="Times New Roman" w:hAnsi="Times New Roman" w:cs="Times New Roman"/>
          <w:sz w:val="24"/>
          <w:szCs w:val="24"/>
        </w:rPr>
        <w:t>шим</w:t>
      </w:r>
      <w:r w:rsidRPr="00C86864">
        <w:rPr>
          <w:rFonts w:ascii="Times New Roman" w:hAnsi="Times New Roman" w:cs="Times New Roman"/>
          <w:sz w:val="24"/>
          <w:szCs w:val="24"/>
        </w:rPr>
        <w:t xml:space="preserve"> ущерб </w:t>
      </w:r>
      <w:r w:rsidRPr="00D872F2">
        <w:rPr>
          <w:rFonts w:ascii="Times New Roman" w:hAnsi="Times New Roman" w:cs="Times New Roman"/>
          <w:sz w:val="24"/>
          <w:szCs w:val="24"/>
        </w:rPr>
        <w:t>в связи с введением чрезвычайного положения</w:t>
      </w:r>
      <w:r>
        <w:rPr>
          <w:rFonts w:ascii="Times New Roman" w:hAnsi="Times New Roman" w:cs="Times New Roman"/>
          <w:sz w:val="24"/>
          <w:szCs w:val="24"/>
        </w:rPr>
        <w:t xml:space="preserve">, а также </w:t>
      </w:r>
      <w:r w:rsidRPr="002F235C">
        <w:rPr>
          <w:rFonts w:ascii="Times New Roman" w:hAnsi="Times New Roman" w:cs="Times New Roman"/>
          <w:sz w:val="24"/>
          <w:szCs w:val="24"/>
        </w:rPr>
        <w:t>осуществляющи</w:t>
      </w:r>
      <w:r>
        <w:rPr>
          <w:rFonts w:ascii="Times New Roman" w:hAnsi="Times New Roman" w:cs="Times New Roman"/>
          <w:sz w:val="24"/>
          <w:szCs w:val="24"/>
        </w:rPr>
        <w:t>м</w:t>
      </w:r>
      <w:r w:rsidRPr="002F235C">
        <w:rPr>
          <w:rFonts w:ascii="Times New Roman" w:hAnsi="Times New Roman" w:cs="Times New Roman"/>
          <w:sz w:val="24"/>
          <w:szCs w:val="24"/>
        </w:rPr>
        <w:t xml:space="preserve"> деятельность в сфере сельского хозяйства и испытывающи</w:t>
      </w:r>
      <w:r>
        <w:rPr>
          <w:rFonts w:ascii="Times New Roman" w:hAnsi="Times New Roman" w:cs="Times New Roman"/>
          <w:sz w:val="24"/>
          <w:szCs w:val="24"/>
        </w:rPr>
        <w:t>м</w:t>
      </w:r>
      <w:r w:rsidRPr="002F235C">
        <w:rPr>
          <w:rFonts w:ascii="Times New Roman" w:hAnsi="Times New Roman" w:cs="Times New Roman"/>
          <w:sz w:val="24"/>
          <w:szCs w:val="24"/>
        </w:rPr>
        <w:t xml:space="preserve"> сложности с исполнением своих обязательств перед кредитными организациями в связи со значительной потерей урожая, обусловленной </w:t>
      </w:r>
      <w:r w:rsidRPr="00C63EC5">
        <w:rPr>
          <w:rFonts w:ascii="Times New Roman" w:hAnsi="Times New Roman" w:cs="Times New Roman"/>
          <w:sz w:val="24"/>
          <w:szCs w:val="24"/>
        </w:rPr>
        <w:t>неблагоприятными погодными условиями.</w:t>
      </w:r>
    </w:p>
    <w:p w14:paraId="37C5BE86" w14:textId="3F091BA5" w:rsidR="00EF13D3" w:rsidRPr="00C63EC5" w:rsidRDefault="00EF13D3" w:rsidP="00EF13D3">
      <w:pPr>
        <w:pStyle w:val="31"/>
        <w:spacing w:before="0" w:after="0" w:line="240" w:lineRule="auto"/>
        <w:ind w:firstLine="425"/>
        <w:jc w:val="both"/>
        <w:rPr>
          <w:rFonts w:ascii="Times New Roman" w:hAnsi="Times New Roman" w:cs="Times New Roman"/>
          <w:sz w:val="24"/>
          <w:szCs w:val="24"/>
        </w:rPr>
      </w:pPr>
      <w:r w:rsidRPr="00C63EC5">
        <w:rPr>
          <w:rFonts w:ascii="Times New Roman" w:hAnsi="Times New Roman" w:cs="Times New Roman"/>
          <w:sz w:val="24"/>
          <w:szCs w:val="24"/>
        </w:rPr>
        <w:lastRenderedPageBreak/>
        <w:t xml:space="preserve">В 2020 году </w:t>
      </w:r>
      <w:r>
        <w:rPr>
          <w:rFonts w:ascii="Times New Roman" w:hAnsi="Times New Roman" w:cs="Times New Roman"/>
          <w:sz w:val="24"/>
          <w:szCs w:val="24"/>
        </w:rPr>
        <w:t>Банк Приднестровья</w:t>
      </w:r>
      <w:r w:rsidRPr="00C63EC5">
        <w:rPr>
          <w:rFonts w:ascii="Times New Roman" w:hAnsi="Times New Roman" w:cs="Times New Roman"/>
          <w:sz w:val="24"/>
          <w:szCs w:val="24"/>
        </w:rPr>
        <w:t xml:space="preserve"> осуществлял мониторинг рисков потребительского кредитования, связанных с чрезмерными темпами роста этого сектора. Были введены меры, </w:t>
      </w:r>
      <w:r w:rsidRPr="002012B5">
        <w:rPr>
          <w:rFonts w:ascii="Times New Roman" w:hAnsi="Times New Roman" w:cs="Times New Roman"/>
          <w:sz w:val="24"/>
          <w:szCs w:val="24"/>
        </w:rPr>
        <w:t xml:space="preserve">направленные на ограничение повышения долговой нагрузки заёмщиков - физических лиц. Так, ужесточены параметры резервирования для кредитов, выданных с </w:t>
      </w:r>
      <w:r w:rsidR="00B23EDD">
        <w:rPr>
          <w:rFonts w:ascii="Times New Roman" w:hAnsi="Times New Roman" w:cs="Times New Roman"/>
          <w:sz w:val="24"/>
          <w:szCs w:val="24"/>
        </w:rPr>
        <w:t xml:space="preserve">начала </w:t>
      </w:r>
      <w:r w:rsidRPr="002012B5">
        <w:rPr>
          <w:rFonts w:ascii="Times New Roman" w:hAnsi="Times New Roman" w:cs="Times New Roman"/>
          <w:sz w:val="24"/>
          <w:szCs w:val="24"/>
        </w:rPr>
        <w:t xml:space="preserve">2020 года физическим лицам в иностранной валюте и (или) в рублях </w:t>
      </w:r>
      <w:r w:rsidR="00B23EDD">
        <w:rPr>
          <w:rFonts w:ascii="Times New Roman" w:hAnsi="Times New Roman" w:cs="Times New Roman"/>
          <w:sz w:val="24"/>
          <w:szCs w:val="24"/>
        </w:rPr>
        <w:t>ПМР</w:t>
      </w:r>
      <w:r w:rsidRPr="002012B5">
        <w:rPr>
          <w:rFonts w:ascii="Times New Roman" w:hAnsi="Times New Roman" w:cs="Times New Roman"/>
          <w:sz w:val="24"/>
          <w:szCs w:val="24"/>
        </w:rPr>
        <w:t>, сумма погашения которых зависит от изменения применяемых</w:t>
      </w:r>
      <w:r w:rsidRPr="00D2341F">
        <w:rPr>
          <w:rFonts w:ascii="Times New Roman" w:hAnsi="Times New Roman" w:cs="Times New Roman"/>
          <w:sz w:val="24"/>
          <w:szCs w:val="24"/>
        </w:rPr>
        <w:t xml:space="preserve"> кредитной организацией курсов иностранных валют по отношению к рублю</w:t>
      </w:r>
      <w:r w:rsidR="00B23EDD">
        <w:rPr>
          <w:rFonts w:ascii="Times New Roman" w:hAnsi="Times New Roman" w:cs="Times New Roman"/>
          <w:sz w:val="24"/>
          <w:szCs w:val="24"/>
        </w:rPr>
        <w:t xml:space="preserve"> ПМР</w:t>
      </w:r>
      <w:r w:rsidRPr="00D2341F">
        <w:rPr>
          <w:rFonts w:ascii="Times New Roman" w:hAnsi="Times New Roman" w:cs="Times New Roman"/>
          <w:sz w:val="24"/>
          <w:szCs w:val="24"/>
        </w:rPr>
        <w:t xml:space="preserve">. </w:t>
      </w:r>
      <w:r w:rsidR="002012B5">
        <w:rPr>
          <w:rFonts w:ascii="Times New Roman" w:hAnsi="Times New Roman" w:cs="Times New Roman"/>
          <w:sz w:val="24"/>
          <w:szCs w:val="24"/>
        </w:rPr>
        <w:t>К</w:t>
      </w:r>
      <w:r w:rsidRPr="00D2341F">
        <w:rPr>
          <w:rFonts w:ascii="Times New Roman" w:hAnsi="Times New Roman" w:cs="Times New Roman"/>
          <w:sz w:val="24"/>
          <w:szCs w:val="24"/>
        </w:rPr>
        <w:t>редитные организации обязаны классифицировать данные кредиты не выше, чем в IV категорию качества</w:t>
      </w:r>
      <w:r w:rsidR="00B23EDD">
        <w:rPr>
          <w:rFonts w:ascii="Times New Roman" w:hAnsi="Times New Roman" w:cs="Times New Roman"/>
          <w:sz w:val="24"/>
          <w:szCs w:val="24"/>
        </w:rPr>
        <w:t>,</w:t>
      </w:r>
      <w:r w:rsidRPr="00D2341F">
        <w:rPr>
          <w:rFonts w:ascii="Times New Roman" w:hAnsi="Times New Roman" w:cs="Times New Roman"/>
          <w:sz w:val="24"/>
          <w:szCs w:val="24"/>
        </w:rPr>
        <w:t xml:space="preserve"> с расчётным фондом риска в размере не менее 100 процентов. Данная мера позволяет избежать кредитных рисков в необеспеченном потребительском кредитовании при колебаниях официального курса.</w:t>
      </w:r>
      <w:r>
        <w:rPr>
          <w:rFonts w:ascii="Times New Roman" w:hAnsi="Times New Roman" w:cs="Times New Roman"/>
          <w:sz w:val="24"/>
          <w:szCs w:val="24"/>
        </w:rPr>
        <w:t xml:space="preserve"> </w:t>
      </w:r>
      <w:r w:rsidRPr="00C63EC5">
        <w:rPr>
          <w:rFonts w:ascii="Times New Roman" w:hAnsi="Times New Roman" w:cs="Times New Roman"/>
          <w:sz w:val="24"/>
          <w:szCs w:val="24"/>
        </w:rPr>
        <w:t xml:space="preserve"> </w:t>
      </w:r>
    </w:p>
    <w:p w14:paraId="382AF57E" w14:textId="77777777" w:rsidR="00EF13D3" w:rsidRPr="00C63EC5" w:rsidRDefault="00EF13D3" w:rsidP="00EF13D3">
      <w:pPr>
        <w:pStyle w:val="31"/>
        <w:spacing w:before="0" w:after="0" w:line="240" w:lineRule="auto"/>
        <w:ind w:firstLine="425"/>
        <w:jc w:val="both"/>
        <w:rPr>
          <w:rFonts w:ascii="Times New Roman" w:hAnsi="Times New Roman" w:cs="Times New Roman"/>
          <w:sz w:val="24"/>
          <w:szCs w:val="24"/>
        </w:rPr>
      </w:pPr>
      <w:r w:rsidRPr="00C63EC5">
        <w:rPr>
          <w:rFonts w:ascii="Times New Roman" w:hAnsi="Times New Roman" w:cs="Times New Roman"/>
          <w:sz w:val="24"/>
          <w:szCs w:val="24"/>
        </w:rPr>
        <w:t xml:space="preserve">При этом указанное требование по оценке кредитного риска не распространяется на заёмщиков - физических лиц, получающих заработную плату и (или) пенсию в иностранной валюте, которая соответствует валюте кредита или валюте, к которой привязана сумма погашения кредита, так как вероятность убытков банка в результате колебаний валютных курсов практически отсутствует. </w:t>
      </w:r>
    </w:p>
    <w:p w14:paraId="6318C24E" w14:textId="12290BB7" w:rsidR="00EF13D3" w:rsidRPr="002F235C" w:rsidRDefault="00EF13D3" w:rsidP="00EF13D3">
      <w:pPr>
        <w:pStyle w:val="31"/>
        <w:spacing w:before="0"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Также </w:t>
      </w:r>
      <w:r w:rsidRPr="00C63EC5">
        <w:rPr>
          <w:rFonts w:ascii="Times New Roman" w:hAnsi="Times New Roman" w:cs="Times New Roman"/>
          <w:sz w:val="24"/>
          <w:szCs w:val="24"/>
        </w:rPr>
        <w:t>Приднестровским республиканским банком отслеживаются средние по банкам ставки и сроки кредитования с целью анализа их влияния на показатель долговой нагрузки</w:t>
      </w:r>
      <w:r>
        <w:rPr>
          <w:rFonts w:ascii="Times New Roman" w:hAnsi="Times New Roman" w:cs="Times New Roman"/>
          <w:sz w:val="24"/>
          <w:szCs w:val="24"/>
        </w:rPr>
        <w:t>,</w:t>
      </w:r>
      <w:r w:rsidRPr="00C63EC5">
        <w:rPr>
          <w:rFonts w:ascii="Times New Roman" w:hAnsi="Times New Roman" w:cs="Times New Roman"/>
          <w:sz w:val="24"/>
          <w:szCs w:val="24"/>
        </w:rPr>
        <w:t xml:space="preserve"> </w:t>
      </w:r>
      <w:r>
        <w:rPr>
          <w:rFonts w:ascii="Times New Roman" w:hAnsi="Times New Roman" w:cs="Times New Roman"/>
          <w:sz w:val="24"/>
          <w:szCs w:val="24"/>
        </w:rPr>
        <w:t xml:space="preserve">как заёмщиков - физических лиц, так и </w:t>
      </w:r>
      <w:r w:rsidRPr="002F235C">
        <w:rPr>
          <w:rFonts w:ascii="Times New Roman" w:hAnsi="Times New Roman" w:cs="Times New Roman"/>
          <w:sz w:val="24"/>
          <w:szCs w:val="24"/>
        </w:rPr>
        <w:t>наиболее значимых для банковской системы заёмщиков корпоративного сектора.</w:t>
      </w:r>
    </w:p>
    <w:p w14:paraId="47E31AE1" w14:textId="77777777" w:rsidR="00EF13D3" w:rsidRPr="00B2297B" w:rsidRDefault="00EF13D3" w:rsidP="00EF13D3">
      <w:pPr>
        <w:pStyle w:val="31"/>
        <w:spacing w:before="0" w:after="0" w:line="240" w:lineRule="auto"/>
        <w:ind w:firstLine="426"/>
        <w:jc w:val="both"/>
        <w:rPr>
          <w:rFonts w:ascii="Times New Roman" w:hAnsi="Times New Roman" w:cs="Times New Roman"/>
          <w:sz w:val="24"/>
          <w:szCs w:val="24"/>
        </w:rPr>
      </w:pPr>
      <w:r w:rsidRPr="00B2297B">
        <w:rPr>
          <w:rFonts w:ascii="Times New Roman" w:hAnsi="Times New Roman" w:cs="Times New Roman"/>
          <w:sz w:val="24"/>
          <w:szCs w:val="24"/>
        </w:rPr>
        <w:t xml:space="preserve">Кроме того, в связи с закрытием на период чрезвычайного положения рынков, торговых предприятий, на территории которых были размещены структурные подразделения банков, и с целью </w:t>
      </w:r>
      <w:r>
        <w:rPr>
          <w:rFonts w:ascii="Times New Roman" w:hAnsi="Times New Roman" w:cs="Times New Roman"/>
          <w:sz w:val="24"/>
          <w:szCs w:val="24"/>
        </w:rPr>
        <w:t xml:space="preserve">бесперебойного </w:t>
      </w:r>
      <w:r w:rsidRPr="00B2297B">
        <w:rPr>
          <w:rFonts w:ascii="Times New Roman" w:hAnsi="Times New Roman" w:cs="Times New Roman"/>
          <w:sz w:val="24"/>
          <w:szCs w:val="24"/>
        </w:rPr>
        <w:t>обеспечения населения банковскими услугами, в том числе по выплате пенсий и пособий, в случае острой необходимости банк</w:t>
      </w:r>
      <w:r>
        <w:rPr>
          <w:rFonts w:ascii="Times New Roman" w:hAnsi="Times New Roman" w:cs="Times New Roman"/>
          <w:sz w:val="24"/>
          <w:szCs w:val="24"/>
        </w:rPr>
        <w:t xml:space="preserve">ам предоставлено </w:t>
      </w:r>
      <w:r w:rsidRPr="00B2297B">
        <w:rPr>
          <w:rFonts w:ascii="Times New Roman" w:hAnsi="Times New Roman" w:cs="Times New Roman"/>
          <w:sz w:val="24"/>
          <w:szCs w:val="24"/>
        </w:rPr>
        <w:t>прав</w:t>
      </w:r>
      <w:r>
        <w:rPr>
          <w:rFonts w:ascii="Times New Roman" w:hAnsi="Times New Roman" w:cs="Times New Roman"/>
          <w:sz w:val="24"/>
          <w:szCs w:val="24"/>
        </w:rPr>
        <w:t>о</w:t>
      </w:r>
      <w:r w:rsidRPr="00B2297B">
        <w:rPr>
          <w:rFonts w:ascii="Times New Roman" w:hAnsi="Times New Roman" w:cs="Times New Roman"/>
          <w:sz w:val="24"/>
          <w:szCs w:val="24"/>
        </w:rPr>
        <w:t xml:space="preserve"> организовать выездное рабочее место кассового работника. </w:t>
      </w:r>
    </w:p>
    <w:p w14:paraId="3127C05B" w14:textId="77777777" w:rsidR="00822F2A" w:rsidRDefault="00822F2A" w:rsidP="00EF13D3">
      <w:pPr>
        <w:spacing w:before="0" w:after="0" w:line="240" w:lineRule="auto"/>
        <w:ind w:firstLine="425"/>
        <w:jc w:val="both"/>
        <w:rPr>
          <w:rFonts w:ascii="Times New Roman" w:hAnsi="Times New Roman" w:cs="Times New Roman"/>
          <w:sz w:val="24"/>
          <w:szCs w:val="24"/>
        </w:rPr>
      </w:pPr>
    </w:p>
    <w:p w14:paraId="65126213" w14:textId="06710A5E" w:rsidR="00EF13D3" w:rsidRDefault="00EF13D3" w:rsidP="00822F2A">
      <w:pPr>
        <w:pStyle w:val="1"/>
        <w:widowControl w:val="0"/>
        <w:spacing w:before="0" w:line="240" w:lineRule="auto"/>
        <w:jc w:val="center"/>
        <w:rPr>
          <w:b/>
          <w:bCs/>
          <w:noProof/>
          <w:sz w:val="24"/>
          <w:szCs w:val="24"/>
        </w:rPr>
      </w:pPr>
      <w:r>
        <w:rPr>
          <w:b/>
          <w:bCs/>
          <w:noProof/>
          <w:sz w:val="24"/>
          <w:szCs w:val="24"/>
        </w:rPr>
        <w:t xml:space="preserve">2.4. </w:t>
      </w:r>
      <w:r w:rsidRPr="00450764">
        <w:rPr>
          <w:b/>
          <w:bCs/>
          <w:noProof/>
          <w:sz w:val="24"/>
          <w:szCs w:val="24"/>
        </w:rPr>
        <w:t>РЕГУЛИРОВАНИЕ И НАДЗОР В БАНКОВСКОЙ И СТРАХОВОЙ СФЕРАХ</w:t>
      </w:r>
    </w:p>
    <w:p w14:paraId="0D4965EC" w14:textId="77777777" w:rsidR="00EF13D3" w:rsidRPr="009817F3" w:rsidRDefault="00EF13D3" w:rsidP="00EF13D3">
      <w:pPr>
        <w:spacing w:before="0" w:after="0" w:line="240" w:lineRule="auto"/>
      </w:pPr>
    </w:p>
    <w:p w14:paraId="53D7BB3E" w14:textId="2BAC3624" w:rsidR="00EF13D3" w:rsidRPr="00AE725A" w:rsidRDefault="00EF13D3" w:rsidP="00822F2A">
      <w:pPr>
        <w:pStyle w:val="2"/>
        <w:spacing w:before="0" w:line="240" w:lineRule="auto"/>
        <w:jc w:val="center"/>
        <w:rPr>
          <w:b/>
          <w:noProof/>
        </w:rPr>
      </w:pPr>
      <w:r w:rsidRPr="00AE725A">
        <w:rPr>
          <w:b/>
          <w:noProof/>
        </w:rPr>
        <w:t>Регистрация и лицензирование</w:t>
      </w:r>
    </w:p>
    <w:p w14:paraId="16370F52" w14:textId="0450EAE4" w:rsidR="00EF13D3" w:rsidRPr="00AE725A" w:rsidRDefault="00EF13D3" w:rsidP="00EF13D3">
      <w:pPr>
        <w:spacing w:before="120" w:after="0" w:line="240" w:lineRule="auto"/>
        <w:ind w:firstLine="425"/>
        <w:jc w:val="both"/>
        <w:rPr>
          <w:rFonts w:ascii="Times New Roman" w:eastAsia="Times New Roman" w:hAnsi="Times New Roman" w:cs="Times New Roman"/>
          <w:sz w:val="24"/>
          <w:szCs w:val="22"/>
        </w:rPr>
      </w:pPr>
      <w:r w:rsidRPr="00AE725A">
        <w:rPr>
          <w:rFonts w:ascii="Times New Roman" w:eastAsia="Times New Roman" w:hAnsi="Times New Roman" w:cs="Times New Roman"/>
          <w:sz w:val="24"/>
          <w:szCs w:val="24"/>
        </w:rPr>
        <w:t xml:space="preserve">В 2020 году общее количество действующих банков, обладающих генеральной лицензией на осуществление банковских операций, не изменилось. </w:t>
      </w:r>
      <w:r w:rsidRPr="00AE725A">
        <w:rPr>
          <w:rFonts w:ascii="Times New Roman" w:eastAsia="Times New Roman" w:hAnsi="Times New Roman" w:cs="Times New Roman"/>
          <w:sz w:val="24"/>
          <w:szCs w:val="22"/>
        </w:rPr>
        <w:t xml:space="preserve">По состоянию на </w:t>
      </w:r>
      <w:r w:rsidRPr="00AE725A">
        <w:rPr>
          <w:rFonts w:ascii="Times New Roman" w:eastAsia="Times New Roman" w:hAnsi="Times New Roman" w:cs="Times New Roman"/>
          <w:sz w:val="24"/>
          <w:szCs w:val="22"/>
        </w:rPr>
        <w:br/>
        <w:t xml:space="preserve">1 января 2021 года банковская система Приднестровья была представлена тремя коммерческими банками (табл. 2.1), два из которых (ЗАО «Агропромбанк» и </w:t>
      </w:r>
      <w:r>
        <w:rPr>
          <w:rFonts w:ascii="Times New Roman" w:eastAsia="Times New Roman" w:hAnsi="Times New Roman" w:cs="Times New Roman"/>
          <w:sz w:val="24"/>
          <w:szCs w:val="22"/>
        </w:rPr>
        <w:br/>
      </w:r>
      <w:r w:rsidRPr="00AE725A">
        <w:rPr>
          <w:rFonts w:ascii="Times New Roman" w:eastAsia="Times New Roman" w:hAnsi="Times New Roman" w:cs="Times New Roman"/>
          <w:sz w:val="24"/>
          <w:szCs w:val="22"/>
        </w:rPr>
        <w:t>ЗАО «Приднестровский сберегательный банк») осуществляют деятельность в форме закрытого акционерного общества, один банк (ОАО «Эксимбанк») – в форме открытого.</w:t>
      </w:r>
    </w:p>
    <w:p w14:paraId="59536F70" w14:textId="6C7C1053" w:rsidR="00EF13D3" w:rsidRPr="003E7192" w:rsidRDefault="00EF13D3" w:rsidP="00EF13D3">
      <w:pPr>
        <w:widowControl w:val="0"/>
        <w:spacing w:before="0" w:after="0" w:line="240" w:lineRule="auto"/>
        <w:ind w:firstLine="425"/>
        <w:jc w:val="both"/>
        <w:rPr>
          <w:rFonts w:ascii="Times New Roman" w:eastAsia="Times New Roman" w:hAnsi="Times New Roman" w:cs="Times New Roman"/>
          <w:strike/>
          <w:sz w:val="24"/>
          <w:szCs w:val="24"/>
        </w:rPr>
      </w:pPr>
      <w:r w:rsidRPr="00AE725A">
        <w:rPr>
          <w:rFonts w:ascii="Times New Roman" w:eastAsia="Times New Roman" w:hAnsi="Times New Roman" w:cs="Times New Roman"/>
          <w:sz w:val="24"/>
          <w:szCs w:val="24"/>
        </w:rPr>
        <w:t xml:space="preserve">Суммарная величина зарегистрированного уставного капитала действующих банков на </w:t>
      </w:r>
      <w:r>
        <w:rPr>
          <w:rFonts w:ascii="Times New Roman" w:eastAsia="Times New Roman" w:hAnsi="Times New Roman" w:cs="Times New Roman"/>
          <w:sz w:val="24"/>
          <w:szCs w:val="24"/>
        </w:rPr>
        <w:br/>
      </w:r>
      <w:r w:rsidRPr="00D2341F">
        <w:rPr>
          <w:rFonts w:ascii="Times New Roman" w:eastAsia="Times New Roman" w:hAnsi="Times New Roman" w:cs="Times New Roman"/>
          <w:sz w:val="24"/>
          <w:szCs w:val="24"/>
        </w:rPr>
        <w:t>1 января 2021 года составила 1 853,8 млн руб. Процедура оздоровления банковской системы полностью завершена, в установленные сроки, все коммерческие банки выполняют обязательные к исполнению нормативные требования центрального банка.</w:t>
      </w:r>
    </w:p>
    <w:p w14:paraId="70E713CB" w14:textId="77777777" w:rsidR="00EF13D3" w:rsidRPr="00AE725A" w:rsidRDefault="00EF13D3" w:rsidP="00EF13D3">
      <w:pPr>
        <w:widowControl w:val="0"/>
        <w:spacing w:before="120" w:after="120" w:line="240" w:lineRule="auto"/>
        <w:ind w:firstLine="709"/>
        <w:jc w:val="right"/>
        <w:rPr>
          <w:rFonts w:ascii="Times New Roman" w:eastAsia="Times New Roman" w:hAnsi="Times New Roman" w:cs="Times New Roman"/>
          <w:b/>
          <w:bCs/>
          <w:i/>
          <w:iCs/>
          <w:sz w:val="24"/>
          <w:szCs w:val="24"/>
        </w:rPr>
      </w:pPr>
      <w:r w:rsidRPr="00AE725A">
        <w:rPr>
          <w:rFonts w:ascii="Times New Roman" w:eastAsia="Times New Roman" w:hAnsi="Times New Roman" w:cs="Times New Roman"/>
          <w:b/>
          <w:bCs/>
          <w:i/>
          <w:iCs/>
          <w:sz w:val="24"/>
          <w:szCs w:val="24"/>
        </w:rPr>
        <w:t xml:space="preserve">Таблица 2.1 </w:t>
      </w:r>
    </w:p>
    <w:p w14:paraId="6BEF5977" w14:textId="77777777" w:rsidR="00EF13D3" w:rsidRPr="00AE725A" w:rsidRDefault="00EF13D3" w:rsidP="00EF13D3">
      <w:pPr>
        <w:widowControl w:val="0"/>
        <w:spacing w:before="0" w:after="120" w:line="240" w:lineRule="auto"/>
        <w:ind w:firstLine="709"/>
        <w:jc w:val="center"/>
        <w:rPr>
          <w:rFonts w:ascii="Times New Roman" w:eastAsia="Calibri" w:hAnsi="Times New Roman" w:cs="Times New Roman"/>
          <w:b/>
          <w:bCs/>
          <w:i/>
          <w:iCs/>
          <w:sz w:val="24"/>
          <w:szCs w:val="24"/>
          <w:lang w:eastAsia="en-US"/>
        </w:rPr>
      </w:pPr>
      <w:r w:rsidRPr="00AE725A">
        <w:rPr>
          <w:rFonts w:ascii="Times New Roman" w:eastAsia="Calibri" w:hAnsi="Times New Roman" w:cs="Times New Roman"/>
          <w:b/>
          <w:bCs/>
          <w:i/>
          <w:iCs/>
          <w:sz w:val="24"/>
          <w:szCs w:val="24"/>
          <w:lang w:eastAsia="en-US"/>
        </w:rPr>
        <w:t>Структура банковского сектора, ед.</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6"/>
        <w:gridCol w:w="2121"/>
        <w:gridCol w:w="2122"/>
      </w:tblGrid>
      <w:tr w:rsidR="00EF13D3" w:rsidRPr="00AE725A" w14:paraId="5E7F077B" w14:textId="77777777" w:rsidTr="00EF13D3">
        <w:trPr>
          <w:trHeight w:val="284"/>
        </w:trPr>
        <w:tc>
          <w:tcPr>
            <w:tcW w:w="5396" w:type="dxa"/>
            <w:tcBorders>
              <w:top w:val="single" w:sz="4" w:space="0" w:color="auto"/>
              <w:left w:val="single" w:sz="4" w:space="0" w:color="auto"/>
              <w:bottom w:val="double" w:sz="4" w:space="0" w:color="auto"/>
              <w:right w:val="single" w:sz="4" w:space="0" w:color="auto"/>
            </w:tcBorders>
            <w:shd w:val="clear" w:color="auto" w:fill="CCCCCC"/>
          </w:tcPr>
          <w:p w14:paraId="58481AD9" w14:textId="77777777" w:rsidR="00EF13D3" w:rsidRPr="00AE725A" w:rsidRDefault="00EF13D3" w:rsidP="00EF13D3">
            <w:pPr>
              <w:widowControl w:val="0"/>
              <w:spacing w:before="0" w:after="0" w:line="240" w:lineRule="auto"/>
              <w:ind w:left="284" w:right="-96" w:firstLine="709"/>
              <w:jc w:val="center"/>
              <w:rPr>
                <w:rFonts w:ascii="Times New Roman" w:eastAsia="Times New Roman" w:hAnsi="Times New Roman" w:cs="Times New Roman"/>
                <w:sz w:val="22"/>
                <w:szCs w:val="22"/>
              </w:rPr>
            </w:pPr>
          </w:p>
        </w:tc>
        <w:tc>
          <w:tcPr>
            <w:tcW w:w="2121" w:type="dxa"/>
            <w:tcBorders>
              <w:top w:val="single" w:sz="4" w:space="0" w:color="auto"/>
              <w:left w:val="single" w:sz="4" w:space="0" w:color="auto"/>
              <w:bottom w:val="double" w:sz="4" w:space="0" w:color="auto"/>
              <w:right w:val="single" w:sz="4" w:space="0" w:color="auto"/>
            </w:tcBorders>
            <w:shd w:val="clear" w:color="auto" w:fill="CCCCCC"/>
            <w:vAlign w:val="center"/>
            <w:hideMark/>
          </w:tcPr>
          <w:p w14:paraId="613AD0F8" w14:textId="77777777" w:rsidR="00EF13D3" w:rsidRPr="00AE725A" w:rsidRDefault="00EF13D3" w:rsidP="00EF13D3">
            <w:pPr>
              <w:widowControl w:val="0"/>
              <w:spacing w:before="0" w:after="0" w:line="240" w:lineRule="auto"/>
              <w:ind w:left="-102"/>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на 01.01.2020</w:t>
            </w:r>
          </w:p>
        </w:tc>
        <w:tc>
          <w:tcPr>
            <w:tcW w:w="2122" w:type="dxa"/>
            <w:tcBorders>
              <w:top w:val="single" w:sz="4" w:space="0" w:color="auto"/>
              <w:left w:val="single" w:sz="4" w:space="0" w:color="auto"/>
              <w:bottom w:val="double" w:sz="4" w:space="0" w:color="auto"/>
              <w:right w:val="single" w:sz="4" w:space="0" w:color="auto"/>
            </w:tcBorders>
            <w:shd w:val="clear" w:color="auto" w:fill="CCCCCC"/>
            <w:vAlign w:val="center"/>
            <w:hideMark/>
          </w:tcPr>
          <w:p w14:paraId="286FA7A4" w14:textId="77777777" w:rsidR="00EF13D3" w:rsidRPr="00AE725A" w:rsidRDefault="00EF13D3" w:rsidP="00EF13D3">
            <w:pPr>
              <w:widowControl w:val="0"/>
              <w:spacing w:before="0" w:after="0" w:line="240" w:lineRule="auto"/>
              <w:ind w:left="-125" w:firstLine="11"/>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на 01.01.2021</w:t>
            </w:r>
          </w:p>
        </w:tc>
      </w:tr>
      <w:tr w:rsidR="00EF13D3" w:rsidRPr="00AE725A" w14:paraId="59CC29A9" w14:textId="77777777" w:rsidTr="00EF13D3">
        <w:trPr>
          <w:trHeight w:val="114"/>
        </w:trPr>
        <w:tc>
          <w:tcPr>
            <w:tcW w:w="5396" w:type="dxa"/>
            <w:tcBorders>
              <w:top w:val="double" w:sz="4" w:space="0" w:color="auto"/>
              <w:left w:val="single" w:sz="4" w:space="0" w:color="auto"/>
              <w:bottom w:val="single" w:sz="4" w:space="0" w:color="auto"/>
              <w:right w:val="single" w:sz="4" w:space="0" w:color="auto"/>
            </w:tcBorders>
            <w:vAlign w:val="center"/>
            <w:hideMark/>
          </w:tcPr>
          <w:p w14:paraId="4A4EEFC5" w14:textId="77777777" w:rsidR="00EF13D3" w:rsidRPr="00AE725A" w:rsidRDefault="00EF13D3" w:rsidP="00EF13D3">
            <w:pPr>
              <w:widowControl w:val="0"/>
              <w:spacing w:before="0" w:after="0" w:line="240" w:lineRule="auto"/>
              <w:ind w:right="-96"/>
              <w:rPr>
                <w:rFonts w:ascii="Times New Roman" w:eastAsia="Times New Roman" w:hAnsi="Times New Roman" w:cs="Times New Roman"/>
                <w:sz w:val="22"/>
                <w:szCs w:val="22"/>
                <w:lang w:eastAsia="en-US"/>
              </w:rPr>
            </w:pPr>
            <w:r w:rsidRPr="00AE725A">
              <w:rPr>
                <w:rFonts w:ascii="Times New Roman" w:eastAsia="Times New Roman" w:hAnsi="Times New Roman" w:cs="Times New Roman"/>
                <w:sz w:val="22"/>
                <w:szCs w:val="22"/>
                <w:lang w:eastAsia="en-US"/>
              </w:rPr>
              <w:t xml:space="preserve">Коммерческие банки (действующие) </w:t>
            </w:r>
          </w:p>
        </w:tc>
        <w:tc>
          <w:tcPr>
            <w:tcW w:w="2121" w:type="dxa"/>
            <w:tcBorders>
              <w:top w:val="double" w:sz="4" w:space="0" w:color="auto"/>
              <w:left w:val="single" w:sz="4" w:space="0" w:color="auto"/>
              <w:bottom w:val="single" w:sz="4" w:space="0" w:color="auto"/>
              <w:right w:val="single" w:sz="4" w:space="0" w:color="auto"/>
            </w:tcBorders>
            <w:vAlign w:val="center"/>
            <w:hideMark/>
          </w:tcPr>
          <w:p w14:paraId="51513C98"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3</w:t>
            </w:r>
          </w:p>
        </w:tc>
        <w:tc>
          <w:tcPr>
            <w:tcW w:w="2122" w:type="dxa"/>
            <w:tcBorders>
              <w:top w:val="double" w:sz="4" w:space="0" w:color="auto"/>
              <w:left w:val="single" w:sz="4" w:space="0" w:color="auto"/>
              <w:bottom w:val="single" w:sz="4" w:space="0" w:color="auto"/>
              <w:right w:val="single" w:sz="4" w:space="0" w:color="auto"/>
            </w:tcBorders>
            <w:vAlign w:val="center"/>
            <w:hideMark/>
          </w:tcPr>
          <w:p w14:paraId="348E7FDE"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3</w:t>
            </w:r>
          </w:p>
        </w:tc>
      </w:tr>
      <w:tr w:rsidR="00EF13D3" w:rsidRPr="00AE725A" w14:paraId="08C38990" w14:textId="77777777" w:rsidTr="00EF13D3">
        <w:trPr>
          <w:trHeight w:val="96"/>
        </w:trPr>
        <w:tc>
          <w:tcPr>
            <w:tcW w:w="5396" w:type="dxa"/>
            <w:tcBorders>
              <w:top w:val="nil"/>
              <w:left w:val="single" w:sz="4" w:space="0" w:color="auto"/>
              <w:bottom w:val="nil"/>
              <w:right w:val="single" w:sz="4" w:space="0" w:color="auto"/>
            </w:tcBorders>
            <w:vAlign w:val="center"/>
            <w:hideMark/>
          </w:tcPr>
          <w:p w14:paraId="08671336" w14:textId="77777777" w:rsidR="00EF13D3" w:rsidRPr="00AE725A" w:rsidRDefault="00EF13D3" w:rsidP="00EF13D3">
            <w:pPr>
              <w:widowControl w:val="0"/>
              <w:spacing w:before="0" w:after="0" w:line="240" w:lineRule="auto"/>
              <w:ind w:left="162" w:right="-96"/>
              <w:rPr>
                <w:rFonts w:ascii="Times New Roman" w:eastAsia="Times New Roman" w:hAnsi="Times New Roman" w:cs="Times New Roman"/>
                <w:sz w:val="22"/>
                <w:szCs w:val="22"/>
                <w:lang w:eastAsia="en-US"/>
              </w:rPr>
            </w:pPr>
            <w:r w:rsidRPr="00AE725A">
              <w:rPr>
                <w:rFonts w:ascii="Times New Roman" w:eastAsia="Times New Roman" w:hAnsi="Times New Roman" w:cs="Times New Roman"/>
                <w:sz w:val="22"/>
                <w:szCs w:val="22"/>
                <w:lang w:eastAsia="en-US"/>
              </w:rPr>
              <w:t>из них:</w:t>
            </w:r>
          </w:p>
        </w:tc>
        <w:tc>
          <w:tcPr>
            <w:tcW w:w="2121" w:type="dxa"/>
            <w:tcBorders>
              <w:top w:val="nil"/>
              <w:left w:val="single" w:sz="4" w:space="0" w:color="auto"/>
              <w:bottom w:val="nil"/>
              <w:right w:val="single" w:sz="4" w:space="0" w:color="auto"/>
            </w:tcBorders>
            <w:vAlign w:val="center"/>
          </w:tcPr>
          <w:p w14:paraId="7558B7C9"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p>
        </w:tc>
        <w:tc>
          <w:tcPr>
            <w:tcW w:w="2122" w:type="dxa"/>
            <w:tcBorders>
              <w:top w:val="nil"/>
              <w:left w:val="single" w:sz="4" w:space="0" w:color="auto"/>
              <w:bottom w:val="nil"/>
              <w:right w:val="single" w:sz="4" w:space="0" w:color="auto"/>
            </w:tcBorders>
            <w:vAlign w:val="center"/>
          </w:tcPr>
          <w:p w14:paraId="678F8A8F"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p>
        </w:tc>
      </w:tr>
      <w:tr w:rsidR="00EF13D3" w:rsidRPr="00AE725A" w14:paraId="7012A711" w14:textId="77777777" w:rsidTr="00EF13D3">
        <w:trPr>
          <w:trHeight w:val="96"/>
        </w:trPr>
        <w:tc>
          <w:tcPr>
            <w:tcW w:w="5396" w:type="dxa"/>
            <w:tcBorders>
              <w:top w:val="nil"/>
              <w:left w:val="single" w:sz="4" w:space="0" w:color="auto"/>
              <w:bottom w:val="nil"/>
              <w:right w:val="single" w:sz="4" w:space="0" w:color="auto"/>
            </w:tcBorders>
            <w:vAlign w:val="center"/>
            <w:hideMark/>
          </w:tcPr>
          <w:p w14:paraId="50810538" w14:textId="77777777" w:rsidR="00EF13D3" w:rsidRPr="00AE725A" w:rsidRDefault="00EF13D3" w:rsidP="00EF13D3">
            <w:pPr>
              <w:widowControl w:val="0"/>
              <w:spacing w:before="0" w:after="0" w:line="240" w:lineRule="auto"/>
              <w:ind w:left="162" w:right="-96"/>
              <w:rPr>
                <w:rFonts w:ascii="Times New Roman" w:eastAsia="Times New Roman" w:hAnsi="Times New Roman" w:cs="Times New Roman"/>
                <w:sz w:val="22"/>
                <w:szCs w:val="22"/>
                <w:lang w:eastAsia="en-US"/>
              </w:rPr>
            </w:pPr>
            <w:r w:rsidRPr="00AE725A">
              <w:rPr>
                <w:rFonts w:ascii="Times New Roman" w:eastAsia="Times New Roman" w:hAnsi="Times New Roman" w:cs="Times New Roman"/>
                <w:sz w:val="22"/>
                <w:szCs w:val="22"/>
                <w:lang w:eastAsia="en-US"/>
              </w:rPr>
              <w:t>- с государственным участием</w:t>
            </w:r>
          </w:p>
        </w:tc>
        <w:tc>
          <w:tcPr>
            <w:tcW w:w="2121" w:type="dxa"/>
            <w:tcBorders>
              <w:top w:val="nil"/>
              <w:left w:val="single" w:sz="4" w:space="0" w:color="auto"/>
              <w:bottom w:val="nil"/>
              <w:right w:val="single" w:sz="4" w:space="0" w:color="auto"/>
            </w:tcBorders>
            <w:vAlign w:val="center"/>
            <w:hideMark/>
          </w:tcPr>
          <w:p w14:paraId="00B2201F"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2</w:t>
            </w:r>
          </w:p>
        </w:tc>
        <w:tc>
          <w:tcPr>
            <w:tcW w:w="2122" w:type="dxa"/>
            <w:tcBorders>
              <w:top w:val="nil"/>
              <w:left w:val="single" w:sz="4" w:space="0" w:color="auto"/>
              <w:bottom w:val="nil"/>
              <w:right w:val="single" w:sz="4" w:space="0" w:color="auto"/>
            </w:tcBorders>
            <w:vAlign w:val="center"/>
            <w:hideMark/>
          </w:tcPr>
          <w:p w14:paraId="4C86F285"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2</w:t>
            </w:r>
          </w:p>
        </w:tc>
      </w:tr>
      <w:tr w:rsidR="00EF13D3" w:rsidRPr="00AE725A" w14:paraId="502BAFA8" w14:textId="77777777" w:rsidTr="00EF13D3">
        <w:trPr>
          <w:trHeight w:val="62"/>
        </w:trPr>
        <w:tc>
          <w:tcPr>
            <w:tcW w:w="5396" w:type="dxa"/>
            <w:tcBorders>
              <w:top w:val="nil"/>
              <w:left w:val="single" w:sz="4" w:space="0" w:color="auto"/>
              <w:bottom w:val="single" w:sz="4" w:space="0" w:color="auto"/>
              <w:right w:val="single" w:sz="4" w:space="0" w:color="auto"/>
            </w:tcBorders>
            <w:vAlign w:val="center"/>
            <w:hideMark/>
          </w:tcPr>
          <w:p w14:paraId="16A018CF" w14:textId="77777777" w:rsidR="00EF13D3" w:rsidRPr="00AE725A" w:rsidRDefault="00EF13D3" w:rsidP="00EF13D3">
            <w:pPr>
              <w:widowControl w:val="0"/>
              <w:spacing w:before="0" w:after="0" w:line="240" w:lineRule="auto"/>
              <w:ind w:left="162" w:right="-96"/>
              <w:rPr>
                <w:rFonts w:ascii="Times New Roman" w:eastAsia="Times New Roman" w:hAnsi="Times New Roman" w:cs="Times New Roman"/>
                <w:sz w:val="22"/>
                <w:szCs w:val="22"/>
                <w:lang w:eastAsia="en-US"/>
              </w:rPr>
            </w:pPr>
            <w:r w:rsidRPr="00AE725A">
              <w:rPr>
                <w:rFonts w:ascii="Times New Roman" w:eastAsia="Times New Roman" w:hAnsi="Times New Roman" w:cs="Times New Roman"/>
                <w:sz w:val="22"/>
                <w:szCs w:val="22"/>
                <w:lang w:eastAsia="en-US"/>
              </w:rPr>
              <w:t>- с иностранным участием</w:t>
            </w:r>
          </w:p>
        </w:tc>
        <w:tc>
          <w:tcPr>
            <w:tcW w:w="2121" w:type="dxa"/>
            <w:tcBorders>
              <w:top w:val="nil"/>
              <w:left w:val="single" w:sz="4" w:space="0" w:color="auto"/>
              <w:bottom w:val="single" w:sz="4" w:space="0" w:color="auto"/>
              <w:right w:val="single" w:sz="4" w:space="0" w:color="auto"/>
            </w:tcBorders>
            <w:vAlign w:val="center"/>
            <w:hideMark/>
          </w:tcPr>
          <w:p w14:paraId="16E48AC1"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lang w:val="en-US"/>
              </w:rPr>
              <w:t>–</w:t>
            </w:r>
          </w:p>
        </w:tc>
        <w:tc>
          <w:tcPr>
            <w:tcW w:w="2122" w:type="dxa"/>
            <w:tcBorders>
              <w:top w:val="nil"/>
              <w:left w:val="single" w:sz="4" w:space="0" w:color="auto"/>
              <w:bottom w:val="single" w:sz="4" w:space="0" w:color="auto"/>
              <w:right w:val="single" w:sz="4" w:space="0" w:color="auto"/>
            </w:tcBorders>
            <w:vAlign w:val="center"/>
            <w:hideMark/>
          </w:tcPr>
          <w:p w14:paraId="58ABC183"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lang w:val="en-US"/>
              </w:rPr>
              <w:t>–</w:t>
            </w:r>
          </w:p>
        </w:tc>
      </w:tr>
      <w:tr w:rsidR="00EF13D3" w:rsidRPr="00AE725A" w14:paraId="39C4CEE4" w14:textId="77777777" w:rsidTr="00EF13D3">
        <w:trPr>
          <w:trHeight w:val="284"/>
        </w:trPr>
        <w:tc>
          <w:tcPr>
            <w:tcW w:w="5396" w:type="dxa"/>
            <w:tcBorders>
              <w:top w:val="single" w:sz="4" w:space="0" w:color="auto"/>
              <w:left w:val="single" w:sz="4" w:space="0" w:color="auto"/>
              <w:bottom w:val="single" w:sz="4" w:space="0" w:color="auto"/>
              <w:right w:val="single" w:sz="4" w:space="0" w:color="auto"/>
            </w:tcBorders>
            <w:vAlign w:val="center"/>
            <w:hideMark/>
          </w:tcPr>
          <w:p w14:paraId="36FE9D8B" w14:textId="77777777" w:rsidR="00EF13D3" w:rsidRPr="00AE725A" w:rsidRDefault="00EF13D3" w:rsidP="00EF13D3">
            <w:pPr>
              <w:widowControl w:val="0"/>
              <w:spacing w:before="0" w:after="0" w:line="240" w:lineRule="auto"/>
              <w:ind w:right="-96"/>
              <w:rPr>
                <w:rFonts w:ascii="Times New Roman" w:eastAsia="Times New Roman" w:hAnsi="Times New Roman" w:cs="Times New Roman"/>
                <w:sz w:val="22"/>
                <w:szCs w:val="22"/>
                <w:lang w:val="en-US" w:eastAsia="en-US"/>
              </w:rPr>
            </w:pPr>
            <w:r w:rsidRPr="00AE725A">
              <w:rPr>
                <w:rFonts w:ascii="Times New Roman" w:eastAsia="Times New Roman" w:hAnsi="Times New Roman" w:cs="Times New Roman"/>
                <w:sz w:val="22"/>
                <w:szCs w:val="22"/>
                <w:lang w:eastAsia="en-US"/>
              </w:rPr>
              <w:t>Филиалы коммерч</w:t>
            </w:r>
            <w:r w:rsidRPr="00AE725A">
              <w:rPr>
                <w:rFonts w:ascii="Times New Roman" w:eastAsia="Times New Roman" w:hAnsi="Times New Roman" w:cs="Times New Roman"/>
                <w:sz w:val="22"/>
                <w:szCs w:val="22"/>
                <w:lang w:val="en-US" w:eastAsia="en-US"/>
              </w:rPr>
              <w:t>еских банков</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0EEAB58"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14</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F30449B"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14</w:t>
            </w:r>
          </w:p>
        </w:tc>
      </w:tr>
      <w:tr w:rsidR="00EF13D3" w:rsidRPr="00AE725A" w14:paraId="72CEB6EE" w14:textId="77777777" w:rsidTr="00EF13D3">
        <w:trPr>
          <w:trHeight w:val="54"/>
        </w:trPr>
        <w:tc>
          <w:tcPr>
            <w:tcW w:w="5396" w:type="dxa"/>
            <w:tcBorders>
              <w:top w:val="single" w:sz="4" w:space="0" w:color="auto"/>
              <w:left w:val="single" w:sz="4" w:space="0" w:color="auto"/>
              <w:bottom w:val="single" w:sz="4" w:space="0" w:color="auto"/>
              <w:right w:val="single" w:sz="4" w:space="0" w:color="auto"/>
            </w:tcBorders>
            <w:vAlign w:val="center"/>
            <w:hideMark/>
          </w:tcPr>
          <w:p w14:paraId="4E41DFD6" w14:textId="77777777" w:rsidR="00EF13D3" w:rsidRPr="00AE725A" w:rsidRDefault="00EF13D3" w:rsidP="00EF13D3">
            <w:pPr>
              <w:widowControl w:val="0"/>
              <w:spacing w:before="0" w:after="0" w:line="240" w:lineRule="auto"/>
              <w:ind w:right="-96"/>
              <w:rPr>
                <w:rFonts w:ascii="Times New Roman" w:eastAsia="Times New Roman" w:hAnsi="Times New Roman" w:cs="Times New Roman"/>
                <w:sz w:val="22"/>
                <w:szCs w:val="22"/>
                <w:lang w:val="en-US" w:eastAsia="en-US"/>
              </w:rPr>
            </w:pPr>
            <w:r w:rsidRPr="00AE725A">
              <w:rPr>
                <w:rFonts w:ascii="Times New Roman" w:eastAsia="Times New Roman" w:hAnsi="Times New Roman" w:cs="Times New Roman"/>
                <w:sz w:val="22"/>
                <w:szCs w:val="22"/>
                <w:lang w:val="en-US" w:eastAsia="en-US"/>
              </w:rPr>
              <w:lastRenderedPageBreak/>
              <w:t>Отделения коммерческих банков</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034FADE"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219</w:t>
            </w:r>
          </w:p>
        </w:tc>
        <w:tc>
          <w:tcPr>
            <w:tcW w:w="2122" w:type="dxa"/>
            <w:tcBorders>
              <w:top w:val="single" w:sz="4" w:space="0" w:color="auto"/>
              <w:left w:val="single" w:sz="4" w:space="0" w:color="auto"/>
              <w:bottom w:val="single" w:sz="4" w:space="0" w:color="auto"/>
              <w:right w:val="single" w:sz="4" w:space="0" w:color="auto"/>
            </w:tcBorders>
            <w:vAlign w:val="center"/>
            <w:hideMark/>
          </w:tcPr>
          <w:p w14:paraId="1B890698"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lang w:val="en-US"/>
              </w:rPr>
            </w:pPr>
            <w:r w:rsidRPr="00AE725A">
              <w:rPr>
                <w:rFonts w:ascii="Times New Roman" w:eastAsia="Times New Roman" w:hAnsi="Times New Roman" w:cs="Times New Roman"/>
                <w:sz w:val="22"/>
                <w:szCs w:val="22"/>
                <w:lang w:val="en-US"/>
              </w:rPr>
              <w:t>–</w:t>
            </w:r>
          </w:p>
        </w:tc>
      </w:tr>
      <w:tr w:rsidR="00EF13D3" w:rsidRPr="00AE725A" w14:paraId="0B8E5E00" w14:textId="77777777" w:rsidTr="00EF13D3">
        <w:trPr>
          <w:trHeight w:val="54"/>
        </w:trPr>
        <w:tc>
          <w:tcPr>
            <w:tcW w:w="5396" w:type="dxa"/>
          </w:tcPr>
          <w:p w14:paraId="7F4CADC3" w14:textId="77777777" w:rsidR="00EF13D3" w:rsidRPr="00AE725A" w:rsidRDefault="00EF13D3" w:rsidP="00EF13D3">
            <w:pPr>
              <w:tabs>
                <w:tab w:val="left" w:pos="643"/>
              </w:tabs>
              <w:spacing w:before="0" w:after="0" w:line="240" w:lineRule="auto"/>
              <w:ind w:firstLine="20"/>
              <w:rPr>
                <w:rFonts w:ascii="Times New Roman" w:eastAsia="Times New Roman" w:hAnsi="Times New Roman" w:cs="Times New Roman"/>
                <w:sz w:val="22"/>
                <w:szCs w:val="22"/>
                <w:lang w:val="en-US" w:eastAsia="en-US"/>
              </w:rPr>
            </w:pPr>
            <w:r w:rsidRPr="00AE725A">
              <w:rPr>
                <w:rFonts w:ascii="Times New Roman" w:eastAsia="Times New Roman" w:hAnsi="Times New Roman" w:cs="Times New Roman"/>
                <w:sz w:val="22"/>
                <w:szCs w:val="22"/>
                <w:lang w:val="en-US" w:eastAsia="en-US"/>
              </w:rPr>
              <w:t>Отделения</w:t>
            </w:r>
          </w:p>
        </w:tc>
        <w:tc>
          <w:tcPr>
            <w:tcW w:w="2121" w:type="dxa"/>
            <w:vAlign w:val="bottom"/>
          </w:tcPr>
          <w:p w14:paraId="3BB301DC"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w:t>
            </w:r>
          </w:p>
        </w:tc>
        <w:tc>
          <w:tcPr>
            <w:tcW w:w="2122" w:type="dxa"/>
            <w:vAlign w:val="bottom"/>
          </w:tcPr>
          <w:p w14:paraId="5D5B1DAD"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7</w:t>
            </w:r>
          </w:p>
        </w:tc>
      </w:tr>
      <w:tr w:rsidR="00EF13D3" w:rsidRPr="00AE725A" w14:paraId="1193DCDE" w14:textId="77777777" w:rsidTr="00EF13D3">
        <w:trPr>
          <w:trHeight w:val="54"/>
        </w:trPr>
        <w:tc>
          <w:tcPr>
            <w:tcW w:w="5396" w:type="dxa"/>
          </w:tcPr>
          <w:p w14:paraId="6FB8EBE8" w14:textId="77777777" w:rsidR="00EF13D3" w:rsidRPr="00AE725A" w:rsidRDefault="00EF13D3" w:rsidP="00EF13D3">
            <w:pPr>
              <w:tabs>
                <w:tab w:val="left" w:pos="643"/>
              </w:tabs>
              <w:spacing w:before="0" w:after="0" w:line="240" w:lineRule="auto"/>
              <w:ind w:firstLine="20"/>
              <w:rPr>
                <w:rFonts w:ascii="Times New Roman" w:eastAsia="Times New Roman" w:hAnsi="Times New Roman" w:cs="Times New Roman"/>
                <w:sz w:val="22"/>
                <w:szCs w:val="22"/>
                <w:lang w:val="en-US" w:eastAsia="en-US"/>
              </w:rPr>
            </w:pPr>
            <w:r w:rsidRPr="00AE725A">
              <w:rPr>
                <w:rFonts w:ascii="Times New Roman" w:eastAsia="Times New Roman" w:hAnsi="Times New Roman" w:cs="Times New Roman"/>
                <w:sz w:val="22"/>
                <w:szCs w:val="22"/>
                <w:lang w:val="en-US" w:eastAsia="en-US"/>
              </w:rPr>
              <w:t>Отделения расширенного типа</w:t>
            </w:r>
          </w:p>
        </w:tc>
        <w:tc>
          <w:tcPr>
            <w:tcW w:w="2121" w:type="dxa"/>
            <w:vAlign w:val="bottom"/>
          </w:tcPr>
          <w:p w14:paraId="243F0F2E"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w:t>
            </w:r>
          </w:p>
        </w:tc>
        <w:tc>
          <w:tcPr>
            <w:tcW w:w="2122" w:type="dxa"/>
            <w:vAlign w:val="bottom"/>
          </w:tcPr>
          <w:p w14:paraId="223620C5"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284</w:t>
            </w:r>
          </w:p>
        </w:tc>
      </w:tr>
      <w:tr w:rsidR="00EF13D3" w:rsidRPr="00AE725A" w14:paraId="7746D57E" w14:textId="77777777" w:rsidTr="00EF13D3">
        <w:trPr>
          <w:trHeight w:val="214"/>
        </w:trPr>
        <w:tc>
          <w:tcPr>
            <w:tcW w:w="5396" w:type="dxa"/>
            <w:tcBorders>
              <w:top w:val="single" w:sz="4" w:space="0" w:color="auto"/>
              <w:left w:val="single" w:sz="4" w:space="0" w:color="auto"/>
              <w:bottom w:val="single" w:sz="4" w:space="0" w:color="auto"/>
              <w:right w:val="single" w:sz="4" w:space="0" w:color="auto"/>
            </w:tcBorders>
            <w:vAlign w:val="center"/>
            <w:hideMark/>
          </w:tcPr>
          <w:p w14:paraId="708CE612" w14:textId="77777777" w:rsidR="00EF13D3" w:rsidRPr="00AE725A" w:rsidRDefault="00EF13D3" w:rsidP="00EF13D3">
            <w:pPr>
              <w:widowControl w:val="0"/>
              <w:spacing w:before="0" w:after="0" w:line="240" w:lineRule="auto"/>
              <w:ind w:right="-96"/>
              <w:rPr>
                <w:rFonts w:ascii="Times New Roman" w:eastAsia="Times New Roman" w:hAnsi="Times New Roman" w:cs="Times New Roman"/>
                <w:sz w:val="22"/>
                <w:szCs w:val="22"/>
                <w:lang w:val="en-US" w:eastAsia="en-US"/>
              </w:rPr>
            </w:pPr>
            <w:r w:rsidRPr="00AE725A">
              <w:rPr>
                <w:rFonts w:ascii="Times New Roman" w:eastAsia="Times New Roman" w:hAnsi="Times New Roman" w:cs="Times New Roman"/>
                <w:sz w:val="22"/>
                <w:szCs w:val="22"/>
                <w:lang w:val="en-US" w:eastAsia="en-US"/>
              </w:rPr>
              <w:t xml:space="preserve">Небанковские кредитные организации (действующие) </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8632DEF"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1</w:t>
            </w:r>
          </w:p>
        </w:tc>
        <w:tc>
          <w:tcPr>
            <w:tcW w:w="2122" w:type="dxa"/>
            <w:tcBorders>
              <w:top w:val="single" w:sz="4" w:space="0" w:color="auto"/>
              <w:left w:val="single" w:sz="4" w:space="0" w:color="auto"/>
              <w:bottom w:val="single" w:sz="4" w:space="0" w:color="auto"/>
              <w:right w:val="single" w:sz="4" w:space="0" w:color="auto"/>
            </w:tcBorders>
            <w:vAlign w:val="center"/>
            <w:hideMark/>
          </w:tcPr>
          <w:p w14:paraId="3FE60B28"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1</w:t>
            </w:r>
          </w:p>
        </w:tc>
      </w:tr>
      <w:tr w:rsidR="00EF13D3" w:rsidRPr="00AE725A" w14:paraId="4DC59DCB" w14:textId="77777777" w:rsidTr="00EF13D3">
        <w:trPr>
          <w:trHeight w:val="52"/>
        </w:trPr>
        <w:tc>
          <w:tcPr>
            <w:tcW w:w="5396" w:type="dxa"/>
            <w:tcBorders>
              <w:top w:val="single" w:sz="4" w:space="0" w:color="auto"/>
              <w:left w:val="single" w:sz="4" w:space="0" w:color="auto"/>
              <w:bottom w:val="single" w:sz="4" w:space="0" w:color="auto"/>
              <w:right w:val="single" w:sz="4" w:space="0" w:color="auto"/>
            </w:tcBorders>
            <w:vAlign w:val="center"/>
            <w:hideMark/>
          </w:tcPr>
          <w:p w14:paraId="73794C6A" w14:textId="249C02F3" w:rsidR="00EF13D3" w:rsidRPr="00AE725A" w:rsidRDefault="00224A0E" w:rsidP="00EF13D3">
            <w:pPr>
              <w:widowControl w:val="0"/>
              <w:tabs>
                <w:tab w:val="left" w:pos="283"/>
              </w:tabs>
              <w:spacing w:before="0" w:after="0" w:line="240" w:lineRule="auto"/>
              <w:ind w:left="162" w:right="-96"/>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00EF13D3" w:rsidRPr="00AE725A">
              <w:rPr>
                <w:rFonts w:ascii="Times New Roman" w:eastAsia="Times New Roman" w:hAnsi="Times New Roman" w:cs="Times New Roman"/>
                <w:sz w:val="22"/>
                <w:szCs w:val="22"/>
                <w:lang w:eastAsia="en-US"/>
              </w:rPr>
              <w:t>из них с иностранным участием</w:t>
            </w:r>
          </w:p>
        </w:tc>
        <w:tc>
          <w:tcPr>
            <w:tcW w:w="2121" w:type="dxa"/>
            <w:tcBorders>
              <w:top w:val="single" w:sz="4" w:space="0" w:color="auto"/>
              <w:left w:val="single" w:sz="4" w:space="0" w:color="auto"/>
              <w:bottom w:val="single" w:sz="4" w:space="0" w:color="auto"/>
              <w:right w:val="single" w:sz="4" w:space="0" w:color="auto"/>
            </w:tcBorders>
            <w:vAlign w:val="center"/>
            <w:hideMark/>
          </w:tcPr>
          <w:p w14:paraId="0F757246"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lang w:val="en-US"/>
              </w:rPr>
            </w:pPr>
            <w:r w:rsidRPr="00AE725A">
              <w:rPr>
                <w:rFonts w:ascii="Times New Roman" w:eastAsia="Times New Roman" w:hAnsi="Times New Roman" w:cs="Times New Roman"/>
                <w:sz w:val="22"/>
                <w:szCs w:val="22"/>
                <w:lang w:val="en-US"/>
              </w:rPr>
              <w:t>–</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7ADB355" w14:textId="77777777" w:rsidR="00EF13D3" w:rsidRPr="00AE725A" w:rsidRDefault="00EF13D3" w:rsidP="00EF13D3">
            <w:pPr>
              <w:widowControl w:val="0"/>
              <w:tabs>
                <w:tab w:val="left" w:pos="2148"/>
              </w:tabs>
              <w:spacing w:before="0" w:after="0" w:line="240" w:lineRule="auto"/>
              <w:ind w:left="-374" w:right="-20" w:firstLine="238"/>
              <w:jc w:val="center"/>
              <w:rPr>
                <w:rFonts w:ascii="Times New Roman" w:eastAsia="Times New Roman" w:hAnsi="Times New Roman" w:cs="Times New Roman"/>
                <w:sz w:val="22"/>
                <w:szCs w:val="22"/>
              </w:rPr>
            </w:pPr>
            <w:r w:rsidRPr="00AE725A">
              <w:rPr>
                <w:rFonts w:ascii="Times New Roman" w:eastAsia="Times New Roman" w:hAnsi="Times New Roman" w:cs="Times New Roman"/>
                <w:sz w:val="22"/>
                <w:szCs w:val="22"/>
              </w:rPr>
              <w:t>–</w:t>
            </w:r>
          </w:p>
        </w:tc>
      </w:tr>
    </w:tbl>
    <w:p w14:paraId="31434D63" w14:textId="5A039723" w:rsidR="00EF13D3" w:rsidRPr="00AE725A" w:rsidRDefault="00EF13D3" w:rsidP="00EF13D3">
      <w:pPr>
        <w:widowControl w:val="0"/>
        <w:tabs>
          <w:tab w:val="left" w:pos="567"/>
        </w:tabs>
        <w:spacing w:before="12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 xml:space="preserve">В течение </w:t>
      </w:r>
      <w:r w:rsidRPr="008A2909">
        <w:rPr>
          <w:rFonts w:ascii="Times New Roman" w:eastAsia="Times New Roman" w:hAnsi="Times New Roman" w:cs="Times New Roman"/>
          <w:sz w:val="24"/>
          <w:szCs w:val="24"/>
        </w:rPr>
        <w:t xml:space="preserve">2020 года функционировала одна небанковская кредитная организация </w:t>
      </w:r>
      <w:r>
        <w:rPr>
          <w:rFonts w:ascii="Times New Roman" w:eastAsia="Times New Roman" w:hAnsi="Times New Roman" w:cs="Times New Roman"/>
          <w:sz w:val="24"/>
          <w:szCs w:val="24"/>
        </w:rPr>
        <w:br/>
        <w:t>(ООО КО «Идил</w:t>
      </w:r>
      <w:r w:rsidR="00776DCE">
        <w:rPr>
          <w:rFonts w:ascii="Times New Roman" w:eastAsia="Times New Roman" w:hAnsi="Times New Roman" w:cs="Times New Roman"/>
          <w:sz w:val="24"/>
          <w:szCs w:val="24"/>
        </w:rPr>
        <w:t>л</w:t>
      </w:r>
      <w:r>
        <w:rPr>
          <w:rFonts w:ascii="Times New Roman" w:eastAsia="Times New Roman" w:hAnsi="Times New Roman" w:cs="Times New Roman"/>
          <w:sz w:val="24"/>
          <w:szCs w:val="24"/>
        </w:rPr>
        <w:t xml:space="preserve">ия») </w:t>
      </w:r>
      <w:r w:rsidRPr="008A2909">
        <w:rPr>
          <w:rFonts w:ascii="Times New Roman" w:eastAsia="Times New Roman" w:hAnsi="Times New Roman" w:cs="Times New Roman"/>
          <w:sz w:val="24"/>
          <w:szCs w:val="24"/>
        </w:rPr>
        <w:t xml:space="preserve">на основании лицензии на право совершения отдельных банковских операций. Объём зарегистрированного уставного капитала </w:t>
      </w:r>
      <w:r>
        <w:rPr>
          <w:rFonts w:ascii="Times New Roman" w:eastAsia="Times New Roman" w:hAnsi="Times New Roman" w:cs="Times New Roman"/>
          <w:sz w:val="24"/>
          <w:szCs w:val="24"/>
        </w:rPr>
        <w:t xml:space="preserve">организации </w:t>
      </w:r>
      <w:r w:rsidRPr="008A2909">
        <w:rPr>
          <w:rFonts w:ascii="Times New Roman" w:eastAsia="Times New Roman" w:hAnsi="Times New Roman" w:cs="Times New Roman"/>
          <w:sz w:val="24"/>
          <w:szCs w:val="24"/>
        </w:rPr>
        <w:t xml:space="preserve">в отчётном периоде был увеличен на 1,5 млн руб. за счёт дополнительного вклада участника общества и на </w:t>
      </w:r>
      <w:r w:rsidR="004216F3">
        <w:rPr>
          <w:rFonts w:ascii="Times New Roman" w:eastAsia="Times New Roman" w:hAnsi="Times New Roman" w:cs="Times New Roman"/>
          <w:sz w:val="24"/>
          <w:szCs w:val="24"/>
        </w:rPr>
        <w:br/>
      </w:r>
      <w:r w:rsidRPr="008A2909">
        <w:rPr>
          <w:rFonts w:ascii="Times New Roman" w:eastAsia="Times New Roman" w:hAnsi="Times New Roman" w:cs="Times New Roman"/>
          <w:sz w:val="24"/>
          <w:szCs w:val="24"/>
        </w:rPr>
        <w:t>1 января 2021 года составил 11,0 млн руб.</w:t>
      </w:r>
      <w:r w:rsidRPr="00AE725A">
        <w:rPr>
          <w:rFonts w:ascii="Times New Roman" w:eastAsia="Times New Roman" w:hAnsi="Times New Roman" w:cs="Times New Roman"/>
          <w:sz w:val="24"/>
          <w:szCs w:val="24"/>
        </w:rPr>
        <w:t xml:space="preserve"> </w:t>
      </w:r>
    </w:p>
    <w:p w14:paraId="7DFCA43B" w14:textId="67A8195B" w:rsidR="00EF13D3" w:rsidRPr="00AE725A" w:rsidRDefault="00EF13D3" w:rsidP="00EF13D3">
      <w:pPr>
        <w:spacing w:before="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 xml:space="preserve">Во исполнение </w:t>
      </w:r>
      <w:r w:rsidRPr="000D1E5B">
        <w:rPr>
          <w:rFonts w:ascii="Times New Roman" w:eastAsia="Times New Roman" w:hAnsi="Times New Roman" w:cs="Times New Roman"/>
          <w:sz w:val="24"/>
          <w:szCs w:val="24"/>
        </w:rPr>
        <w:t xml:space="preserve">требований Положения ПРБ от 20.11.2019 № 133-П «О внутренних структурных подразделениях кредитной организации» и Указания ПРБ от 28.11.2019 </w:t>
      </w:r>
      <w:r w:rsidR="004216F3">
        <w:rPr>
          <w:rFonts w:ascii="Times New Roman" w:eastAsia="Times New Roman" w:hAnsi="Times New Roman" w:cs="Times New Roman"/>
          <w:sz w:val="24"/>
          <w:szCs w:val="24"/>
        </w:rPr>
        <w:br/>
      </w:r>
      <w:r w:rsidRPr="000D1E5B">
        <w:rPr>
          <w:rFonts w:ascii="Times New Roman" w:eastAsia="Times New Roman" w:hAnsi="Times New Roman" w:cs="Times New Roman"/>
          <w:sz w:val="24"/>
          <w:szCs w:val="24"/>
        </w:rPr>
        <w:t>№ 1214-У «О переводе обменных пунктов (отделений) в статус иных видов внутренних структурных подразделений кредитных организаций (филиалов кредитных организаций), о закрытии обменных пунктов (отделений) и об упорядочении</w:t>
      </w:r>
      <w:r w:rsidRPr="00AE725A">
        <w:rPr>
          <w:rFonts w:ascii="Times New Roman" w:eastAsia="Times New Roman" w:hAnsi="Times New Roman" w:cs="Times New Roman"/>
          <w:sz w:val="24"/>
          <w:szCs w:val="24"/>
        </w:rPr>
        <w:t xml:space="preserve"> деятельности внутренних структурных подразделений кредитных организаций (филиалов кредитных организаций)» в</w:t>
      </w:r>
      <w:r w:rsidRPr="00AE725A">
        <w:rPr>
          <w:rFonts w:ascii="Times New Roman" w:eastAsia="Times New Roman" w:hAnsi="Times New Roman" w:cs="Times New Roman"/>
          <w:color w:val="000000"/>
          <w:sz w:val="24"/>
          <w:szCs w:val="24"/>
        </w:rPr>
        <w:t xml:space="preserve"> течение 2020 года коммерческими банками было закрыто 219 отделений и 290 обменных пунктов</w:t>
      </w:r>
      <w:r w:rsidRPr="00AE725A">
        <w:rPr>
          <w:rFonts w:ascii="Times New Roman" w:eastAsia="Times New Roman" w:hAnsi="Times New Roman" w:cs="Times New Roman"/>
          <w:sz w:val="24"/>
          <w:szCs w:val="24"/>
        </w:rPr>
        <w:t xml:space="preserve">, небанковскими кредитными организациями закрыто 29 обменных пунктов. Процедуру регистрации в 2020 году прошли 333 внутренних структурных подразделения. По состоянию на 1 января 2021 года действует 291 внутренних структурных подразделений коммерческих банков и 32 внутренних структурных подразделения небанковской кредитной организаций. </w:t>
      </w:r>
    </w:p>
    <w:p w14:paraId="60356065" w14:textId="77777777" w:rsidR="00EF13D3" w:rsidRPr="00AE725A" w:rsidRDefault="00EF13D3" w:rsidP="00EF13D3">
      <w:pPr>
        <w:spacing w:before="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В отчётном году была осуществлена регистрация (постановка на учёт) ОАО «Эксимбанк», ЗАО «Приднестровский Сбербанк» и ЗАО «Агропромбанк» – в качестве банка-эмитента и банка-эквайрера банковских карт платёжной системы «Клевер». Проведена процедура снятия с учёта (регистрации) ЗАО «Агропромбанк» в качестве банка-эмитента и банка-эквайрера п</w:t>
      </w:r>
      <w:r w:rsidRPr="008A2909">
        <w:rPr>
          <w:rFonts w:ascii="Times New Roman" w:eastAsia="Times New Roman" w:hAnsi="Times New Roman" w:cs="Times New Roman"/>
          <w:sz w:val="24"/>
          <w:szCs w:val="24"/>
        </w:rPr>
        <w:t>латёжной</w:t>
      </w:r>
      <w:r w:rsidRPr="00AE725A">
        <w:rPr>
          <w:rFonts w:ascii="Times New Roman" w:eastAsia="Times New Roman" w:hAnsi="Times New Roman" w:cs="Times New Roman"/>
          <w:sz w:val="24"/>
          <w:szCs w:val="24"/>
        </w:rPr>
        <w:t xml:space="preserve"> системы «Радуга». Соответствующие записи внесены в Реестр банков-эмитентов и банков-эквайреров.</w:t>
      </w:r>
    </w:p>
    <w:p w14:paraId="7ABFF15B" w14:textId="77777777" w:rsidR="00EF13D3" w:rsidRPr="00AE725A" w:rsidRDefault="00EF13D3" w:rsidP="00EF13D3">
      <w:pPr>
        <w:spacing w:before="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color w:val="000000"/>
          <w:sz w:val="24"/>
          <w:szCs w:val="24"/>
        </w:rPr>
        <w:t>Во исполнение законодательно установленных функций в сфере регистрации и лицензирования Приднестровским республиканским банком были также приняты:</w:t>
      </w:r>
      <w:r w:rsidRPr="00AE725A">
        <w:rPr>
          <w:rFonts w:ascii="Times New Roman" w:eastAsia="Times New Roman" w:hAnsi="Times New Roman" w:cs="Times New Roman"/>
          <w:sz w:val="24"/>
          <w:szCs w:val="24"/>
        </w:rPr>
        <w:t xml:space="preserve"> </w:t>
      </w:r>
    </w:p>
    <w:p w14:paraId="309B3B20" w14:textId="77777777" w:rsidR="00EF13D3" w:rsidRPr="00AE725A" w:rsidRDefault="00EF13D3" w:rsidP="00EF13D3">
      <w:pPr>
        <w:spacing w:before="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 6 решений о государственной регистрации изменений в учредительных документах кредитных организаций;</w:t>
      </w:r>
    </w:p>
    <w:p w14:paraId="4E381942" w14:textId="77777777" w:rsidR="00EF13D3" w:rsidRPr="00AE725A" w:rsidRDefault="00EF13D3" w:rsidP="00EF13D3">
      <w:pPr>
        <w:spacing w:before="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 2 решени</w:t>
      </w:r>
      <w:r w:rsidRPr="008A2909">
        <w:rPr>
          <w:rFonts w:ascii="Times New Roman" w:eastAsia="Times New Roman" w:hAnsi="Times New Roman" w:cs="Times New Roman"/>
          <w:sz w:val="24"/>
          <w:szCs w:val="24"/>
        </w:rPr>
        <w:t>я</w:t>
      </w:r>
      <w:r w:rsidRPr="00AE725A">
        <w:rPr>
          <w:rFonts w:ascii="Times New Roman" w:eastAsia="Times New Roman" w:hAnsi="Times New Roman" w:cs="Times New Roman"/>
          <w:sz w:val="24"/>
          <w:szCs w:val="24"/>
        </w:rPr>
        <w:t xml:space="preserve"> о согласовании в должности руководителей кредитных организаций.</w:t>
      </w:r>
    </w:p>
    <w:p w14:paraId="592DE2A0" w14:textId="77777777" w:rsidR="00EF13D3" w:rsidRPr="00AE725A" w:rsidRDefault="00EF13D3" w:rsidP="00EF13D3">
      <w:pPr>
        <w:spacing w:before="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 xml:space="preserve">В течение 2020 года в результате проведения камерального надзора (контроля) в сфере регистрации и лицензирования по фактам нарушения действующего законодательства, в том числе нормативно-правовых актов Приднестровского республиканского банка, были составлены и направлены кредитным организациям 2 акта, 1 протокол, 1 постановление. </w:t>
      </w:r>
    </w:p>
    <w:p w14:paraId="505BF24F" w14:textId="77777777" w:rsidR="00EF13D3" w:rsidRDefault="00EF13D3" w:rsidP="00EF13D3">
      <w:pPr>
        <w:spacing w:before="0" w:after="0" w:line="240" w:lineRule="auto"/>
        <w:ind w:firstLine="426"/>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 xml:space="preserve">В связи с изменением местонахождения и почтового адреса, а также увеличением перечня оказываемых услуг, была переоформлена лицензия на осуществление деятельности одной страховой компании. </w:t>
      </w:r>
    </w:p>
    <w:p w14:paraId="726BA6E6" w14:textId="77777777" w:rsidR="00EF13D3" w:rsidRPr="00AE725A" w:rsidRDefault="00EF13D3" w:rsidP="00EF13D3">
      <w:pPr>
        <w:spacing w:before="0" w:after="0" w:line="240" w:lineRule="auto"/>
        <w:ind w:firstLine="426"/>
        <w:jc w:val="both"/>
        <w:rPr>
          <w:rFonts w:ascii="Times New Roman" w:eastAsia="Times New Roman" w:hAnsi="Times New Roman" w:cs="Times New Roman"/>
          <w:sz w:val="24"/>
          <w:szCs w:val="24"/>
        </w:rPr>
      </w:pPr>
    </w:p>
    <w:p w14:paraId="26EEBC78" w14:textId="77777777" w:rsidR="00EF13D3" w:rsidRPr="00AE725A" w:rsidRDefault="00EF13D3" w:rsidP="00822F2A">
      <w:pPr>
        <w:pStyle w:val="2"/>
        <w:spacing w:before="0" w:line="240" w:lineRule="auto"/>
        <w:jc w:val="center"/>
        <w:rPr>
          <w:b/>
          <w:noProof/>
        </w:rPr>
      </w:pPr>
      <w:r w:rsidRPr="00AE725A">
        <w:rPr>
          <w:b/>
          <w:noProof/>
        </w:rPr>
        <w:t>Дистанционный надзор</w:t>
      </w:r>
    </w:p>
    <w:p w14:paraId="2FC10543" w14:textId="1A26F7E6" w:rsidR="00EF13D3" w:rsidRPr="00AE725A" w:rsidRDefault="00EF13D3" w:rsidP="00EF13D3">
      <w:pPr>
        <w:widowControl w:val="0"/>
        <w:spacing w:before="120" w:after="0" w:line="240" w:lineRule="auto"/>
        <w:ind w:firstLine="425"/>
        <w:jc w:val="both"/>
        <w:rPr>
          <w:rFonts w:ascii="Times New Roman" w:eastAsia="Times-Roman" w:hAnsi="Times New Roman" w:cs="Times New Roman"/>
          <w:sz w:val="24"/>
          <w:szCs w:val="24"/>
        </w:rPr>
      </w:pPr>
      <w:r w:rsidRPr="00AE725A">
        <w:rPr>
          <w:rFonts w:ascii="Times New Roman" w:eastAsia="Times-Roman" w:hAnsi="Times New Roman" w:cs="Times New Roman"/>
          <w:sz w:val="24"/>
          <w:szCs w:val="24"/>
        </w:rPr>
        <w:t xml:space="preserve">В ходе осуществления дистанционного (документарного) надзора, основанного на проверке и анализе отчётности, предоставляемой кредитными и страховыми организациями на постоянной основе в центральный банк, проводился мониторинг уровня рисков, принятых в </w:t>
      </w:r>
      <w:r w:rsidR="00ED165B">
        <w:rPr>
          <w:rFonts w:ascii="Times New Roman" w:eastAsia="Times-Roman" w:hAnsi="Times New Roman" w:cs="Times New Roman"/>
          <w:sz w:val="24"/>
          <w:szCs w:val="24"/>
        </w:rPr>
        <w:t>каждой организации</w:t>
      </w:r>
      <w:r w:rsidRPr="00AE725A">
        <w:rPr>
          <w:rFonts w:ascii="Times New Roman" w:eastAsia="Times-Roman" w:hAnsi="Times New Roman" w:cs="Times New Roman"/>
          <w:sz w:val="24"/>
          <w:szCs w:val="24"/>
        </w:rPr>
        <w:t xml:space="preserve">, а также соблюдения </w:t>
      </w:r>
      <w:r w:rsidR="00ED165B">
        <w:rPr>
          <w:rFonts w:ascii="Times New Roman" w:eastAsia="Times-Roman" w:hAnsi="Times New Roman" w:cs="Times New Roman"/>
          <w:sz w:val="24"/>
          <w:szCs w:val="24"/>
        </w:rPr>
        <w:t>ими</w:t>
      </w:r>
      <w:r w:rsidRPr="00AE725A">
        <w:rPr>
          <w:rFonts w:ascii="Times New Roman" w:eastAsia="Times-Roman" w:hAnsi="Times New Roman" w:cs="Times New Roman"/>
          <w:sz w:val="24"/>
          <w:szCs w:val="24"/>
        </w:rPr>
        <w:t xml:space="preserve"> пруденциальных норм деятельности; выявлялась адекватность проводимой </w:t>
      </w:r>
      <w:r w:rsidR="00ED165B">
        <w:rPr>
          <w:rFonts w:ascii="Times New Roman" w:eastAsia="Times-Roman" w:hAnsi="Times New Roman" w:cs="Times New Roman"/>
          <w:sz w:val="24"/>
          <w:szCs w:val="24"/>
        </w:rPr>
        <w:t>субъектами надзора</w:t>
      </w:r>
      <w:r w:rsidRPr="00AE725A">
        <w:rPr>
          <w:rFonts w:ascii="Times New Roman" w:eastAsia="Times-Roman" w:hAnsi="Times New Roman" w:cs="Times New Roman"/>
          <w:sz w:val="24"/>
          <w:szCs w:val="24"/>
        </w:rPr>
        <w:t xml:space="preserve"> политики внешним и внутренним условиям функционирования. </w:t>
      </w:r>
    </w:p>
    <w:p w14:paraId="1AF3A1A0" w14:textId="77777777" w:rsidR="00EF13D3" w:rsidRPr="00AE725A" w:rsidRDefault="00EF13D3" w:rsidP="00EF13D3">
      <w:pPr>
        <w:widowControl w:val="0"/>
        <w:spacing w:before="0" w:after="0" w:line="240" w:lineRule="auto"/>
        <w:ind w:firstLine="425"/>
        <w:jc w:val="both"/>
        <w:rPr>
          <w:rFonts w:ascii="Times New Roman" w:eastAsia="Times-Roman" w:hAnsi="Times New Roman" w:cs="Times New Roman"/>
          <w:sz w:val="24"/>
          <w:szCs w:val="24"/>
        </w:rPr>
      </w:pPr>
      <w:r w:rsidRPr="00AE725A">
        <w:rPr>
          <w:rFonts w:ascii="Times New Roman" w:eastAsia="Times-Roman" w:hAnsi="Times New Roman" w:cs="Times New Roman"/>
          <w:sz w:val="24"/>
          <w:szCs w:val="24"/>
        </w:rPr>
        <w:lastRenderedPageBreak/>
        <w:t xml:space="preserve">В течение 2020 года в деятельности кредитных и страховых организаций имели место нарушения действующего законодательства республики, в том числе нормативных актов Приднестровского республиканского банка. По данным фактам составлены и направлены </w:t>
      </w:r>
      <w:r w:rsidRPr="00AE725A">
        <w:rPr>
          <w:rFonts w:ascii="Times New Roman" w:eastAsia="Times-Roman" w:hAnsi="Times New Roman" w:cs="Times New Roman"/>
          <w:sz w:val="24"/>
          <w:szCs w:val="24"/>
        </w:rPr>
        <w:br/>
        <w:t>25 актов и 6 предписаний по устранению выявленных нарушений, 1 протокол об административном правонарушении в отношении юридического лица, 1 постановление о назначении административного наказания.</w:t>
      </w:r>
    </w:p>
    <w:p w14:paraId="0F8C3924" w14:textId="77777777" w:rsidR="00EF13D3" w:rsidRDefault="00EF13D3" w:rsidP="00EF13D3">
      <w:pPr>
        <w:widowControl w:val="0"/>
        <w:spacing w:before="0" w:after="0" w:line="240" w:lineRule="auto"/>
        <w:ind w:firstLine="425"/>
        <w:jc w:val="both"/>
        <w:rPr>
          <w:rFonts w:ascii="Times New Roman" w:eastAsia="Times-Roman" w:hAnsi="Times New Roman" w:cs="Times New Roman"/>
          <w:sz w:val="24"/>
          <w:szCs w:val="24"/>
        </w:rPr>
      </w:pPr>
      <w:r w:rsidRPr="00AE725A">
        <w:rPr>
          <w:rFonts w:ascii="Times New Roman" w:eastAsia="Times-Roman" w:hAnsi="Times New Roman" w:cs="Times New Roman"/>
          <w:sz w:val="24"/>
          <w:szCs w:val="24"/>
        </w:rPr>
        <w:t xml:space="preserve">На основе собранных данных определялись приоритеты в распределении надзорных ресурсов и планировании инспекционных проверок. В ходе осуществления дистанционного надзора была выявлена необходимость внесения дополнений и изменений в нормативные акты Приднестровского республиканского банка, направленных на совершенствование регулирования банковской деятельности. </w:t>
      </w:r>
    </w:p>
    <w:p w14:paraId="5D16E6EB" w14:textId="77777777" w:rsidR="004E5D20" w:rsidRPr="00AE725A" w:rsidRDefault="004E5D20" w:rsidP="00EF13D3">
      <w:pPr>
        <w:widowControl w:val="0"/>
        <w:spacing w:before="0" w:after="0" w:line="240" w:lineRule="auto"/>
        <w:ind w:firstLine="425"/>
        <w:jc w:val="both"/>
        <w:rPr>
          <w:rFonts w:ascii="Times New Roman" w:eastAsia="Times-Roman" w:hAnsi="Times New Roman" w:cs="Times New Roman"/>
          <w:sz w:val="24"/>
          <w:szCs w:val="24"/>
        </w:rPr>
      </w:pPr>
    </w:p>
    <w:p w14:paraId="6297F093" w14:textId="77777777" w:rsidR="00EF13D3" w:rsidRPr="00493AC0" w:rsidRDefault="00EF13D3" w:rsidP="00822F2A">
      <w:pPr>
        <w:pStyle w:val="2"/>
        <w:spacing w:before="0" w:line="240" w:lineRule="auto"/>
        <w:jc w:val="center"/>
        <w:rPr>
          <w:b/>
          <w:noProof/>
        </w:rPr>
      </w:pPr>
      <w:r w:rsidRPr="00493AC0">
        <w:rPr>
          <w:b/>
          <w:noProof/>
        </w:rPr>
        <w:t>регулирование кредитных организаций</w:t>
      </w:r>
    </w:p>
    <w:p w14:paraId="79F527F1" w14:textId="68E18F6F" w:rsidR="00EF13D3" w:rsidRPr="00AE725A" w:rsidRDefault="00EF13D3" w:rsidP="00EF13D3">
      <w:pPr>
        <w:spacing w:before="120" w:after="0" w:line="240" w:lineRule="auto"/>
        <w:ind w:firstLine="425"/>
        <w:jc w:val="both"/>
        <w:rPr>
          <w:rFonts w:ascii="Times New Roman" w:eastAsia="Times New Roman" w:hAnsi="Times New Roman" w:cs="Times New Roman"/>
          <w:color w:val="000000"/>
          <w:sz w:val="24"/>
          <w:szCs w:val="24"/>
        </w:rPr>
      </w:pPr>
      <w:r w:rsidRPr="000E07FE">
        <w:rPr>
          <w:rFonts w:ascii="Times New Roman" w:eastAsia="Times New Roman" w:hAnsi="Times New Roman" w:cs="Times New Roman"/>
          <w:color w:val="000000"/>
          <w:sz w:val="24"/>
          <w:szCs w:val="24"/>
        </w:rPr>
        <w:t>В 2020 году</w:t>
      </w:r>
      <w:r w:rsidRPr="00AE725A">
        <w:rPr>
          <w:rFonts w:ascii="Times New Roman" w:eastAsia="Times New Roman" w:hAnsi="Times New Roman" w:cs="Times New Roman"/>
          <w:color w:val="000000"/>
          <w:sz w:val="24"/>
          <w:szCs w:val="24"/>
        </w:rPr>
        <w:t xml:space="preserve"> в рамках повышения финансовой устойчивости кредитных организаций и реализации предусмотренных законодательством целей развития и поддержания стабильности банковского сектора, защиты интересов кредиторов и вкладчиков, а также </w:t>
      </w:r>
      <w:r w:rsidRPr="00AE725A">
        <w:rPr>
          <w:rFonts w:ascii="Times New Roman" w:eastAsia="Times New Roman" w:hAnsi="Times New Roman" w:cs="Times New Roman"/>
          <w:sz w:val="24"/>
          <w:szCs w:val="24"/>
        </w:rPr>
        <w:t xml:space="preserve">в связи с введением на территории </w:t>
      </w:r>
      <w:r w:rsidR="00AD7716">
        <w:rPr>
          <w:rFonts w:ascii="Times New Roman" w:hAnsi="Times New Roman" w:cs="Times New Roman"/>
          <w:sz w:val="24"/>
          <w:szCs w:val="24"/>
        </w:rPr>
        <w:t>Приднестровской Молдавской Республики</w:t>
      </w:r>
      <w:r w:rsidR="00AD7716" w:rsidRPr="00AE725A">
        <w:rPr>
          <w:rFonts w:ascii="Times New Roman" w:eastAsia="Times New Roman" w:hAnsi="Times New Roman" w:cs="Times New Roman"/>
          <w:sz w:val="24"/>
          <w:szCs w:val="24"/>
        </w:rPr>
        <w:t xml:space="preserve"> </w:t>
      </w:r>
      <w:r w:rsidRPr="00AE725A">
        <w:rPr>
          <w:rFonts w:ascii="Times New Roman" w:eastAsia="Times New Roman" w:hAnsi="Times New Roman" w:cs="Times New Roman"/>
          <w:sz w:val="24"/>
          <w:szCs w:val="24"/>
        </w:rPr>
        <w:t>ограничительных мероприятий по предотвращению распространения коронавирусной инфекции,</w:t>
      </w:r>
      <w:r w:rsidRPr="00AE725A">
        <w:rPr>
          <w:rFonts w:ascii="Times New Roman" w:eastAsia="Times New Roman" w:hAnsi="Times New Roman" w:cs="Times New Roman"/>
          <w:color w:val="000000"/>
          <w:sz w:val="24"/>
          <w:szCs w:val="24"/>
        </w:rPr>
        <w:t xml:space="preserve"> продолжена работа по совершенствованию банковского регулирования и</w:t>
      </w:r>
      <w:r w:rsidRPr="00AE725A">
        <w:rPr>
          <w:rFonts w:ascii="Times New Roman" w:eastAsia="Times New Roman" w:hAnsi="Times New Roman" w:cs="Times New Roman"/>
          <w:sz w:val="24"/>
          <w:szCs w:val="24"/>
        </w:rPr>
        <w:t xml:space="preserve"> приняты меры, способствующие адаптации финансовой системы и экономики к новым реалиям и обеспечению финансовой стабильности.</w:t>
      </w:r>
      <w:r w:rsidR="00AD7716">
        <w:rPr>
          <w:rFonts w:ascii="Times New Roman" w:eastAsia="Times New Roman" w:hAnsi="Times New Roman" w:cs="Times New Roman"/>
          <w:sz w:val="24"/>
          <w:szCs w:val="24"/>
        </w:rPr>
        <w:t xml:space="preserve"> </w:t>
      </w:r>
    </w:p>
    <w:p w14:paraId="4D0A4202" w14:textId="77777777" w:rsidR="00EF13D3" w:rsidRPr="00AE725A" w:rsidRDefault="00EF13D3" w:rsidP="00EF13D3">
      <w:pPr>
        <w:spacing w:before="0" w:after="0" w:line="240" w:lineRule="auto"/>
        <w:ind w:firstLine="425"/>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В течение 2020 года был внесён ряд изменений и дополнений в нормативные акты центрального банка, регулирующие банковские риски, необходимость которых была выявлена в ходе практического применения:</w:t>
      </w:r>
    </w:p>
    <w:p w14:paraId="1D933180" w14:textId="77777777" w:rsidR="00EF13D3" w:rsidRPr="00AE725A" w:rsidRDefault="00EF13D3" w:rsidP="00EF13D3">
      <w:pPr>
        <w:numPr>
          <w:ilvl w:val="0"/>
          <w:numId w:val="12"/>
        </w:numPr>
        <w:tabs>
          <w:tab w:val="left" w:pos="567"/>
        </w:tabs>
        <w:spacing w:before="0" w:after="0" w:line="240" w:lineRule="auto"/>
        <w:ind w:left="0" w:firstLine="426"/>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В Положение ПРБ от 10 ноября 2009 года № 91-П «О порядке формирования и использования кредитными организациями фонда риска» были внесены изменения и дополнения, согласно которым:</w:t>
      </w:r>
    </w:p>
    <w:p w14:paraId="32DECF1F" w14:textId="77777777" w:rsidR="00EF13D3" w:rsidRPr="00AE725A" w:rsidRDefault="00EF13D3" w:rsidP="00EF13D3">
      <w:pPr>
        <w:numPr>
          <w:ilvl w:val="0"/>
          <w:numId w:val="20"/>
        </w:numPr>
        <w:spacing w:before="0" w:after="0" w:line="240" w:lineRule="auto"/>
        <w:ind w:left="851"/>
        <w:jc w:val="both"/>
        <w:rPr>
          <w:rFonts w:ascii="Times New Roman" w:eastAsia="Times-Roman" w:hAnsi="Times New Roman" w:cs="Times New Roman"/>
          <w:sz w:val="24"/>
          <w:szCs w:val="24"/>
        </w:rPr>
      </w:pPr>
      <w:r w:rsidRPr="00AE725A">
        <w:rPr>
          <w:rFonts w:ascii="Times New Roman" w:eastAsia="Times New Roman" w:hAnsi="Times New Roman" w:cs="Times New Roman"/>
          <w:sz w:val="24"/>
          <w:szCs w:val="24"/>
        </w:rPr>
        <w:t>банкам предоставлена возможность работать с заёмщиками - юридическими и физическими лицами (кредитовать или</w:t>
      </w:r>
      <w:r>
        <w:rPr>
          <w:rFonts w:ascii="Times New Roman" w:eastAsia="Times New Roman" w:hAnsi="Times New Roman" w:cs="Times New Roman"/>
          <w:sz w:val="24"/>
          <w:szCs w:val="24"/>
        </w:rPr>
        <w:t xml:space="preserve"> </w:t>
      </w:r>
      <w:r w:rsidRPr="00AE725A">
        <w:rPr>
          <w:rFonts w:ascii="Times New Roman" w:eastAsia="Times New Roman" w:hAnsi="Times New Roman" w:cs="Times New Roman"/>
          <w:sz w:val="24"/>
          <w:szCs w:val="24"/>
        </w:rPr>
        <w:t>реструктурировать кредиты) без ухудшения оценок их финансового положения и обслуживания долга (если снижение качества кредитов произошло из-за пандемии)</w:t>
      </w:r>
      <w:r w:rsidRPr="00AE725A">
        <w:rPr>
          <w:rFonts w:ascii="Times New Roman" w:eastAsia="Times-Roman" w:hAnsi="Times New Roman" w:cs="Times New Roman"/>
          <w:sz w:val="24"/>
          <w:szCs w:val="24"/>
        </w:rPr>
        <w:t>;</w:t>
      </w:r>
    </w:p>
    <w:p w14:paraId="28BCA703" w14:textId="552DE271" w:rsidR="00EF13D3" w:rsidRPr="00D2341F" w:rsidRDefault="00EF13D3" w:rsidP="00EF13D3">
      <w:pPr>
        <w:numPr>
          <w:ilvl w:val="0"/>
          <w:numId w:val="20"/>
        </w:numPr>
        <w:tabs>
          <w:tab w:val="left" w:pos="567"/>
        </w:tabs>
        <w:spacing w:before="0" w:after="0" w:line="240" w:lineRule="auto"/>
        <w:ind w:left="851"/>
        <w:jc w:val="both"/>
        <w:rPr>
          <w:rFonts w:ascii="Times New Roman" w:eastAsia="Times New Roman" w:hAnsi="Times New Roman" w:cs="Times New Roman"/>
          <w:sz w:val="24"/>
          <w:szCs w:val="24"/>
        </w:rPr>
      </w:pPr>
      <w:r w:rsidRPr="00D2341F">
        <w:rPr>
          <w:rFonts w:ascii="Times New Roman" w:eastAsia="Times New Roman" w:hAnsi="Times New Roman" w:cs="Times New Roman"/>
          <w:sz w:val="24"/>
          <w:szCs w:val="24"/>
        </w:rPr>
        <w:t xml:space="preserve">ужесточены параметры резервирования для кредитов, выданных </w:t>
      </w:r>
      <w:r w:rsidR="00ED165B">
        <w:rPr>
          <w:rFonts w:ascii="Times New Roman" w:eastAsia="Times New Roman" w:hAnsi="Times New Roman" w:cs="Times New Roman"/>
          <w:sz w:val="24"/>
          <w:szCs w:val="24"/>
        </w:rPr>
        <w:t xml:space="preserve">начиная </w:t>
      </w:r>
      <w:r w:rsidRPr="00D2341F">
        <w:rPr>
          <w:rFonts w:ascii="Times New Roman" w:eastAsia="Times New Roman" w:hAnsi="Times New Roman" w:cs="Times New Roman"/>
          <w:sz w:val="24"/>
          <w:szCs w:val="24"/>
        </w:rPr>
        <w:t xml:space="preserve">с 2020 года физическим лицам в иностранной валюте и (или) в рублях </w:t>
      </w:r>
      <w:r w:rsidR="00585279">
        <w:rPr>
          <w:rFonts w:ascii="Times New Roman" w:eastAsia="Times New Roman" w:hAnsi="Times New Roman" w:cs="Times New Roman"/>
          <w:sz w:val="24"/>
          <w:szCs w:val="24"/>
        </w:rPr>
        <w:t>Приднестровской Молдавской Республики</w:t>
      </w:r>
      <w:r w:rsidRPr="00D2341F">
        <w:rPr>
          <w:rFonts w:ascii="Times New Roman" w:eastAsia="Times New Roman" w:hAnsi="Times New Roman" w:cs="Times New Roman"/>
          <w:sz w:val="24"/>
          <w:szCs w:val="24"/>
        </w:rPr>
        <w:t>, сумма погашения которых зависит от изменения применяемых кредитной организацией курсов иностран</w:t>
      </w:r>
      <w:r w:rsidR="00ED165B">
        <w:rPr>
          <w:rFonts w:ascii="Times New Roman" w:eastAsia="Times New Roman" w:hAnsi="Times New Roman" w:cs="Times New Roman"/>
          <w:sz w:val="24"/>
          <w:szCs w:val="24"/>
        </w:rPr>
        <w:t>ных валют по отношению к рублю;</w:t>
      </w:r>
    </w:p>
    <w:p w14:paraId="685FF441" w14:textId="77777777" w:rsidR="00EF13D3" w:rsidRPr="00AE725A" w:rsidRDefault="00EF13D3" w:rsidP="00EF13D3">
      <w:pPr>
        <w:numPr>
          <w:ilvl w:val="0"/>
          <w:numId w:val="20"/>
        </w:numPr>
        <w:tabs>
          <w:tab w:val="left" w:pos="567"/>
        </w:tabs>
        <w:spacing w:before="0" w:after="0" w:line="240" w:lineRule="auto"/>
        <w:ind w:left="851"/>
        <w:jc w:val="both"/>
        <w:rPr>
          <w:rFonts w:ascii="Times New Roman" w:eastAsia="Times New Roman" w:hAnsi="Times New Roman" w:cs="Times New Roman"/>
          <w:sz w:val="24"/>
          <w:szCs w:val="24"/>
        </w:rPr>
      </w:pPr>
      <w:r w:rsidRPr="00A95FC7">
        <w:rPr>
          <w:rFonts w:ascii="Times New Roman" w:eastAsia="Times New Roman" w:hAnsi="Times New Roman" w:cs="Times New Roman"/>
          <w:sz w:val="24"/>
          <w:szCs w:val="24"/>
        </w:rPr>
        <w:t>уточнён порядок оценки</w:t>
      </w:r>
      <w:r w:rsidRPr="00AE725A">
        <w:rPr>
          <w:rFonts w:ascii="Times New Roman" w:eastAsia="Times New Roman" w:hAnsi="Times New Roman" w:cs="Times New Roman"/>
          <w:sz w:val="24"/>
          <w:szCs w:val="24"/>
        </w:rPr>
        <w:t xml:space="preserve"> финансового положения и обслуживания долга по кредитам, предоставленным индивидуальным предпринимателям;</w:t>
      </w:r>
    </w:p>
    <w:p w14:paraId="442A5D78" w14:textId="49BE5A28" w:rsidR="00EF13D3" w:rsidRPr="000D70C5" w:rsidRDefault="00ED165B" w:rsidP="00EF13D3">
      <w:pPr>
        <w:numPr>
          <w:ilvl w:val="0"/>
          <w:numId w:val="20"/>
        </w:numPr>
        <w:tabs>
          <w:tab w:val="left" w:pos="567"/>
        </w:tabs>
        <w:spacing w:before="0"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предоставлено право </w:t>
      </w:r>
      <w:r w:rsidR="00EF13D3" w:rsidRPr="000D70C5">
        <w:rPr>
          <w:rFonts w:ascii="Times New Roman" w:eastAsia="Times New Roman" w:hAnsi="Times New Roman" w:cs="Times New Roman"/>
          <w:sz w:val="24"/>
          <w:szCs w:val="24"/>
        </w:rPr>
        <w:t>кредитны</w:t>
      </w:r>
      <w:r>
        <w:rPr>
          <w:rFonts w:ascii="Times New Roman" w:eastAsia="Times New Roman" w:hAnsi="Times New Roman" w:cs="Times New Roman"/>
          <w:sz w:val="24"/>
          <w:szCs w:val="24"/>
        </w:rPr>
        <w:t>м</w:t>
      </w:r>
      <w:r w:rsidR="00EF13D3" w:rsidRPr="000D70C5">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ям</w:t>
      </w:r>
      <w:r w:rsidR="00EF13D3" w:rsidRPr="000D70C5">
        <w:rPr>
          <w:rFonts w:ascii="Times New Roman" w:eastAsia="Times New Roman" w:hAnsi="Times New Roman" w:cs="Times New Roman"/>
          <w:sz w:val="24"/>
          <w:szCs w:val="24"/>
        </w:rPr>
        <w:t xml:space="preserve"> хранить ряд сведений о заёмщике в электронном виде, в том числе профессионального суждения. Также увеличен с одного до двух месяцев период составления профессионального суждения по кредитам, предоставленным юридическим лицам;</w:t>
      </w:r>
      <w:r w:rsidR="00EF13D3">
        <w:rPr>
          <w:rFonts w:ascii="Times New Roman" w:eastAsia="Times New Roman" w:hAnsi="Times New Roman" w:cs="Times New Roman"/>
          <w:sz w:val="24"/>
          <w:szCs w:val="24"/>
        </w:rPr>
        <w:t xml:space="preserve"> </w:t>
      </w:r>
    </w:p>
    <w:p w14:paraId="2850A81A" w14:textId="78BA4A9A" w:rsidR="00EF13D3" w:rsidRPr="000D70C5" w:rsidRDefault="00EF13D3" w:rsidP="00EF13D3">
      <w:pPr>
        <w:numPr>
          <w:ilvl w:val="0"/>
          <w:numId w:val="20"/>
        </w:numPr>
        <w:tabs>
          <w:tab w:val="left" w:pos="567"/>
        </w:tabs>
        <w:spacing w:before="0" w:after="0" w:line="240" w:lineRule="auto"/>
        <w:ind w:left="851"/>
        <w:jc w:val="both"/>
        <w:rPr>
          <w:rFonts w:ascii="Times New Roman" w:eastAsia="Times New Roman" w:hAnsi="Times New Roman" w:cs="Times New Roman"/>
          <w:sz w:val="24"/>
          <w:szCs w:val="24"/>
        </w:rPr>
      </w:pPr>
      <w:r w:rsidRPr="000D70C5">
        <w:rPr>
          <w:rFonts w:ascii="Times New Roman" w:eastAsia="Times New Roman" w:hAnsi="Times New Roman" w:cs="Times New Roman"/>
          <w:sz w:val="24"/>
          <w:szCs w:val="24"/>
        </w:rPr>
        <w:t>кредитная организация при оценке кредитного риска сможет не ухудшать оценку обслуживания долга заёмщиком – физическим лицом, если кредит предоставлен заёмщику в целях погашения долга по кредиту, ранее предоставленному за</w:t>
      </w:r>
      <w:r w:rsidR="00ED165B">
        <w:rPr>
          <w:rFonts w:ascii="Times New Roman" w:eastAsia="Times New Roman" w:hAnsi="Times New Roman" w:cs="Times New Roman"/>
          <w:sz w:val="24"/>
          <w:szCs w:val="24"/>
        </w:rPr>
        <w:t>ё</w:t>
      </w:r>
      <w:r w:rsidRPr="000D70C5">
        <w:rPr>
          <w:rFonts w:ascii="Times New Roman" w:eastAsia="Times New Roman" w:hAnsi="Times New Roman" w:cs="Times New Roman"/>
          <w:sz w:val="24"/>
          <w:szCs w:val="24"/>
        </w:rPr>
        <w:t>мщику другой кредитной организацией, но при условии, что величина данного кредита (совокупная величина кредитов заемщика) не превышает 0,1 процента от величины собственного капитала кредитной организации – кредитора;</w:t>
      </w:r>
    </w:p>
    <w:p w14:paraId="394DA950" w14:textId="098597A5" w:rsidR="00EF13D3" w:rsidRPr="000D70C5" w:rsidRDefault="00EF13D3" w:rsidP="00EF13D3">
      <w:pPr>
        <w:numPr>
          <w:ilvl w:val="0"/>
          <w:numId w:val="20"/>
        </w:numPr>
        <w:tabs>
          <w:tab w:val="left" w:pos="567"/>
        </w:tabs>
        <w:spacing w:before="0" w:after="0" w:line="240" w:lineRule="auto"/>
        <w:ind w:left="851"/>
        <w:jc w:val="both"/>
        <w:rPr>
          <w:rFonts w:ascii="Times New Roman" w:eastAsia="Times New Roman" w:hAnsi="Times New Roman" w:cs="Times New Roman"/>
          <w:sz w:val="24"/>
          <w:szCs w:val="24"/>
        </w:rPr>
      </w:pPr>
      <w:r w:rsidRPr="000D70C5">
        <w:rPr>
          <w:rFonts w:ascii="Times New Roman" w:eastAsia="Times New Roman" w:hAnsi="Times New Roman" w:cs="Times New Roman"/>
          <w:sz w:val="24"/>
          <w:szCs w:val="24"/>
        </w:rPr>
        <w:lastRenderedPageBreak/>
        <w:t>кредитная организация должна классифицировать кредиты, предоставленные юридическим лицам в молдавских леях</w:t>
      </w:r>
      <w:r w:rsidR="00ED165B">
        <w:rPr>
          <w:rFonts w:ascii="Times New Roman" w:eastAsia="Times New Roman" w:hAnsi="Times New Roman" w:cs="Times New Roman"/>
          <w:sz w:val="24"/>
          <w:szCs w:val="24"/>
        </w:rPr>
        <w:t>,</w:t>
      </w:r>
      <w:r w:rsidRPr="000D70C5">
        <w:rPr>
          <w:rFonts w:ascii="Times New Roman" w:eastAsia="Times New Roman" w:hAnsi="Times New Roman" w:cs="Times New Roman"/>
          <w:sz w:val="24"/>
          <w:szCs w:val="24"/>
        </w:rPr>
        <w:t xml:space="preserve"> по ставке процента менее двух пятых базисной ставки Национального банка Молдовы, не выше, чем в III категорию качества (сомнительные).</w:t>
      </w:r>
    </w:p>
    <w:p w14:paraId="736540EB" w14:textId="77777777" w:rsidR="00EF13D3" w:rsidRPr="00AE725A" w:rsidRDefault="00EF13D3" w:rsidP="00EF13D3">
      <w:pPr>
        <w:tabs>
          <w:tab w:val="left" w:pos="426"/>
        </w:tabs>
        <w:spacing w:before="0" w:after="0" w:line="240" w:lineRule="auto"/>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2. </w:t>
      </w:r>
      <w:r w:rsidRPr="00AE725A">
        <w:rPr>
          <w:rFonts w:ascii="Times New Roman" w:eastAsia="Times New Roman" w:hAnsi="Times New Roman" w:cs="Times New Roman"/>
          <w:sz w:val="24"/>
          <w:szCs w:val="24"/>
        </w:rPr>
        <w:t xml:space="preserve">В рамках постоянного мониторинга долговой нагрузки заёмщика - физического лица, а также наиболее значимых для банковской системы заёмщиков корпоративного сектора, в ряд инструкций были внесены следующие изменения и дополнения: </w:t>
      </w:r>
    </w:p>
    <w:p w14:paraId="0E7875EE" w14:textId="77777777" w:rsidR="00EF13D3" w:rsidRPr="00FA37A7" w:rsidRDefault="00EF13D3" w:rsidP="00EF13D3">
      <w:pPr>
        <w:numPr>
          <w:ilvl w:val="0"/>
          <w:numId w:val="20"/>
        </w:numPr>
        <w:spacing w:before="0" w:after="0" w:line="240" w:lineRule="auto"/>
        <w:ind w:left="851"/>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 xml:space="preserve">в Инструкцию от </w:t>
      </w:r>
      <w:r>
        <w:rPr>
          <w:rFonts w:ascii="Times New Roman" w:eastAsia="Times New Roman" w:hAnsi="Times New Roman" w:cs="Times New Roman"/>
          <w:sz w:val="24"/>
          <w:szCs w:val="24"/>
        </w:rPr>
        <w:t>0</w:t>
      </w:r>
      <w:r w:rsidRPr="00AE725A">
        <w:rPr>
          <w:rFonts w:ascii="Times New Roman" w:eastAsia="Times New Roman" w:hAnsi="Times New Roman" w:cs="Times New Roman"/>
          <w:sz w:val="24"/>
          <w:szCs w:val="24"/>
        </w:rPr>
        <w:t xml:space="preserve">9.11.2007 № 22-И «О порядке </w:t>
      </w:r>
      <w:r w:rsidRPr="00FA37A7">
        <w:rPr>
          <w:rFonts w:ascii="Times New Roman" w:eastAsia="Times New Roman" w:hAnsi="Times New Roman" w:cs="Times New Roman"/>
          <w:sz w:val="24"/>
          <w:szCs w:val="24"/>
        </w:rPr>
        <w:t>регулирования деятельности кредитных организаций» внесено дополнение, в соответствии с которым в отчёт «Сведения о кредитном портфеле кредитной организации» включён показатель долговой нагрузки физического лица;</w:t>
      </w:r>
    </w:p>
    <w:p w14:paraId="3E50D6FF" w14:textId="77777777" w:rsidR="00EF13D3" w:rsidRPr="00AE725A" w:rsidRDefault="00EF13D3" w:rsidP="00EF13D3">
      <w:pPr>
        <w:numPr>
          <w:ilvl w:val="0"/>
          <w:numId w:val="20"/>
        </w:numPr>
        <w:spacing w:before="0" w:after="0" w:line="240" w:lineRule="auto"/>
        <w:ind w:left="851"/>
        <w:jc w:val="both"/>
        <w:rPr>
          <w:rFonts w:ascii="Times New Roman" w:eastAsia="Times New Roman" w:hAnsi="Times New Roman" w:cs="Times New Roman"/>
          <w:sz w:val="24"/>
          <w:szCs w:val="24"/>
        </w:rPr>
      </w:pPr>
      <w:r w:rsidRPr="00FA37A7">
        <w:rPr>
          <w:rFonts w:ascii="Times New Roman" w:eastAsia="Times New Roman" w:hAnsi="Times New Roman" w:cs="Times New Roman"/>
          <w:sz w:val="24"/>
          <w:szCs w:val="24"/>
        </w:rPr>
        <w:t xml:space="preserve">в Инструкцию ПРБ от </w:t>
      </w:r>
      <w:r>
        <w:rPr>
          <w:rFonts w:ascii="Times New Roman" w:eastAsia="Times New Roman" w:hAnsi="Times New Roman" w:cs="Times New Roman"/>
          <w:sz w:val="24"/>
          <w:szCs w:val="24"/>
        </w:rPr>
        <w:t>0</w:t>
      </w:r>
      <w:r w:rsidRPr="00FA37A7">
        <w:rPr>
          <w:rFonts w:ascii="Times New Roman" w:eastAsia="Times New Roman" w:hAnsi="Times New Roman" w:cs="Times New Roman"/>
          <w:sz w:val="24"/>
          <w:szCs w:val="24"/>
        </w:rPr>
        <w:t>2.07.2008 № 25-И «О порядке представления кредитными организациями отдельных форм отчётности в ПРБ» внесено дополнение, в соответствии с которым с 2020 года введены отчёты «Сведения о показателе средней долговой нагрузки заёмщиков - физических лиц» и «Сведения о показателях долговой нагрузки заёмщиков - нефинансовых</w:t>
      </w:r>
      <w:r w:rsidRPr="00AE725A">
        <w:rPr>
          <w:rFonts w:ascii="Times New Roman" w:eastAsia="Times New Roman" w:hAnsi="Times New Roman" w:cs="Times New Roman"/>
          <w:sz w:val="24"/>
          <w:szCs w:val="24"/>
        </w:rPr>
        <w:t xml:space="preserve"> организаций».</w:t>
      </w:r>
    </w:p>
    <w:p w14:paraId="3E54BC91" w14:textId="77777777" w:rsidR="00EF13D3" w:rsidRPr="00AE725A" w:rsidRDefault="00EF13D3" w:rsidP="00EF13D3">
      <w:pPr>
        <w:spacing w:before="0"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AE725A">
        <w:rPr>
          <w:rFonts w:ascii="Times New Roman" w:eastAsia="Times New Roman" w:hAnsi="Times New Roman" w:cs="Times New Roman"/>
          <w:sz w:val="24"/>
          <w:szCs w:val="24"/>
        </w:rPr>
        <w:t>Указание ПРБ от 23.01.2016 № 889-У «О временном порядке применения некоторых нормативных актов ПРБ» дополнено:</w:t>
      </w:r>
    </w:p>
    <w:p w14:paraId="53D2EEE6" w14:textId="4F6562AB" w:rsidR="00EF13D3" w:rsidRPr="00C63EC5" w:rsidRDefault="00EF13D3" w:rsidP="00EF13D3">
      <w:pPr>
        <w:numPr>
          <w:ilvl w:val="0"/>
          <w:numId w:val="20"/>
        </w:numPr>
        <w:spacing w:before="0" w:after="0" w:line="240" w:lineRule="auto"/>
        <w:ind w:left="851"/>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 xml:space="preserve">нормой, согласно </w:t>
      </w:r>
      <w:r w:rsidRPr="00C63EC5">
        <w:rPr>
          <w:rFonts w:ascii="Times New Roman" w:eastAsia="Times New Roman" w:hAnsi="Times New Roman" w:cs="Times New Roman"/>
          <w:sz w:val="24"/>
          <w:szCs w:val="24"/>
        </w:rPr>
        <w:t xml:space="preserve">которой в случае острой необходимости для предоставления населению в оперативном порядке ряда банковских услуг </w:t>
      </w:r>
      <w:r w:rsidR="00C01B21" w:rsidRPr="00C63EC5">
        <w:rPr>
          <w:rFonts w:ascii="Times New Roman" w:eastAsia="Times New Roman" w:hAnsi="Times New Roman" w:cs="Times New Roman"/>
          <w:sz w:val="24"/>
          <w:szCs w:val="24"/>
        </w:rPr>
        <w:t xml:space="preserve">банки вправе </w:t>
      </w:r>
      <w:r w:rsidRPr="00C63EC5">
        <w:rPr>
          <w:rFonts w:ascii="Times New Roman" w:eastAsia="Times New Roman" w:hAnsi="Times New Roman" w:cs="Times New Roman"/>
          <w:sz w:val="24"/>
          <w:szCs w:val="24"/>
        </w:rPr>
        <w:t>организовать выездное рабочее место кассового работника банка;</w:t>
      </w:r>
    </w:p>
    <w:p w14:paraId="5E23E0CB" w14:textId="7701D6B5" w:rsidR="00EF13D3" w:rsidRPr="00C63EC5" w:rsidRDefault="00EF13D3" w:rsidP="00EF13D3">
      <w:pPr>
        <w:numPr>
          <w:ilvl w:val="0"/>
          <w:numId w:val="20"/>
        </w:numPr>
        <w:spacing w:before="0" w:after="0" w:line="240" w:lineRule="auto"/>
        <w:ind w:left="851"/>
        <w:jc w:val="both"/>
        <w:rPr>
          <w:rFonts w:ascii="Times New Roman" w:eastAsia="Times New Roman" w:hAnsi="Times New Roman" w:cs="Times New Roman"/>
          <w:sz w:val="24"/>
          <w:szCs w:val="24"/>
        </w:rPr>
      </w:pPr>
      <w:r w:rsidRPr="00C63EC5">
        <w:rPr>
          <w:rFonts w:ascii="Times New Roman" w:eastAsia="Times New Roman" w:hAnsi="Times New Roman" w:cs="Times New Roman"/>
          <w:sz w:val="24"/>
          <w:szCs w:val="24"/>
        </w:rPr>
        <w:t>изменениями, в соответствии с которыми было принято решение о предоставлении коммерческим банкам регуляторных послаблений в отношении формирования резервов на возможные потери по кредитам, предоставленным заёмщикам, осуществляющи</w:t>
      </w:r>
      <w:r w:rsidR="00C01B21">
        <w:rPr>
          <w:rFonts w:ascii="Times New Roman" w:eastAsia="Times New Roman" w:hAnsi="Times New Roman" w:cs="Times New Roman"/>
          <w:sz w:val="24"/>
          <w:szCs w:val="24"/>
        </w:rPr>
        <w:t>м</w:t>
      </w:r>
      <w:r w:rsidRPr="00C63EC5">
        <w:rPr>
          <w:rFonts w:ascii="Times New Roman" w:eastAsia="Times New Roman" w:hAnsi="Times New Roman" w:cs="Times New Roman"/>
          <w:sz w:val="24"/>
          <w:szCs w:val="24"/>
        </w:rPr>
        <w:t xml:space="preserve"> деятельность в сфере сельского хозяйства и испытывающи</w:t>
      </w:r>
      <w:r w:rsidR="00C01B21">
        <w:rPr>
          <w:rFonts w:ascii="Times New Roman" w:eastAsia="Times New Roman" w:hAnsi="Times New Roman" w:cs="Times New Roman"/>
          <w:sz w:val="24"/>
          <w:szCs w:val="24"/>
        </w:rPr>
        <w:t>м</w:t>
      </w:r>
      <w:r w:rsidRPr="00C63EC5">
        <w:rPr>
          <w:rFonts w:ascii="Times New Roman" w:eastAsia="Times New Roman" w:hAnsi="Times New Roman" w:cs="Times New Roman"/>
          <w:sz w:val="24"/>
          <w:szCs w:val="24"/>
        </w:rPr>
        <w:t xml:space="preserve"> сложности с исполнением своих обязательств перед кредитными организациями, в связи со значительной потерей урожая, обусловленной неблагоприятными погодными условиями на территории </w:t>
      </w:r>
      <w:r w:rsidR="00AD7716">
        <w:rPr>
          <w:rFonts w:ascii="Times New Roman" w:hAnsi="Times New Roman" w:cs="Times New Roman"/>
          <w:sz w:val="24"/>
          <w:szCs w:val="24"/>
        </w:rPr>
        <w:t>Приднестровской Молдавской Республики</w:t>
      </w:r>
      <w:r w:rsidR="00AD7716" w:rsidRPr="00C63EC5">
        <w:rPr>
          <w:rFonts w:ascii="Times New Roman" w:eastAsia="Times New Roman" w:hAnsi="Times New Roman" w:cs="Times New Roman"/>
          <w:sz w:val="24"/>
          <w:szCs w:val="24"/>
        </w:rPr>
        <w:t xml:space="preserve"> </w:t>
      </w:r>
      <w:r w:rsidRPr="00C63EC5">
        <w:rPr>
          <w:rFonts w:ascii="Times New Roman" w:eastAsia="Times New Roman" w:hAnsi="Times New Roman" w:cs="Times New Roman"/>
          <w:sz w:val="24"/>
          <w:szCs w:val="24"/>
        </w:rPr>
        <w:t>в 2019-2020 гг.</w:t>
      </w:r>
    </w:p>
    <w:p w14:paraId="2173B386" w14:textId="77777777" w:rsidR="00EF13D3" w:rsidRPr="00AE725A" w:rsidRDefault="00EF13D3" w:rsidP="00EF13D3">
      <w:pPr>
        <w:spacing w:before="0" w:after="0" w:line="240" w:lineRule="auto"/>
        <w:ind w:firstLine="567"/>
        <w:jc w:val="both"/>
        <w:rPr>
          <w:rFonts w:ascii="Times New Roman" w:eastAsia="Times New Roman" w:hAnsi="Times New Roman" w:cs="Times New Roman"/>
          <w:sz w:val="24"/>
          <w:szCs w:val="24"/>
        </w:rPr>
      </w:pPr>
    </w:p>
    <w:p w14:paraId="6EBAE51B" w14:textId="0C008B90" w:rsidR="00EF13D3" w:rsidRPr="00AE725A" w:rsidRDefault="00EF13D3" w:rsidP="00822F2A">
      <w:pPr>
        <w:pStyle w:val="2"/>
        <w:spacing w:before="0" w:line="240" w:lineRule="auto"/>
        <w:jc w:val="center"/>
        <w:rPr>
          <w:b/>
          <w:noProof/>
        </w:rPr>
      </w:pPr>
      <w:r w:rsidRPr="00AE725A">
        <w:rPr>
          <w:b/>
          <w:noProof/>
        </w:rPr>
        <w:t>Инспектирование</w:t>
      </w:r>
    </w:p>
    <w:p w14:paraId="12F43D50" w14:textId="045A58E5" w:rsidR="00EF13D3" w:rsidRPr="00AE725A" w:rsidRDefault="00EF13D3" w:rsidP="00EF13D3">
      <w:pPr>
        <w:spacing w:before="120" w:after="0" w:line="240" w:lineRule="auto"/>
        <w:ind w:firstLine="425"/>
        <w:jc w:val="both"/>
        <w:rPr>
          <w:rFonts w:ascii="Times New Roman" w:eastAsia="Times-Roman" w:hAnsi="Times New Roman" w:cs="Times New Roman"/>
          <w:sz w:val="24"/>
          <w:szCs w:val="24"/>
        </w:rPr>
      </w:pPr>
      <w:r w:rsidRPr="00AE725A">
        <w:rPr>
          <w:rFonts w:ascii="Times New Roman" w:eastAsia="Times-Roman" w:hAnsi="Times New Roman" w:cs="Times New Roman"/>
          <w:sz w:val="24"/>
          <w:szCs w:val="24"/>
        </w:rPr>
        <w:t xml:space="preserve">Реализуя функцию контроля соблюдения банками действующего законодательства Приднестровской Молдавской Республики, </w:t>
      </w:r>
      <w:r>
        <w:rPr>
          <w:rFonts w:ascii="Times New Roman" w:eastAsia="Times-Roman" w:hAnsi="Times New Roman" w:cs="Times New Roman"/>
          <w:sz w:val="24"/>
          <w:szCs w:val="24"/>
        </w:rPr>
        <w:t>Банк Приднестровья</w:t>
      </w:r>
      <w:r w:rsidRPr="00AE725A">
        <w:rPr>
          <w:rFonts w:ascii="Times New Roman" w:eastAsia="Times-Roman" w:hAnsi="Times New Roman" w:cs="Times New Roman"/>
          <w:sz w:val="24"/>
          <w:szCs w:val="24"/>
        </w:rPr>
        <w:t xml:space="preserve"> проводил инспекционные проверки как на плановой, так и внеплановой основе. В целом за год было </w:t>
      </w:r>
      <w:r w:rsidRPr="00930664">
        <w:rPr>
          <w:rFonts w:ascii="Times New Roman" w:eastAsia="Times-Roman" w:hAnsi="Times New Roman" w:cs="Times New Roman"/>
          <w:color w:val="000000" w:themeColor="text1"/>
          <w:sz w:val="24"/>
          <w:szCs w:val="24"/>
        </w:rPr>
        <w:t xml:space="preserve">проведено </w:t>
      </w:r>
      <w:r>
        <w:rPr>
          <w:rFonts w:ascii="Times New Roman" w:eastAsia="Times-Roman" w:hAnsi="Times New Roman" w:cs="Times New Roman"/>
          <w:color w:val="000000" w:themeColor="text1"/>
          <w:sz w:val="24"/>
          <w:szCs w:val="24"/>
        </w:rPr>
        <w:t>пять</w:t>
      </w:r>
      <w:r w:rsidRPr="00930664">
        <w:rPr>
          <w:rFonts w:ascii="Times New Roman" w:eastAsia="Times-Roman" w:hAnsi="Times New Roman" w:cs="Times New Roman"/>
          <w:color w:val="000000" w:themeColor="text1"/>
          <w:sz w:val="24"/>
          <w:szCs w:val="24"/>
        </w:rPr>
        <w:t xml:space="preserve"> проверок банков</w:t>
      </w:r>
      <w:r w:rsidRPr="00AE725A">
        <w:rPr>
          <w:rFonts w:ascii="Times New Roman" w:eastAsia="Times-Roman" w:hAnsi="Times New Roman" w:cs="Times New Roman"/>
          <w:sz w:val="24"/>
          <w:szCs w:val="24"/>
        </w:rPr>
        <w:t xml:space="preserve">, небанковских кредитных и страховых организаций </w:t>
      </w:r>
      <w:r w:rsidR="00AD7716">
        <w:rPr>
          <w:rFonts w:ascii="Times New Roman" w:hAnsi="Times New Roman" w:cs="Times New Roman"/>
          <w:sz w:val="24"/>
          <w:szCs w:val="24"/>
        </w:rPr>
        <w:t>Приднестровской Молдавской Республики</w:t>
      </w:r>
      <w:r w:rsidRPr="00AE725A">
        <w:rPr>
          <w:rFonts w:ascii="Times New Roman" w:eastAsia="Times-Roman" w:hAnsi="Times New Roman" w:cs="Times New Roman"/>
          <w:sz w:val="24"/>
          <w:szCs w:val="24"/>
        </w:rPr>
        <w:t>, в том числе:</w:t>
      </w:r>
    </w:p>
    <w:p w14:paraId="3EE0ED52" w14:textId="77777777" w:rsidR="00EF13D3" w:rsidRPr="00AE725A" w:rsidRDefault="00EF13D3" w:rsidP="00EF13D3">
      <w:pPr>
        <w:spacing w:before="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725A">
        <w:rPr>
          <w:rFonts w:ascii="Times New Roman" w:eastAsia="Times New Roman" w:hAnsi="Times New Roman" w:cs="Times New Roman"/>
          <w:sz w:val="24"/>
          <w:szCs w:val="24"/>
        </w:rPr>
        <w:t xml:space="preserve">1 плановая тематическая; </w:t>
      </w:r>
    </w:p>
    <w:p w14:paraId="55FD32A9" w14:textId="77777777" w:rsidR="00EF13D3" w:rsidRPr="00AE725A" w:rsidRDefault="00EF13D3" w:rsidP="00EF13D3">
      <w:pPr>
        <w:autoSpaceDE w:val="0"/>
        <w:autoSpaceDN w:val="0"/>
        <w:adjustRightInd w:val="0"/>
        <w:spacing w:before="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725A">
        <w:rPr>
          <w:rFonts w:ascii="Times New Roman" w:eastAsia="Times New Roman" w:hAnsi="Times New Roman" w:cs="Times New Roman"/>
          <w:sz w:val="24"/>
          <w:szCs w:val="24"/>
        </w:rPr>
        <w:t>2 ревизионные проверки финансово-хозяйственной деятельности</w:t>
      </w:r>
      <w:r>
        <w:rPr>
          <w:rFonts w:ascii="Times New Roman" w:eastAsia="Times New Roman" w:hAnsi="Times New Roman" w:cs="Times New Roman"/>
          <w:sz w:val="24"/>
          <w:szCs w:val="24"/>
        </w:rPr>
        <w:t>;</w:t>
      </w:r>
    </w:p>
    <w:p w14:paraId="6D8D6F5C" w14:textId="77777777" w:rsidR="00EF13D3" w:rsidRPr="00AE725A" w:rsidRDefault="00EF13D3" w:rsidP="00EF13D3">
      <w:pPr>
        <w:autoSpaceDE w:val="0"/>
        <w:autoSpaceDN w:val="0"/>
        <w:adjustRightInd w:val="0"/>
        <w:spacing w:before="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725A">
        <w:rPr>
          <w:rFonts w:ascii="Times New Roman" w:eastAsia="Times New Roman" w:hAnsi="Times New Roman" w:cs="Times New Roman"/>
          <w:sz w:val="24"/>
          <w:szCs w:val="24"/>
        </w:rPr>
        <w:t xml:space="preserve">2 внеплановых: </w:t>
      </w:r>
    </w:p>
    <w:p w14:paraId="65F600D3" w14:textId="77777777" w:rsidR="00EF13D3" w:rsidRPr="00AE725A" w:rsidRDefault="00EF13D3" w:rsidP="00EF13D3">
      <w:pPr>
        <w:autoSpaceDE w:val="0"/>
        <w:autoSpaceDN w:val="0"/>
        <w:adjustRightInd w:val="0"/>
        <w:spacing w:before="0" w:after="0" w:line="240" w:lineRule="auto"/>
        <w:ind w:firstLine="709"/>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а) 1 ревизионная проверка;</w:t>
      </w:r>
    </w:p>
    <w:p w14:paraId="298A87C7" w14:textId="77777777" w:rsidR="00EF13D3" w:rsidRPr="00AE725A" w:rsidRDefault="00EF13D3" w:rsidP="00EF13D3">
      <w:pPr>
        <w:autoSpaceDE w:val="0"/>
        <w:autoSpaceDN w:val="0"/>
        <w:adjustRightInd w:val="0"/>
        <w:spacing w:before="0" w:after="0" w:line="240" w:lineRule="auto"/>
        <w:ind w:firstLine="709"/>
        <w:jc w:val="both"/>
        <w:rPr>
          <w:rFonts w:ascii="Times New Roman" w:eastAsia="Times New Roman" w:hAnsi="Times New Roman" w:cs="Times New Roman"/>
          <w:sz w:val="24"/>
          <w:szCs w:val="24"/>
        </w:rPr>
      </w:pPr>
      <w:r w:rsidRPr="00AE725A">
        <w:rPr>
          <w:rFonts w:ascii="Times New Roman" w:eastAsia="Times New Roman" w:hAnsi="Times New Roman" w:cs="Times New Roman"/>
          <w:sz w:val="24"/>
          <w:szCs w:val="24"/>
        </w:rPr>
        <w:t>б) 1 комплексная проверка.</w:t>
      </w:r>
    </w:p>
    <w:p w14:paraId="4287B110" w14:textId="77777777" w:rsidR="00EF13D3" w:rsidRPr="00930664" w:rsidRDefault="00EF13D3" w:rsidP="00EF13D3">
      <w:pPr>
        <w:autoSpaceDE w:val="0"/>
        <w:autoSpaceDN w:val="0"/>
        <w:adjustRightInd w:val="0"/>
        <w:spacing w:before="0" w:after="0" w:line="240" w:lineRule="auto"/>
        <w:ind w:firstLine="426"/>
        <w:jc w:val="both"/>
        <w:rPr>
          <w:rFonts w:ascii="Times New Roman" w:eastAsia="Times New Roman" w:hAnsi="Times New Roman" w:cs="Times New Roman"/>
          <w:sz w:val="24"/>
          <w:szCs w:val="24"/>
        </w:rPr>
      </w:pPr>
      <w:r w:rsidRPr="00C63EC5">
        <w:rPr>
          <w:rFonts w:ascii="Times New Roman" w:eastAsia="Times New Roman" w:hAnsi="Times New Roman" w:cs="Times New Roman"/>
          <w:sz w:val="24"/>
          <w:szCs w:val="24"/>
        </w:rPr>
        <w:t>На протяжении 2020 года проводилась работа по проверке финансовой (бухгалтерской) отчётности кредитных организаций.</w:t>
      </w:r>
    </w:p>
    <w:p w14:paraId="6AA08F7F" w14:textId="1E1BC200" w:rsidR="00EF13D3" w:rsidRPr="00AE725A" w:rsidRDefault="00EF13D3" w:rsidP="00EF13D3">
      <w:pPr>
        <w:widowControl w:val="0"/>
        <w:spacing w:before="0" w:after="0" w:line="240" w:lineRule="auto"/>
        <w:ind w:firstLine="425"/>
        <w:jc w:val="both"/>
        <w:rPr>
          <w:rFonts w:ascii="Times New Roman" w:eastAsia="Times New Roman" w:hAnsi="Times New Roman" w:cs="Times New Roman"/>
          <w:i/>
          <w:iCs/>
          <w:sz w:val="24"/>
          <w:szCs w:val="24"/>
        </w:rPr>
      </w:pPr>
      <w:r w:rsidRPr="00AE725A">
        <w:rPr>
          <w:rFonts w:ascii="Times New Roman" w:eastAsia="Times New Roman" w:hAnsi="Times New Roman" w:cs="Times New Roman"/>
          <w:sz w:val="24"/>
          <w:szCs w:val="24"/>
        </w:rPr>
        <w:t xml:space="preserve">По результатам проведённых проверок в адрес банков и небанковских кредитных организаций </w:t>
      </w:r>
      <w:r w:rsidR="00AD7716">
        <w:rPr>
          <w:rFonts w:ascii="Times New Roman" w:hAnsi="Times New Roman" w:cs="Times New Roman"/>
          <w:sz w:val="24"/>
          <w:szCs w:val="24"/>
        </w:rPr>
        <w:t>Приднестровской Молдавской Республики</w:t>
      </w:r>
      <w:r w:rsidR="00AD7716" w:rsidRPr="00AE725A">
        <w:rPr>
          <w:rFonts w:ascii="Times New Roman" w:eastAsia="Times New Roman" w:hAnsi="Times New Roman" w:cs="Times New Roman"/>
          <w:sz w:val="24"/>
          <w:szCs w:val="24"/>
        </w:rPr>
        <w:t xml:space="preserve"> </w:t>
      </w:r>
      <w:r w:rsidRPr="00AE725A">
        <w:rPr>
          <w:rFonts w:ascii="Times New Roman" w:eastAsia="Times New Roman" w:hAnsi="Times New Roman" w:cs="Times New Roman"/>
          <w:sz w:val="24"/>
          <w:szCs w:val="24"/>
        </w:rPr>
        <w:t xml:space="preserve">направлялись акты и предписания с требованием об устранении выявленных нарушений. </w:t>
      </w:r>
    </w:p>
    <w:p w14:paraId="2CADEF6D" w14:textId="4814B69C" w:rsidR="00EF13D3" w:rsidRDefault="00EF13D3" w:rsidP="00EF13D3">
      <w:pPr>
        <w:spacing w:before="0" w:after="0" w:line="240" w:lineRule="auto"/>
        <w:ind w:firstLine="425"/>
        <w:jc w:val="both"/>
        <w:rPr>
          <w:rFonts w:ascii="Times New Roman" w:hAnsi="Times New Roman" w:cs="Times New Roman"/>
          <w:i/>
          <w:iCs/>
          <w:sz w:val="24"/>
          <w:szCs w:val="24"/>
        </w:rPr>
      </w:pPr>
    </w:p>
    <w:p w14:paraId="5DAE604D" w14:textId="77777777" w:rsidR="007829B4" w:rsidRDefault="007829B4" w:rsidP="00EF13D3">
      <w:pPr>
        <w:spacing w:before="0" w:after="0" w:line="240" w:lineRule="auto"/>
        <w:ind w:firstLine="425"/>
        <w:jc w:val="both"/>
        <w:rPr>
          <w:rFonts w:ascii="Times New Roman" w:hAnsi="Times New Roman" w:cs="Times New Roman"/>
          <w:i/>
          <w:iCs/>
          <w:sz w:val="24"/>
          <w:szCs w:val="24"/>
        </w:rPr>
      </w:pPr>
    </w:p>
    <w:p w14:paraId="27C6FED8" w14:textId="77777777" w:rsidR="00EF13D3" w:rsidRPr="00B174AF" w:rsidRDefault="00EF13D3" w:rsidP="00822F2A">
      <w:pPr>
        <w:pStyle w:val="2"/>
        <w:spacing w:before="0" w:line="240" w:lineRule="auto"/>
        <w:jc w:val="center"/>
        <w:rPr>
          <w:b/>
          <w:noProof/>
        </w:rPr>
      </w:pPr>
      <w:r w:rsidRPr="00B174AF">
        <w:rPr>
          <w:b/>
          <w:noProof/>
        </w:rPr>
        <w:lastRenderedPageBreak/>
        <w:t>Регулирование страхового рынка</w:t>
      </w:r>
    </w:p>
    <w:p w14:paraId="182B5A92" w14:textId="541D5610" w:rsidR="00EF13D3" w:rsidRPr="00C63EC5" w:rsidRDefault="00EF13D3" w:rsidP="00EF13D3">
      <w:pPr>
        <w:spacing w:before="120" w:after="0" w:line="240" w:lineRule="auto"/>
        <w:ind w:firstLine="425"/>
        <w:jc w:val="both"/>
        <w:rPr>
          <w:rFonts w:ascii="Times New Roman" w:hAnsi="Times New Roman" w:cs="Times New Roman"/>
          <w:strike/>
          <w:sz w:val="24"/>
          <w:szCs w:val="24"/>
        </w:rPr>
      </w:pPr>
      <w:r w:rsidRPr="00B174AF">
        <w:rPr>
          <w:rFonts w:ascii="Times New Roman" w:eastAsia="Times-Roman" w:hAnsi="Times New Roman" w:cs="Times New Roman"/>
          <w:sz w:val="24"/>
          <w:szCs w:val="24"/>
        </w:rPr>
        <w:t>В 2020 году продолжилась разработка и внедрение нормативно-правовой базы, касающейся страховой деятельности, в том числе по адаптации законодательных и нормативных актов к особенностям и</w:t>
      </w:r>
      <w:r>
        <w:rPr>
          <w:rFonts w:ascii="Times New Roman" w:eastAsia="Times-Roman" w:hAnsi="Times New Roman" w:cs="Times New Roman"/>
          <w:sz w:val="24"/>
          <w:szCs w:val="24"/>
        </w:rPr>
        <w:t xml:space="preserve"> условиям экономики республики.</w:t>
      </w:r>
      <w:r w:rsidRPr="00C63EC5">
        <w:rPr>
          <w:rFonts w:ascii="Times New Roman" w:eastAsia="Times-Roman" w:hAnsi="Times New Roman" w:cs="Times New Roman"/>
          <w:sz w:val="24"/>
          <w:szCs w:val="24"/>
        </w:rPr>
        <w:t xml:space="preserve"> </w:t>
      </w:r>
      <w:r w:rsidRPr="00B174AF">
        <w:rPr>
          <w:rFonts w:ascii="Times New Roman" w:eastAsia="Times-Roman" w:hAnsi="Times New Roman" w:cs="Times New Roman"/>
          <w:sz w:val="24"/>
          <w:szCs w:val="24"/>
        </w:rPr>
        <w:t xml:space="preserve">В частности, разработаны и находятся на стадии согласования проекты </w:t>
      </w:r>
      <w:r>
        <w:rPr>
          <w:rFonts w:ascii="Times New Roman" w:eastAsia="Times-Roman" w:hAnsi="Times New Roman" w:cs="Times New Roman"/>
          <w:sz w:val="24"/>
          <w:szCs w:val="24"/>
        </w:rPr>
        <w:t>семи</w:t>
      </w:r>
      <w:r w:rsidRPr="00B174AF">
        <w:rPr>
          <w:rFonts w:ascii="Times New Roman" w:eastAsia="Times-Roman" w:hAnsi="Times New Roman" w:cs="Times New Roman"/>
          <w:sz w:val="24"/>
          <w:szCs w:val="24"/>
        </w:rPr>
        <w:t xml:space="preserve"> нормативных актов, прошли государственную </w:t>
      </w:r>
      <w:r w:rsidRPr="00DF7A8B">
        <w:rPr>
          <w:rFonts w:ascii="Times New Roman" w:eastAsia="Times-Roman" w:hAnsi="Times New Roman" w:cs="Times New Roman"/>
          <w:sz w:val="24"/>
          <w:szCs w:val="24"/>
        </w:rPr>
        <w:t xml:space="preserve">регистрацию в Министерстве юстиции </w:t>
      </w:r>
      <w:r w:rsidR="00AD7716">
        <w:rPr>
          <w:rFonts w:ascii="Times New Roman" w:hAnsi="Times New Roman" w:cs="Times New Roman"/>
          <w:sz w:val="24"/>
          <w:szCs w:val="24"/>
        </w:rPr>
        <w:t>Приднестровской Молдавской Республики</w:t>
      </w:r>
      <w:r w:rsidR="00AD7716">
        <w:rPr>
          <w:rFonts w:ascii="Times New Roman" w:eastAsia="Times-Roman" w:hAnsi="Times New Roman" w:cs="Times New Roman"/>
          <w:sz w:val="24"/>
          <w:szCs w:val="24"/>
        </w:rPr>
        <w:t xml:space="preserve"> </w:t>
      </w:r>
      <w:r>
        <w:rPr>
          <w:rFonts w:ascii="Times New Roman" w:eastAsia="Times-Roman" w:hAnsi="Times New Roman" w:cs="Times New Roman"/>
          <w:sz w:val="24"/>
          <w:szCs w:val="24"/>
        </w:rPr>
        <w:t>девять</w:t>
      </w:r>
      <w:r w:rsidRPr="00DF7A8B">
        <w:rPr>
          <w:rFonts w:ascii="Times New Roman" w:eastAsia="Times-Roman" w:hAnsi="Times New Roman" w:cs="Times New Roman"/>
          <w:sz w:val="24"/>
          <w:szCs w:val="24"/>
        </w:rPr>
        <w:t xml:space="preserve"> нормативных актов.</w:t>
      </w:r>
    </w:p>
    <w:p w14:paraId="523E4C0F" w14:textId="4108A028" w:rsidR="00EF13D3" w:rsidRPr="00DF6C93" w:rsidRDefault="00C01B21" w:rsidP="00EF13D3">
      <w:pPr>
        <w:spacing w:before="0" w:after="0" w:line="240" w:lineRule="auto"/>
        <w:ind w:firstLine="425"/>
        <w:jc w:val="both"/>
        <w:rPr>
          <w:rFonts w:ascii="Times New Roman" w:hAnsi="Times New Roman" w:cs="Times New Roman"/>
          <w:color w:val="00B050"/>
          <w:sz w:val="24"/>
          <w:szCs w:val="24"/>
        </w:rPr>
      </w:pPr>
      <w:r w:rsidRPr="00DF7A8B">
        <w:rPr>
          <w:rFonts w:ascii="Times New Roman" w:hAnsi="Times New Roman" w:cs="Times New Roman"/>
          <w:color w:val="000000" w:themeColor="text1"/>
          <w:sz w:val="24"/>
          <w:szCs w:val="24"/>
        </w:rPr>
        <w:t xml:space="preserve">Продолжена </w:t>
      </w:r>
      <w:r w:rsidR="00EF13D3" w:rsidRPr="00DF7A8B">
        <w:rPr>
          <w:rFonts w:ascii="Times New Roman" w:hAnsi="Times New Roman" w:cs="Times New Roman"/>
          <w:color w:val="000000" w:themeColor="text1"/>
          <w:sz w:val="24"/>
          <w:szCs w:val="24"/>
        </w:rPr>
        <w:t>масштабная работа по реализации отдельных изменений и внедрению усовершенствований в сфере страхового надзора</w:t>
      </w:r>
      <w:r w:rsidR="00EF13D3">
        <w:rPr>
          <w:rFonts w:ascii="Times New Roman" w:hAnsi="Times New Roman" w:cs="Times New Roman"/>
          <w:color w:val="000000" w:themeColor="text1"/>
          <w:sz w:val="24"/>
          <w:szCs w:val="24"/>
        </w:rPr>
        <w:t>, в рамках которых:</w:t>
      </w:r>
    </w:p>
    <w:p w14:paraId="3AF8BE0E" w14:textId="30565EFE" w:rsidR="00EF13D3" w:rsidRPr="00DD00B5" w:rsidRDefault="00EF13D3" w:rsidP="00C01B21">
      <w:pPr>
        <w:numPr>
          <w:ilvl w:val="0"/>
          <w:numId w:val="25"/>
        </w:numPr>
        <w:tabs>
          <w:tab w:val="left" w:pos="567"/>
        </w:tabs>
        <w:spacing w:before="0" w:after="0" w:line="240" w:lineRule="auto"/>
        <w:ind w:left="0" w:firstLine="491"/>
        <w:jc w:val="both"/>
        <w:rPr>
          <w:rFonts w:ascii="Times New Roman" w:hAnsi="Times New Roman" w:cs="Times New Roman"/>
          <w:sz w:val="24"/>
          <w:szCs w:val="24"/>
        </w:rPr>
      </w:pPr>
      <w:r w:rsidRPr="00DD00B5">
        <w:rPr>
          <w:rFonts w:ascii="Times New Roman" w:hAnsi="Times New Roman" w:cs="Times New Roman"/>
          <w:sz w:val="24"/>
          <w:szCs w:val="24"/>
        </w:rPr>
        <w:t>страховыми организациями в течение отчётного года проводились мероприятия по поэтапному переходу на новый порядок,</w:t>
      </w:r>
      <w:r w:rsidR="00C01B21">
        <w:rPr>
          <w:rFonts w:ascii="Times New Roman" w:hAnsi="Times New Roman" w:cs="Times New Roman"/>
          <w:sz w:val="24"/>
          <w:szCs w:val="24"/>
        </w:rPr>
        <w:t xml:space="preserve"> определяющий</w:t>
      </w:r>
      <w:r w:rsidRPr="00DD00B5">
        <w:rPr>
          <w:rFonts w:ascii="Times New Roman" w:hAnsi="Times New Roman" w:cs="Times New Roman"/>
          <w:sz w:val="24"/>
          <w:szCs w:val="24"/>
        </w:rPr>
        <w:t xml:space="preserve"> план счетов бухгалтерского учёта субъектов страхового дела и </w:t>
      </w:r>
      <w:r w:rsidR="00C01B21" w:rsidRPr="00DD00B5">
        <w:rPr>
          <w:rFonts w:ascii="Times New Roman" w:hAnsi="Times New Roman" w:cs="Times New Roman"/>
          <w:sz w:val="24"/>
          <w:szCs w:val="24"/>
        </w:rPr>
        <w:t xml:space="preserve">регламентирующий </w:t>
      </w:r>
      <w:r w:rsidRPr="00DD00B5">
        <w:rPr>
          <w:rFonts w:ascii="Times New Roman" w:hAnsi="Times New Roman" w:cs="Times New Roman"/>
          <w:sz w:val="24"/>
          <w:szCs w:val="24"/>
        </w:rPr>
        <w:t>правила ведения бухгалтерского учёта субъектами страхового дела;</w:t>
      </w:r>
      <w:r>
        <w:rPr>
          <w:rFonts w:ascii="Times New Roman" w:hAnsi="Times New Roman" w:cs="Times New Roman"/>
          <w:sz w:val="24"/>
          <w:szCs w:val="24"/>
        </w:rPr>
        <w:t xml:space="preserve"> </w:t>
      </w:r>
      <w:r w:rsidRPr="00DD00B5">
        <w:rPr>
          <w:rFonts w:ascii="Times New Roman" w:hAnsi="Times New Roman" w:cs="Times New Roman"/>
          <w:sz w:val="24"/>
          <w:szCs w:val="24"/>
        </w:rPr>
        <w:t>порядок формирования страховых резервов по страхованию иному, чем страхование жизни</w:t>
      </w:r>
      <w:r w:rsidR="00C01B21">
        <w:rPr>
          <w:rFonts w:ascii="Times New Roman" w:hAnsi="Times New Roman" w:cs="Times New Roman"/>
          <w:sz w:val="24"/>
          <w:szCs w:val="24"/>
        </w:rPr>
        <w:t>;</w:t>
      </w:r>
    </w:p>
    <w:p w14:paraId="739FFA6C" w14:textId="77777777" w:rsidR="00EF13D3" w:rsidRPr="00DD00B5" w:rsidRDefault="00EF13D3" w:rsidP="00C01B21">
      <w:pPr>
        <w:numPr>
          <w:ilvl w:val="0"/>
          <w:numId w:val="25"/>
        </w:numPr>
        <w:tabs>
          <w:tab w:val="left" w:pos="567"/>
        </w:tabs>
        <w:spacing w:before="0" w:after="0" w:line="240" w:lineRule="auto"/>
        <w:ind w:left="0" w:firstLine="491"/>
        <w:jc w:val="both"/>
        <w:rPr>
          <w:rFonts w:ascii="Times New Roman" w:hAnsi="Times New Roman" w:cs="Times New Roman"/>
          <w:sz w:val="24"/>
          <w:szCs w:val="24"/>
        </w:rPr>
      </w:pPr>
      <w:r w:rsidRPr="00DD00B5">
        <w:rPr>
          <w:rFonts w:ascii="Times New Roman" w:hAnsi="Times New Roman" w:cs="Times New Roman"/>
          <w:sz w:val="24"/>
          <w:szCs w:val="24"/>
        </w:rPr>
        <w:t>разработаны изменения в методологию расчёта базовой страховой премии для обязательного страхования гражданской ответственности владельцев транспортных средств;</w:t>
      </w:r>
    </w:p>
    <w:p w14:paraId="5B56EB2F" w14:textId="0FD9B31E" w:rsidR="00EF13D3" w:rsidRPr="00DD00B5" w:rsidRDefault="00EF13D3" w:rsidP="00C01B21">
      <w:pPr>
        <w:numPr>
          <w:ilvl w:val="0"/>
          <w:numId w:val="25"/>
        </w:numPr>
        <w:tabs>
          <w:tab w:val="left" w:pos="567"/>
        </w:tabs>
        <w:spacing w:before="0" w:after="0" w:line="240" w:lineRule="auto"/>
        <w:ind w:left="0" w:firstLine="491"/>
        <w:jc w:val="both"/>
        <w:rPr>
          <w:rFonts w:ascii="Times New Roman" w:hAnsi="Times New Roman" w:cs="Times New Roman"/>
          <w:sz w:val="24"/>
          <w:szCs w:val="24"/>
        </w:rPr>
      </w:pPr>
      <w:r w:rsidRPr="00DD00B5">
        <w:rPr>
          <w:rFonts w:ascii="Times New Roman" w:hAnsi="Times New Roman" w:cs="Times New Roman"/>
          <w:sz w:val="24"/>
          <w:szCs w:val="24"/>
        </w:rPr>
        <w:t>изменён подход к определению размера расходов на восстановительный ремонт в отношении повреждённого транспортного средства пу</w:t>
      </w:r>
      <w:r w:rsidR="00C01B21">
        <w:rPr>
          <w:rFonts w:ascii="Times New Roman" w:hAnsi="Times New Roman" w:cs="Times New Roman"/>
          <w:sz w:val="24"/>
          <w:szCs w:val="24"/>
        </w:rPr>
        <w:t>тём переработки методики.</w:t>
      </w:r>
    </w:p>
    <w:p w14:paraId="1C194407" w14:textId="6B952574" w:rsidR="00EF13D3" w:rsidRPr="00DD00B5" w:rsidRDefault="00EF13D3" w:rsidP="00EF13D3">
      <w:pPr>
        <w:spacing w:before="0" w:after="0" w:line="240" w:lineRule="auto"/>
        <w:ind w:firstLine="426"/>
        <w:contextualSpacing/>
        <w:jc w:val="both"/>
        <w:rPr>
          <w:rFonts w:ascii="Times New Roman" w:hAnsi="Times New Roman" w:cs="Times New Roman"/>
          <w:color w:val="000000" w:themeColor="text1"/>
          <w:sz w:val="24"/>
          <w:szCs w:val="24"/>
        </w:rPr>
      </w:pPr>
      <w:r w:rsidRPr="00DD00B5">
        <w:rPr>
          <w:rFonts w:ascii="Times New Roman" w:hAnsi="Times New Roman" w:cs="Times New Roman"/>
          <w:color w:val="000000" w:themeColor="text1"/>
          <w:sz w:val="24"/>
          <w:szCs w:val="24"/>
        </w:rPr>
        <w:t>Прошли этап согласования проекты правил ЗАО «ПСК «Страховой Дом» о добровольном страховании гражданской ответственности изготовителя (исполнителя, продавца) товаров (работ, услуг) и Ассоциаци</w:t>
      </w:r>
      <w:r w:rsidR="00C01B21">
        <w:rPr>
          <w:rFonts w:ascii="Times New Roman" w:hAnsi="Times New Roman" w:cs="Times New Roman"/>
          <w:color w:val="000000" w:themeColor="text1"/>
          <w:sz w:val="24"/>
          <w:szCs w:val="24"/>
        </w:rPr>
        <w:t>и</w:t>
      </w:r>
      <w:r w:rsidRPr="00DD00B5">
        <w:rPr>
          <w:rFonts w:ascii="Times New Roman" w:hAnsi="Times New Roman" w:cs="Times New Roman"/>
          <w:color w:val="000000" w:themeColor="text1"/>
          <w:sz w:val="24"/>
          <w:szCs w:val="24"/>
        </w:rPr>
        <w:t xml:space="preserve"> страховщиков автотранспортных средств </w:t>
      </w:r>
      <w:r>
        <w:rPr>
          <w:rFonts w:ascii="Times New Roman" w:hAnsi="Times New Roman" w:cs="Times New Roman"/>
          <w:color w:val="000000" w:themeColor="text1"/>
          <w:sz w:val="24"/>
          <w:szCs w:val="24"/>
        </w:rPr>
        <w:t>(</w:t>
      </w:r>
      <w:r w:rsidRPr="00DD00B5">
        <w:rPr>
          <w:rFonts w:ascii="Times New Roman" w:hAnsi="Times New Roman" w:cs="Times New Roman"/>
          <w:color w:val="000000" w:themeColor="text1"/>
          <w:sz w:val="24"/>
          <w:szCs w:val="24"/>
        </w:rPr>
        <w:t xml:space="preserve">АСАС) – по расчёту процента отчислений в Фонд компенсационных выплат </w:t>
      </w:r>
      <w:r>
        <w:rPr>
          <w:rFonts w:ascii="Times New Roman" w:hAnsi="Times New Roman" w:cs="Times New Roman"/>
          <w:color w:val="000000" w:themeColor="text1"/>
          <w:sz w:val="24"/>
          <w:szCs w:val="24"/>
        </w:rPr>
        <w:t>(</w:t>
      </w:r>
      <w:r w:rsidRPr="00DD00B5">
        <w:rPr>
          <w:rFonts w:ascii="Times New Roman" w:hAnsi="Times New Roman" w:cs="Times New Roman"/>
          <w:color w:val="000000" w:themeColor="text1"/>
          <w:sz w:val="24"/>
          <w:szCs w:val="24"/>
        </w:rPr>
        <w:t>ФКВ). Подготовлены заключения на предложения АСАС по взысканию в пользу АСАС неоплаченной суммы полиса ОСАГО, об инвестировании средств ФКВ в права требования по регрессам и по выкупу регрессных требований страховщиков за счёт средств ФКВ.</w:t>
      </w:r>
    </w:p>
    <w:p w14:paraId="10538A5A" w14:textId="77777777" w:rsidR="00EF13D3" w:rsidRPr="00DD00B5" w:rsidRDefault="00EF13D3" w:rsidP="00EF13D3">
      <w:pPr>
        <w:spacing w:before="0" w:after="0" w:line="240" w:lineRule="auto"/>
        <w:ind w:firstLine="425"/>
        <w:jc w:val="both"/>
        <w:rPr>
          <w:rFonts w:ascii="Times New Roman" w:eastAsia="Times-Roman" w:hAnsi="Times New Roman" w:cs="Times New Roman"/>
          <w:sz w:val="24"/>
          <w:szCs w:val="24"/>
        </w:rPr>
      </w:pPr>
      <w:r w:rsidRPr="00DD00B5">
        <w:rPr>
          <w:rFonts w:ascii="Times New Roman" w:eastAsia="Times-Roman" w:hAnsi="Times New Roman" w:cs="Times New Roman"/>
          <w:sz w:val="24"/>
          <w:szCs w:val="24"/>
        </w:rPr>
        <w:t xml:space="preserve">Проводилась работа по контролю (надзору) за деятельностью субъектов страхового дела. В результате выявленных нарушений норм действующего законодательства были составлены и направлены в адрес страховых организаций </w:t>
      </w:r>
      <w:r>
        <w:rPr>
          <w:rFonts w:ascii="Times New Roman" w:eastAsia="Times-Roman" w:hAnsi="Times New Roman" w:cs="Times New Roman"/>
          <w:sz w:val="24"/>
          <w:szCs w:val="24"/>
        </w:rPr>
        <w:t>четыре</w:t>
      </w:r>
      <w:r w:rsidRPr="00DD00B5">
        <w:rPr>
          <w:rFonts w:ascii="Times New Roman" w:eastAsia="Times-Roman" w:hAnsi="Times New Roman" w:cs="Times New Roman"/>
          <w:sz w:val="24"/>
          <w:szCs w:val="24"/>
        </w:rPr>
        <w:t xml:space="preserve"> акта и </w:t>
      </w:r>
      <w:r>
        <w:rPr>
          <w:rFonts w:ascii="Times New Roman" w:eastAsia="Times-Roman" w:hAnsi="Times New Roman" w:cs="Times New Roman"/>
          <w:sz w:val="24"/>
          <w:szCs w:val="24"/>
        </w:rPr>
        <w:t>три</w:t>
      </w:r>
      <w:r w:rsidRPr="00DD00B5">
        <w:rPr>
          <w:rFonts w:ascii="Times New Roman" w:eastAsia="Times-Roman" w:hAnsi="Times New Roman" w:cs="Times New Roman"/>
          <w:sz w:val="24"/>
          <w:szCs w:val="24"/>
        </w:rPr>
        <w:t xml:space="preserve"> предписания об их устранении.</w:t>
      </w:r>
    </w:p>
    <w:p w14:paraId="6FEF4EF2" w14:textId="155741DC" w:rsidR="00EF13D3" w:rsidRPr="00DD00B5" w:rsidRDefault="00EF13D3" w:rsidP="00EF13D3">
      <w:pPr>
        <w:spacing w:before="0" w:after="0" w:line="240" w:lineRule="auto"/>
        <w:ind w:firstLine="425"/>
        <w:contextualSpacing/>
        <w:jc w:val="both"/>
        <w:rPr>
          <w:rFonts w:ascii="Times New Roman" w:hAnsi="Times New Roman" w:cs="Times New Roman"/>
          <w:color w:val="000000" w:themeColor="text1"/>
          <w:sz w:val="24"/>
          <w:szCs w:val="24"/>
        </w:rPr>
      </w:pPr>
      <w:r w:rsidRPr="00DD00B5">
        <w:rPr>
          <w:rFonts w:ascii="Times New Roman" w:hAnsi="Times New Roman" w:cs="Times New Roman"/>
          <w:color w:val="000000" w:themeColor="text1"/>
          <w:sz w:val="24"/>
          <w:szCs w:val="24"/>
        </w:rPr>
        <w:t xml:space="preserve">На постоянной основе проводилась работа с АСАС и страховыми организациями по вопросам составления отчётности страховых организаций, рассмотрения, согласования и регистрации их внутренних документов (положений о резервах, правил страхования, правил профессиональной деятельности АСАС, методик о порядке расчёта чистых активов страховой организации, </w:t>
      </w:r>
      <w:r w:rsidR="00C01B21">
        <w:rPr>
          <w:rFonts w:ascii="Times New Roman" w:hAnsi="Times New Roman" w:cs="Times New Roman"/>
          <w:color w:val="000000" w:themeColor="text1"/>
          <w:sz w:val="24"/>
          <w:szCs w:val="24"/>
        </w:rPr>
        <w:t>о</w:t>
      </w:r>
      <w:r w:rsidRPr="00DD00B5">
        <w:rPr>
          <w:rFonts w:ascii="Times New Roman" w:hAnsi="Times New Roman" w:cs="Times New Roman"/>
          <w:color w:val="000000" w:themeColor="text1"/>
          <w:sz w:val="24"/>
          <w:szCs w:val="24"/>
        </w:rPr>
        <w:t xml:space="preserve"> порядк</w:t>
      </w:r>
      <w:r w:rsidR="00C01B21">
        <w:rPr>
          <w:rFonts w:ascii="Times New Roman" w:hAnsi="Times New Roman" w:cs="Times New Roman"/>
          <w:color w:val="000000" w:themeColor="text1"/>
          <w:sz w:val="24"/>
          <w:szCs w:val="24"/>
        </w:rPr>
        <w:t>е</w:t>
      </w:r>
      <w:r w:rsidRPr="00DD00B5">
        <w:rPr>
          <w:rFonts w:ascii="Times New Roman" w:hAnsi="Times New Roman" w:cs="Times New Roman"/>
          <w:color w:val="000000" w:themeColor="text1"/>
          <w:sz w:val="24"/>
          <w:szCs w:val="24"/>
        </w:rPr>
        <w:t xml:space="preserve"> составления отчётности страховых организаций). </w:t>
      </w:r>
    </w:p>
    <w:p w14:paraId="4AB49938" w14:textId="77777777" w:rsidR="00EF13D3" w:rsidRPr="00DD00B5" w:rsidRDefault="00EF13D3" w:rsidP="00EF13D3">
      <w:pPr>
        <w:spacing w:before="0" w:after="0" w:line="240" w:lineRule="auto"/>
        <w:ind w:firstLine="425"/>
        <w:jc w:val="both"/>
        <w:rPr>
          <w:rFonts w:ascii="Times New Roman" w:hAnsi="Times New Roman" w:cs="Times New Roman"/>
          <w:color w:val="000000" w:themeColor="text1"/>
          <w:sz w:val="24"/>
          <w:szCs w:val="24"/>
        </w:rPr>
      </w:pPr>
      <w:r w:rsidRPr="00DD00B5">
        <w:rPr>
          <w:rFonts w:ascii="Times New Roman" w:hAnsi="Times New Roman" w:cs="Times New Roman"/>
          <w:color w:val="000000" w:themeColor="text1"/>
          <w:sz w:val="24"/>
          <w:szCs w:val="24"/>
        </w:rPr>
        <w:t xml:space="preserve">На протяжении 2020 года проводились совещания и встречи с субъектами страхового дела, АСАС по вопросам норм страхового законодательства, обсуждения правил различных видов страхования, разработки правил ОСАГО. </w:t>
      </w:r>
    </w:p>
    <w:p w14:paraId="0D66C433" w14:textId="15601DDD" w:rsidR="00EF13D3" w:rsidRPr="00B174AF" w:rsidRDefault="00EF13D3" w:rsidP="00EF13D3">
      <w:pPr>
        <w:pStyle w:val="aff1"/>
        <w:spacing w:before="0" w:after="0" w:line="240" w:lineRule="auto"/>
        <w:ind w:left="0" w:right="0" w:firstLine="425"/>
        <w:jc w:val="both"/>
        <w:rPr>
          <w:rFonts w:ascii="Times New Roman" w:hAnsi="Times New Roman" w:cs="Times New Roman"/>
          <w:color w:val="000000" w:themeColor="text1"/>
          <w:sz w:val="24"/>
          <w:szCs w:val="24"/>
        </w:rPr>
      </w:pPr>
      <w:r w:rsidRPr="00DD00B5">
        <w:rPr>
          <w:rFonts w:ascii="Times New Roman" w:hAnsi="Times New Roman" w:cs="Times New Roman"/>
          <w:color w:val="000000" w:themeColor="text1"/>
          <w:sz w:val="24"/>
          <w:szCs w:val="24"/>
        </w:rPr>
        <w:t>Велась работа, связанная с рассмотрением и урегулированием жалоб клиентов страховых компаний, поступающих в адрес ПРБ. В процессе разработки нормативных актов проводились совещания с заинтересованными</w:t>
      </w:r>
      <w:r w:rsidRPr="00B174AF">
        <w:rPr>
          <w:rFonts w:ascii="Times New Roman" w:hAnsi="Times New Roman" w:cs="Times New Roman"/>
          <w:color w:val="000000" w:themeColor="text1"/>
          <w:sz w:val="24"/>
          <w:szCs w:val="24"/>
        </w:rPr>
        <w:t xml:space="preserve"> сторонами в части вопросов, возникающих при ознакомлении их с проектами нормативных актов ПРБ. </w:t>
      </w:r>
      <w:r w:rsidR="00C01B21">
        <w:rPr>
          <w:rFonts w:ascii="Times New Roman" w:hAnsi="Times New Roman" w:cs="Times New Roman"/>
          <w:color w:val="000000" w:themeColor="text1"/>
          <w:sz w:val="24"/>
          <w:szCs w:val="24"/>
        </w:rPr>
        <w:t>В постоянном режиме функционировал канал онлайн связи с потребителями страховых услуг.</w:t>
      </w:r>
    </w:p>
    <w:p w14:paraId="3A819D9D" w14:textId="77777777" w:rsidR="00EF13D3" w:rsidRPr="00B174AF" w:rsidRDefault="00EF13D3" w:rsidP="00EF13D3">
      <w:pPr>
        <w:pStyle w:val="aff1"/>
        <w:spacing w:before="0" w:after="0" w:line="240" w:lineRule="auto"/>
        <w:ind w:left="0" w:right="0" w:firstLine="567"/>
        <w:jc w:val="both"/>
        <w:rPr>
          <w:rFonts w:ascii="Times New Roman" w:hAnsi="Times New Roman" w:cs="Times New Roman"/>
          <w:color w:val="000000" w:themeColor="text1"/>
          <w:sz w:val="24"/>
          <w:szCs w:val="24"/>
        </w:rPr>
      </w:pPr>
    </w:p>
    <w:p w14:paraId="198855A5" w14:textId="77777777" w:rsidR="00EF13D3" w:rsidRPr="00B174AF" w:rsidRDefault="00EF13D3" w:rsidP="00822F2A">
      <w:pPr>
        <w:pStyle w:val="2"/>
        <w:spacing w:before="0" w:line="240" w:lineRule="auto"/>
        <w:jc w:val="center"/>
        <w:rPr>
          <w:b/>
          <w:noProof/>
        </w:rPr>
      </w:pPr>
      <w:r w:rsidRPr="00665EEA">
        <w:rPr>
          <w:b/>
          <w:noProof/>
        </w:rPr>
        <w:t>Регулирование микрофинансовых организаций</w:t>
      </w:r>
    </w:p>
    <w:p w14:paraId="1E4A6AF8" w14:textId="79A61346" w:rsidR="00EF13D3" w:rsidRPr="00B174AF" w:rsidRDefault="00EF13D3" w:rsidP="00EF13D3">
      <w:pPr>
        <w:pStyle w:val="31"/>
        <w:spacing w:before="12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В рамках регулирования рынка микрофинансовых услуг</w:t>
      </w:r>
      <w:r w:rsidRPr="00B174AF">
        <w:rPr>
          <w:rFonts w:ascii="Times New Roman" w:hAnsi="Times New Roman" w:cs="Times New Roman"/>
          <w:sz w:val="24"/>
          <w:szCs w:val="24"/>
        </w:rPr>
        <w:t xml:space="preserve"> в 2020 году принят Закон </w:t>
      </w:r>
      <w:r w:rsidR="00AD7716">
        <w:rPr>
          <w:rFonts w:ascii="Times New Roman" w:hAnsi="Times New Roman" w:cs="Times New Roman"/>
          <w:sz w:val="24"/>
          <w:szCs w:val="24"/>
        </w:rPr>
        <w:t>Приднестровской Молдавской Республики</w:t>
      </w:r>
      <w:r w:rsidR="00AD7716" w:rsidRPr="00B174AF">
        <w:rPr>
          <w:rFonts w:ascii="Times New Roman" w:hAnsi="Times New Roman" w:cs="Times New Roman"/>
          <w:sz w:val="24"/>
          <w:szCs w:val="24"/>
        </w:rPr>
        <w:t xml:space="preserve"> </w:t>
      </w:r>
      <w:r w:rsidRPr="00B174AF">
        <w:rPr>
          <w:rFonts w:ascii="Times New Roman" w:hAnsi="Times New Roman" w:cs="Times New Roman"/>
          <w:sz w:val="24"/>
          <w:szCs w:val="24"/>
        </w:rPr>
        <w:t xml:space="preserve">«О микрофинансовой деятельности и микрофинансовых организациях», который вступил в силу 1 января 2021 года. Одновременно </w:t>
      </w:r>
      <w:r w:rsidRPr="00B174AF">
        <w:rPr>
          <w:rFonts w:ascii="Times New Roman" w:hAnsi="Times New Roman" w:cs="Times New Roman"/>
          <w:sz w:val="24"/>
          <w:szCs w:val="24"/>
        </w:rPr>
        <w:lastRenderedPageBreak/>
        <w:t xml:space="preserve">внесены изменения в Закон </w:t>
      </w:r>
      <w:r w:rsidR="00AD7716">
        <w:rPr>
          <w:rFonts w:ascii="Times New Roman" w:hAnsi="Times New Roman" w:cs="Times New Roman"/>
          <w:sz w:val="24"/>
          <w:szCs w:val="24"/>
        </w:rPr>
        <w:t>Приднестровской Молдавской Республики</w:t>
      </w:r>
      <w:r w:rsidR="00AD7716" w:rsidRPr="00B174AF">
        <w:rPr>
          <w:rFonts w:ascii="Times New Roman" w:hAnsi="Times New Roman" w:cs="Times New Roman"/>
          <w:sz w:val="24"/>
          <w:szCs w:val="24"/>
        </w:rPr>
        <w:t xml:space="preserve"> </w:t>
      </w:r>
      <w:r w:rsidRPr="00B174AF">
        <w:rPr>
          <w:rFonts w:ascii="Times New Roman" w:hAnsi="Times New Roman" w:cs="Times New Roman"/>
          <w:sz w:val="24"/>
          <w:szCs w:val="24"/>
        </w:rPr>
        <w:t xml:space="preserve">«О центральном банке </w:t>
      </w:r>
      <w:r w:rsidR="00AD7716">
        <w:rPr>
          <w:rFonts w:ascii="Times New Roman" w:hAnsi="Times New Roman" w:cs="Times New Roman"/>
          <w:sz w:val="24"/>
          <w:szCs w:val="24"/>
        </w:rPr>
        <w:t>Приднестровской Молдавской Республики</w:t>
      </w:r>
      <w:r w:rsidRPr="00B174AF">
        <w:rPr>
          <w:rFonts w:ascii="Times New Roman" w:hAnsi="Times New Roman" w:cs="Times New Roman"/>
          <w:sz w:val="24"/>
          <w:szCs w:val="24"/>
        </w:rPr>
        <w:t xml:space="preserve">», согласно которым центральный банк </w:t>
      </w:r>
      <w:r w:rsidR="00C01B21">
        <w:rPr>
          <w:rFonts w:ascii="Times New Roman" w:hAnsi="Times New Roman" w:cs="Times New Roman"/>
          <w:sz w:val="24"/>
          <w:szCs w:val="24"/>
        </w:rPr>
        <w:t>наделён функцией</w:t>
      </w:r>
      <w:r w:rsidRPr="00B174AF">
        <w:rPr>
          <w:rFonts w:ascii="Times New Roman" w:hAnsi="Times New Roman" w:cs="Times New Roman"/>
          <w:sz w:val="24"/>
          <w:szCs w:val="24"/>
        </w:rPr>
        <w:t xml:space="preserve"> регулировани</w:t>
      </w:r>
      <w:r w:rsidR="00C01B21">
        <w:rPr>
          <w:rFonts w:ascii="Times New Roman" w:hAnsi="Times New Roman" w:cs="Times New Roman"/>
          <w:sz w:val="24"/>
          <w:szCs w:val="24"/>
        </w:rPr>
        <w:t>я</w:t>
      </w:r>
      <w:r w:rsidRPr="00B174AF">
        <w:rPr>
          <w:rFonts w:ascii="Times New Roman" w:hAnsi="Times New Roman" w:cs="Times New Roman"/>
          <w:sz w:val="24"/>
          <w:szCs w:val="24"/>
        </w:rPr>
        <w:t>, контрол</w:t>
      </w:r>
      <w:r w:rsidR="00C01B21">
        <w:rPr>
          <w:rFonts w:ascii="Times New Roman" w:hAnsi="Times New Roman" w:cs="Times New Roman"/>
          <w:sz w:val="24"/>
          <w:szCs w:val="24"/>
        </w:rPr>
        <w:t>я</w:t>
      </w:r>
      <w:r w:rsidRPr="00B174AF">
        <w:rPr>
          <w:rFonts w:ascii="Times New Roman" w:hAnsi="Times New Roman" w:cs="Times New Roman"/>
          <w:sz w:val="24"/>
          <w:szCs w:val="24"/>
        </w:rPr>
        <w:t xml:space="preserve"> и надзор</w:t>
      </w:r>
      <w:r w:rsidR="00C01B21">
        <w:rPr>
          <w:rFonts w:ascii="Times New Roman" w:hAnsi="Times New Roman" w:cs="Times New Roman"/>
          <w:sz w:val="24"/>
          <w:szCs w:val="24"/>
        </w:rPr>
        <w:t>а</w:t>
      </w:r>
      <w:r w:rsidRPr="00B174AF">
        <w:rPr>
          <w:rFonts w:ascii="Times New Roman" w:hAnsi="Times New Roman" w:cs="Times New Roman"/>
          <w:sz w:val="24"/>
          <w:szCs w:val="24"/>
        </w:rPr>
        <w:t xml:space="preserve"> в сфере микрофинансовой деятельности. В рамках данных законо</w:t>
      </w:r>
      <w:r>
        <w:rPr>
          <w:rFonts w:ascii="Times New Roman" w:hAnsi="Times New Roman" w:cs="Times New Roman"/>
          <w:sz w:val="24"/>
          <w:szCs w:val="24"/>
        </w:rPr>
        <w:t>в в 2020 году были разработаны пять</w:t>
      </w:r>
      <w:r w:rsidRPr="00B174AF">
        <w:rPr>
          <w:rFonts w:ascii="Times New Roman" w:hAnsi="Times New Roman" w:cs="Times New Roman"/>
          <w:sz w:val="24"/>
          <w:szCs w:val="24"/>
        </w:rPr>
        <w:t xml:space="preserve"> нормативных актов центрального банка.</w:t>
      </w:r>
    </w:p>
    <w:p w14:paraId="27F65F46" w14:textId="41D36174" w:rsidR="00EF13D3" w:rsidRPr="00C02668" w:rsidRDefault="00EF13D3" w:rsidP="00EF13D3">
      <w:pPr>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Для реализации норм </w:t>
      </w:r>
      <w:r w:rsidRPr="00B174AF">
        <w:rPr>
          <w:rFonts w:ascii="Times New Roman" w:hAnsi="Times New Roman" w:cs="Times New Roman"/>
          <w:sz w:val="24"/>
          <w:szCs w:val="24"/>
        </w:rPr>
        <w:t>Закон</w:t>
      </w:r>
      <w:r>
        <w:rPr>
          <w:rFonts w:ascii="Times New Roman" w:hAnsi="Times New Roman" w:cs="Times New Roman"/>
          <w:sz w:val="24"/>
          <w:szCs w:val="24"/>
        </w:rPr>
        <w:t>а</w:t>
      </w:r>
      <w:r w:rsidRPr="00B174AF">
        <w:rPr>
          <w:rFonts w:ascii="Times New Roman" w:hAnsi="Times New Roman" w:cs="Times New Roman"/>
          <w:sz w:val="24"/>
          <w:szCs w:val="24"/>
        </w:rPr>
        <w:t xml:space="preserve"> </w:t>
      </w:r>
      <w:r w:rsidR="00AD7716">
        <w:rPr>
          <w:rFonts w:ascii="Times New Roman" w:hAnsi="Times New Roman" w:cs="Times New Roman"/>
          <w:sz w:val="24"/>
          <w:szCs w:val="24"/>
        </w:rPr>
        <w:t>Приднестровской Молдавской Республики</w:t>
      </w:r>
      <w:r w:rsidR="00AD7716" w:rsidRPr="00B174AF">
        <w:rPr>
          <w:rFonts w:ascii="Times New Roman" w:hAnsi="Times New Roman" w:cs="Times New Roman"/>
          <w:sz w:val="24"/>
          <w:szCs w:val="24"/>
        </w:rPr>
        <w:t xml:space="preserve"> </w:t>
      </w:r>
      <w:r w:rsidRPr="00B174AF">
        <w:rPr>
          <w:rFonts w:ascii="Times New Roman" w:hAnsi="Times New Roman" w:cs="Times New Roman"/>
          <w:sz w:val="24"/>
          <w:szCs w:val="24"/>
        </w:rPr>
        <w:t>«О микрофинансовой деятельности и микрофинансовых организациях»</w:t>
      </w:r>
      <w:r w:rsidRPr="00C02668">
        <w:rPr>
          <w:rFonts w:ascii="Times New Roman" w:hAnsi="Times New Roman" w:cs="Times New Roman"/>
          <w:sz w:val="24"/>
          <w:szCs w:val="24"/>
        </w:rPr>
        <w:t xml:space="preserve"> в сфере микрофинансовой деятельности</w:t>
      </w:r>
      <w:r>
        <w:rPr>
          <w:rFonts w:ascii="Times New Roman" w:hAnsi="Times New Roman" w:cs="Times New Roman"/>
          <w:sz w:val="24"/>
          <w:szCs w:val="24"/>
        </w:rPr>
        <w:t xml:space="preserve"> Банком Приднестровья</w:t>
      </w:r>
      <w:r w:rsidRPr="00C02668">
        <w:rPr>
          <w:rFonts w:ascii="Times New Roman" w:hAnsi="Times New Roman" w:cs="Times New Roman"/>
          <w:sz w:val="24"/>
          <w:szCs w:val="24"/>
        </w:rPr>
        <w:t>:</w:t>
      </w:r>
    </w:p>
    <w:p w14:paraId="31B1B63B"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DD00B5">
        <w:rPr>
          <w:rFonts w:ascii="Times New Roman" w:hAnsi="Times New Roman" w:cs="Times New Roman"/>
          <w:sz w:val="24"/>
          <w:szCs w:val="24"/>
        </w:rPr>
        <w:t>введён в действие порядок, устанавливающий формы, сроки и порядок составления и представления отчётности</w:t>
      </w:r>
      <w:r w:rsidRPr="00B174AF">
        <w:rPr>
          <w:rFonts w:ascii="Times New Roman" w:hAnsi="Times New Roman" w:cs="Times New Roman"/>
          <w:sz w:val="24"/>
          <w:szCs w:val="24"/>
        </w:rPr>
        <w:t xml:space="preserve"> микрофинансовыми организациями;</w:t>
      </w:r>
    </w:p>
    <w:p w14:paraId="09A8B8F3" w14:textId="6FB91E46"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 xml:space="preserve">утверждена методика определения собственных средств (капитала) микрофинансовой организации, обязательных нормативов для микрофинансовой организации, привлекающей денежные средства физических лиц, </w:t>
      </w:r>
      <w:r w:rsidR="00C01B21">
        <w:rPr>
          <w:rFonts w:ascii="Times New Roman" w:hAnsi="Times New Roman" w:cs="Times New Roman"/>
          <w:sz w:val="24"/>
          <w:szCs w:val="24"/>
        </w:rPr>
        <w:t>а также</w:t>
      </w:r>
      <w:r w:rsidRPr="00B174AF">
        <w:rPr>
          <w:rFonts w:ascii="Times New Roman" w:hAnsi="Times New Roman" w:cs="Times New Roman"/>
          <w:sz w:val="24"/>
          <w:szCs w:val="24"/>
        </w:rPr>
        <w:t xml:space="preserve"> индивидуальных предпринимателей, являющихся учредителями (участниками, акционерами), и (или) юридических лиц в виде займов;</w:t>
      </w:r>
    </w:p>
    <w:p w14:paraId="28CBE8A4"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установлен порядок формирования микрофинансовыми организациями резервов на возможные потери по займам;</w:t>
      </w:r>
    </w:p>
    <w:p w14:paraId="31A8B56B"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установлен порядок определения и критерии существенности недостоверных отчётных данных, представляемых микрофинансовыми организациями в ПРБ, для целей осуществления контрольных и надзорных функций;</w:t>
      </w:r>
    </w:p>
    <w:p w14:paraId="30449B8B"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DD00B5">
        <w:rPr>
          <w:rFonts w:ascii="Times New Roman" w:hAnsi="Times New Roman" w:cs="Times New Roman"/>
          <w:sz w:val="24"/>
          <w:szCs w:val="24"/>
        </w:rPr>
        <w:t>установлен порядок ведения государственного реестра микрофинансовых организаций (далее – реестр</w:t>
      </w:r>
      <w:r w:rsidRPr="00B174AF">
        <w:rPr>
          <w:rFonts w:ascii="Times New Roman" w:hAnsi="Times New Roman" w:cs="Times New Roman"/>
          <w:sz w:val="24"/>
          <w:szCs w:val="24"/>
        </w:rPr>
        <w:t xml:space="preserve">); </w:t>
      </w:r>
    </w:p>
    <w:p w14:paraId="530FFCE2"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установлена форма заявления о внесении сведений о юридическом лице в реестр</w:t>
      </w:r>
      <w:r>
        <w:rPr>
          <w:rFonts w:ascii="Times New Roman" w:hAnsi="Times New Roman" w:cs="Times New Roman"/>
          <w:sz w:val="24"/>
          <w:szCs w:val="24"/>
        </w:rPr>
        <w:t>,</w:t>
      </w:r>
      <w:r w:rsidRPr="00B174AF">
        <w:rPr>
          <w:rFonts w:ascii="Times New Roman" w:hAnsi="Times New Roman" w:cs="Times New Roman"/>
          <w:sz w:val="24"/>
          <w:szCs w:val="24"/>
        </w:rPr>
        <w:t xml:space="preserve"> выписки о внесении сведений о юридическом лице в реестр и </w:t>
      </w:r>
      <w:r w:rsidRPr="00954C4A">
        <w:rPr>
          <w:rFonts w:ascii="Times New Roman" w:hAnsi="Times New Roman" w:cs="Times New Roman"/>
          <w:sz w:val="24"/>
          <w:szCs w:val="24"/>
        </w:rPr>
        <w:t>порядок её переоформления;</w:t>
      </w:r>
    </w:p>
    <w:p w14:paraId="27655EB1"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установлена форма сведений об учредителях (участниках, акционерах) юридического лица;</w:t>
      </w:r>
    </w:p>
    <w:p w14:paraId="76EE780D" w14:textId="7A6FF0B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954C4A">
        <w:rPr>
          <w:rFonts w:ascii="Times New Roman" w:hAnsi="Times New Roman" w:cs="Times New Roman"/>
          <w:sz w:val="24"/>
          <w:szCs w:val="24"/>
        </w:rPr>
        <w:t>установлена форма</w:t>
      </w:r>
      <w:r w:rsidRPr="00B174AF">
        <w:rPr>
          <w:rFonts w:ascii="Times New Roman" w:hAnsi="Times New Roman" w:cs="Times New Roman"/>
          <w:sz w:val="24"/>
          <w:szCs w:val="24"/>
        </w:rPr>
        <w:t xml:space="preserve"> и порядок представления документов и информации, подтверждающих наличие собственных средств (капитала) в размере, установленном </w:t>
      </w:r>
      <w:r w:rsidR="00826D60" w:rsidRPr="00B174AF">
        <w:rPr>
          <w:rFonts w:ascii="Times New Roman" w:hAnsi="Times New Roman" w:cs="Times New Roman"/>
          <w:sz w:val="24"/>
          <w:szCs w:val="24"/>
        </w:rPr>
        <w:t>Закон</w:t>
      </w:r>
      <w:r w:rsidR="00826D60">
        <w:rPr>
          <w:rFonts w:ascii="Times New Roman" w:hAnsi="Times New Roman" w:cs="Times New Roman"/>
          <w:sz w:val="24"/>
          <w:szCs w:val="24"/>
        </w:rPr>
        <w:t xml:space="preserve">ом Приднестровской Молдавской Республики </w:t>
      </w:r>
      <w:r w:rsidR="00826D60" w:rsidRPr="00B174AF">
        <w:rPr>
          <w:rFonts w:ascii="Times New Roman" w:hAnsi="Times New Roman" w:cs="Times New Roman"/>
          <w:sz w:val="24"/>
          <w:szCs w:val="24"/>
        </w:rPr>
        <w:t>«О микрофинансовой деятельности и микрофинансовых организациях»</w:t>
      </w:r>
      <w:r w:rsidRPr="00B174AF">
        <w:rPr>
          <w:rFonts w:ascii="Times New Roman" w:hAnsi="Times New Roman" w:cs="Times New Roman"/>
          <w:sz w:val="24"/>
          <w:szCs w:val="24"/>
        </w:rPr>
        <w:t xml:space="preserve">, и источники происхождения средств, </w:t>
      </w:r>
      <w:r w:rsidRPr="004A18FC">
        <w:rPr>
          <w:rFonts w:ascii="Times New Roman" w:hAnsi="Times New Roman" w:cs="Times New Roman"/>
          <w:sz w:val="24"/>
          <w:szCs w:val="24"/>
        </w:rPr>
        <w:t>внесённых учредителями</w:t>
      </w:r>
      <w:r w:rsidRPr="00B174AF">
        <w:rPr>
          <w:rFonts w:ascii="Times New Roman" w:hAnsi="Times New Roman" w:cs="Times New Roman"/>
          <w:sz w:val="24"/>
          <w:szCs w:val="24"/>
        </w:rPr>
        <w:t xml:space="preserve"> (участниками, акционерами);</w:t>
      </w:r>
    </w:p>
    <w:p w14:paraId="35807D10"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 xml:space="preserve">установлен порядок согласования ПРБ назначения (избрания) кандидатов на должности в микрофинансовой организации, уведомления ПРБ об избрании (прекращении полномочий), назначении (освобождении от должности) лиц, входящих в состав органов управления, иных должностных лиц в финансовых организациях, оценки соответствия квалификационным требованиям и (или) требованиям к деловой репутации лиц, входящих в состав органов управления, иных должностных лиц и учредителей (акционеров, участников) микрофинансовых организаций; </w:t>
      </w:r>
    </w:p>
    <w:p w14:paraId="1D4AAFD9"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установлен порядок получения предварительного согласия (последующего одобрения) ПРБ на приобретение акций (долей) микрофинансовой организации и (или) на установление контроля в отношении акционеров (участников) микрофинансовой организации;</w:t>
      </w:r>
    </w:p>
    <w:p w14:paraId="5548D3EC" w14:textId="77777777"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установлен порядок оценки финансового положения;</w:t>
      </w:r>
    </w:p>
    <w:p w14:paraId="65F6F87F" w14:textId="57099A8B" w:rsidR="00EF13D3" w:rsidRPr="00B174AF" w:rsidRDefault="00EF13D3" w:rsidP="00C01B21">
      <w:pPr>
        <w:numPr>
          <w:ilvl w:val="0"/>
          <w:numId w:val="26"/>
        </w:numPr>
        <w:tabs>
          <w:tab w:val="left" w:pos="567"/>
        </w:tabs>
        <w:spacing w:before="0" w:after="0" w:line="240" w:lineRule="auto"/>
        <w:ind w:left="0" w:firstLine="491"/>
        <w:jc w:val="both"/>
        <w:rPr>
          <w:rFonts w:ascii="Times New Roman" w:hAnsi="Times New Roman" w:cs="Times New Roman"/>
          <w:sz w:val="24"/>
          <w:szCs w:val="24"/>
        </w:rPr>
      </w:pPr>
      <w:r w:rsidRPr="00B174AF">
        <w:rPr>
          <w:rFonts w:ascii="Times New Roman" w:hAnsi="Times New Roman" w:cs="Times New Roman"/>
          <w:sz w:val="24"/>
          <w:szCs w:val="24"/>
        </w:rPr>
        <w:t xml:space="preserve">закреплены требования к финансовому положению и основания для признания финансового положения неудовлетворительным учредителей (акционеров, участников) микрофинансовой организации и иных лиц, предусмотренных </w:t>
      </w:r>
      <w:r w:rsidR="00826D60" w:rsidRPr="00B174AF">
        <w:rPr>
          <w:rFonts w:ascii="Times New Roman" w:hAnsi="Times New Roman" w:cs="Times New Roman"/>
          <w:sz w:val="24"/>
          <w:szCs w:val="24"/>
        </w:rPr>
        <w:t>Закон</w:t>
      </w:r>
      <w:r w:rsidR="00826D60">
        <w:rPr>
          <w:rFonts w:ascii="Times New Roman" w:hAnsi="Times New Roman" w:cs="Times New Roman"/>
          <w:sz w:val="24"/>
          <w:szCs w:val="24"/>
        </w:rPr>
        <w:t xml:space="preserve">ом Приднестровской Молдавской Республики </w:t>
      </w:r>
      <w:r w:rsidR="00826D60" w:rsidRPr="00B174AF">
        <w:rPr>
          <w:rFonts w:ascii="Times New Roman" w:hAnsi="Times New Roman" w:cs="Times New Roman"/>
          <w:sz w:val="24"/>
          <w:szCs w:val="24"/>
        </w:rPr>
        <w:t>«О микрофинансовой деятельности и микрофинансовых организациях»</w:t>
      </w:r>
      <w:r w:rsidRPr="00B174AF">
        <w:rPr>
          <w:rFonts w:ascii="Times New Roman" w:hAnsi="Times New Roman" w:cs="Times New Roman"/>
          <w:sz w:val="24"/>
          <w:szCs w:val="24"/>
        </w:rPr>
        <w:t>.</w:t>
      </w:r>
    </w:p>
    <w:p w14:paraId="19009F5C" w14:textId="77777777" w:rsidR="004E5D20" w:rsidRPr="00170B9B" w:rsidRDefault="004E5D20" w:rsidP="00EF13D3">
      <w:pPr>
        <w:spacing w:before="0" w:after="0" w:line="240" w:lineRule="auto"/>
        <w:ind w:firstLine="425"/>
        <w:jc w:val="both"/>
        <w:rPr>
          <w:rFonts w:ascii="Times New Roman" w:hAnsi="Times New Roman" w:cs="Times New Roman"/>
          <w:i/>
          <w:iCs/>
          <w:sz w:val="24"/>
          <w:szCs w:val="24"/>
        </w:rPr>
      </w:pPr>
    </w:p>
    <w:p w14:paraId="20D3F377" w14:textId="02880B84" w:rsidR="00EF13D3" w:rsidRPr="004F5043" w:rsidRDefault="00EF13D3" w:rsidP="00822F2A">
      <w:pPr>
        <w:pStyle w:val="1"/>
        <w:widowControl w:val="0"/>
        <w:spacing w:before="0" w:line="240" w:lineRule="auto"/>
        <w:jc w:val="center"/>
        <w:rPr>
          <w:b/>
          <w:bCs/>
          <w:noProof/>
          <w:sz w:val="24"/>
          <w:szCs w:val="24"/>
        </w:rPr>
      </w:pPr>
      <w:r>
        <w:rPr>
          <w:b/>
          <w:bCs/>
          <w:noProof/>
          <w:sz w:val="24"/>
          <w:szCs w:val="24"/>
        </w:rPr>
        <w:lastRenderedPageBreak/>
        <w:t xml:space="preserve">2.5. </w:t>
      </w:r>
      <w:r w:rsidRPr="004F5043">
        <w:rPr>
          <w:b/>
          <w:bCs/>
          <w:noProof/>
          <w:sz w:val="24"/>
          <w:szCs w:val="24"/>
        </w:rPr>
        <w:t>ВАЛЮТНОЕ РЕГУЛИРОВАНИЕ И ВАЛЮТНЫЙ КОНТРОЛЬ</w:t>
      </w:r>
    </w:p>
    <w:p w14:paraId="7E2FD2A0"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0BB03F63" w14:textId="6BA0F1A9" w:rsidR="00EF13D3" w:rsidRPr="009E1A3C" w:rsidRDefault="00EF13D3" w:rsidP="00EF13D3">
      <w:pPr>
        <w:spacing w:before="0" w:after="0" w:line="240" w:lineRule="auto"/>
        <w:ind w:firstLine="425"/>
        <w:jc w:val="both"/>
        <w:rPr>
          <w:rFonts w:ascii="Times New Roman" w:eastAsia="Times New Roman" w:hAnsi="Times New Roman" w:cs="Times New Roman"/>
          <w:sz w:val="24"/>
          <w:szCs w:val="24"/>
        </w:rPr>
      </w:pPr>
      <w:r w:rsidRPr="009E1A3C">
        <w:rPr>
          <w:rFonts w:ascii="Times New Roman" w:eastAsia="Times New Roman" w:hAnsi="Times New Roman" w:cs="Times New Roman"/>
          <w:sz w:val="24"/>
          <w:szCs w:val="24"/>
        </w:rPr>
        <w:t>В рамках валютной политики центральный банк действовал в соответствии с нормами законодательства и сво</w:t>
      </w:r>
      <w:r w:rsidR="00B37AE2">
        <w:rPr>
          <w:rFonts w:ascii="Times New Roman" w:eastAsia="Times New Roman" w:hAnsi="Times New Roman" w:cs="Times New Roman"/>
          <w:sz w:val="24"/>
          <w:szCs w:val="24"/>
        </w:rPr>
        <w:t>ими</w:t>
      </w:r>
      <w:r w:rsidRPr="009E1A3C">
        <w:rPr>
          <w:rFonts w:ascii="Times New Roman" w:eastAsia="Times New Roman" w:hAnsi="Times New Roman" w:cs="Times New Roman"/>
          <w:sz w:val="24"/>
          <w:szCs w:val="24"/>
        </w:rPr>
        <w:t xml:space="preserve"> полномочи</w:t>
      </w:r>
      <w:r w:rsidR="00B37AE2">
        <w:rPr>
          <w:rFonts w:ascii="Times New Roman" w:eastAsia="Times New Roman" w:hAnsi="Times New Roman" w:cs="Times New Roman"/>
          <w:sz w:val="24"/>
          <w:szCs w:val="24"/>
        </w:rPr>
        <w:t>ями</w:t>
      </w:r>
      <w:r w:rsidRPr="009E1A3C">
        <w:rPr>
          <w:rFonts w:ascii="Times New Roman" w:eastAsia="Times New Roman" w:hAnsi="Times New Roman" w:cs="Times New Roman"/>
          <w:sz w:val="24"/>
          <w:szCs w:val="24"/>
        </w:rPr>
        <w:t xml:space="preserve"> по установлению размера и порядка обязательной продажи части валютной выручки резидентов в валютный резерв Приднестровской Молдавской Республики, полномочи</w:t>
      </w:r>
      <w:r w:rsidR="00B37AE2">
        <w:rPr>
          <w:rFonts w:ascii="Times New Roman" w:eastAsia="Times New Roman" w:hAnsi="Times New Roman" w:cs="Times New Roman"/>
          <w:sz w:val="24"/>
          <w:szCs w:val="24"/>
        </w:rPr>
        <w:t>ями</w:t>
      </w:r>
      <w:r w:rsidRPr="009E1A3C">
        <w:rPr>
          <w:rFonts w:ascii="Times New Roman" w:eastAsia="Times New Roman" w:hAnsi="Times New Roman" w:cs="Times New Roman"/>
          <w:sz w:val="24"/>
          <w:szCs w:val="24"/>
        </w:rPr>
        <w:t xml:space="preserve"> по продлению сроков репатриации и снятию с валютного контроля сумм безнадёжной задолженности, в случаях представления резидентом документального подтверждения фактов, оговоренных законом, свидетельствующих о невозможности взыскания или возврата причитающихся им сумм, а также полномочи</w:t>
      </w:r>
      <w:r w:rsidR="00B37AE2">
        <w:rPr>
          <w:rFonts w:ascii="Times New Roman" w:eastAsia="Times New Roman" w:hAnsi="Times New Roman" w:cs="Times New Roman"/>
          <w:sz w:val="24"/>
          <w:szCs w:val="24"/>
        </w:rPr>
        <w:t>ями</w:t>
      </w:r>
      <w:r w:rsidRPr="009E1A3C">
        <w:rPr>
          <w:rFonts w:ascii="Times New Roman" w:eastAsia="Times New Roman" w:hAnsi="Times New Roman" w:cs="Times New Roman"/>
          <w:sz w:val="24"/>
          <w:szCs w:val="24"/>
        </w:rPr>
        <w:t xml:space="preserve"> по рассмотрению административных дел за невыполнение обязанности по получению в установленный срок экспортной валютной выручки, равно как и обязанности возврата авансовых платежей за неосуществлённый импорт или ввоза в установленный срок импортных товаров, выполнения работ, оказания услуг. </w:t>
      </w:r>
    </w:p>
    <w:p w14:paraId="037C64CD" w14:textId="1733B1EB" w:rsidR="00EF13D3" w:rsidRPr="009E1A3C" w:rsidRDefault="00EF13D3" w:rsidP="00EF13D3">
      <w:pPr>
        <w:autoSpaceDE w:val="0"/>
        <w:autoSpaceDN w:val="0"/>
        <w:adjustRightInd w:val="0"/>
        <w:spacing w:before="0" w:after="0" w:line="240" w:lineRule="auto"/>
        <w:ind w:firstLine="425"/>
        <w:jc w:val="both"/>
        <w:rPr>
          <w:rFonts w:ascii="Times New Roman" w:eastAsiaTheme="minorHAnsi" w:hAnsi="Times New Roman" w:cs="Times New Roman"/>
          <w:sz w:val="24"/>
          <w:szCs w:val="24"/>
          <w:lang w:eastAsia="en-US"/>
        </w:rPr>
      </w:pPr>
      <w:r w:rsidRPr="009E1A3C">
        <w:rPr>
          <w:rFonts w:ascii="Times New Roman" w:eastAsiaTheme="minorHAnsi" w:hAnsi="Times New Roman" w:cs="Times New Roman"/>
          <w:sz w:val="24"/>
          <w:szCs w:val="24"/>
          <w:lang w:eastAsia="en-US"/>
        </w:rPr>
        <w:t>Норма обязательной продажи части валютной выручки</w:t>
      </w:r>
      <w:r w:rsidR="00B37AE2">
        <w:rPr>
          <w:rFonts w:ascii="Times New Roman" w:eastAsiaTheme="minorHAnsi" w:hAnsi="Times New Roman" w:cs="Times New Roman"/>
          <w:sz w:val="24"/>
          <w:szCs w:val="24"/>
          <w:lang w:eastAsia="en-US"/>
        </w:rPr>
        <w:t xml:space="preserve"> </w:t>
      </w:r>
      <w:r w:rsidRPr="009E1A3C">
        <w:rPr>
          <w:rFonts w:ascii="Times New Roman" w:eastAsiaTheme="minorHAnsi" w:hAnsi="Times New Roman" w:cs="Times New Roman"/>
          <w:sz w:val="24"/>
          <w:szCs w:val="24"/>
          <w:lang w:eastAsia="en-US"/>
        </w:rPr>
        <w:t xml:space="preserve">в отчётном году составила 25%, за исключением: </w:t>
      </w:r>
    </w:p>
    <w:p w14:paraId="5633C9EA" w14:textId="77777777" w:rsidR="00EF13D3" w:rsidRPr="009E1A3C" w:rsidRDefault="00EF13D3" w:rsidP="00EF13D3">
      <w:pPr>
        <w:autoSpaceDE w:val="0"/>
        <w:autoSpaceDN w:val="0"/>
        <w:adjustRightInd w:val="0"/>
        <w:spacing w:before="0" w:after="0" w:line="240" w:lineRule="auto"/>
        <w:ind w:firstLine="425"/>
        <w:jc w:val="both"/>
        <w:rPr>
          <w:rFonts w:ascii="Times New Roman" w:eastAsiaTheme="minorHAnsi" w:hAnsi="Times New Roman" w:cs="Times New Roman"/>
          <w:sz w:val="24"/>
          <w:szCs w:val="24"/>
          <w:lang w:eastAsia="en-US"/>
        </w:rPr>
      </w:pPr>
      <w:r w:rsidRPr="009E1A3C">
        <w:rPr>
          <w:rFonts w:ascii="Times New Roman" w:eastAsiaTheme="minorHAnsi" w:hAnsi="Times New Roman" w:cs="Times New Roman"/>
          <w:sz w:val="24"/>
          <w:szCs w:val="24"/>
          <w:lang w:eastAsia="en-US"/>
        </w:rPr>
        <w:t xml:space="preserve">- валютной выручки, получаемой от реализации товаров, работ, услуг на территории </w:t>
      </w:r>
      <w:r w:rsidRPr="009E1A3C">
        <w:rPr>
          <w:rFonts w:ascii="Times New Roman" w:eastAsia="Times New Roman" w:hAnsi="Times New Roman" w:cs="Times New Roman"/>
          <w:sz w:val="24"/>
          <w:szCs w:val="24"/>
        </w:rPr>
        <w:t>Приднестровской Молдавской Республики</w:t>
      </w:r>
      <w:r w:rsidRPr="009E1A3C">
        <w:rPr>
          <w:rFonts w:ascii="Times New Roman" w:eastAsiaTheme="minorHAnsi" w:hAnsi="Times New Roman" w:cs="Times New Roman"/>
          <w:sz w:val="24"/>
          <w:szCs w:val="24"/>
          <w:lang w:eastAsia="en-US"/>
        </w:rPr>
        <w:t xml:space="preserve"> за наличную иностранную валюту на основании лицензий, выданных Приднестровским республиканским банком. Норма обязательной продажи по данной части валютной выручки соответствовала 10%;</w:t>
      </w:r>
    </w:p>
    <w:p w14:paraId="1BD5EDC0" w14:textId="77777777" w:rsidR="00EF13D3" w:rsidRPr="009E1A3C" w:rsidRDefault="00EF13D3" w:rsidP="00EF13D3">
      <w:pPr>
        <w:autoSpaceDE w:val="0"/>
        <w:autoSpaceDN w:val="0"/>
        <w:adjustRightInd w:val="0"/>
        <w:spacing w:before="0" w:after="0" w:line="240" w:lineRule="auto"/>
        <w:ind w:firstLine="425"/>
        <w:jc w:val="both"/>
        <w:rPr>
          <w:rFonts w:ascii="Times New Roman" w:eastAsiaTheme="minorHAnsi" w:hAnsi="Times New Roman" w:cs="Times New Roman"/>
          <w:sz w:val="24"/>
          <w:szCs w:val="24"/>
          <w:lang w:eastAsia="en-US"/>
        </w:rPr>
      </w:pPr>
      <w:r w:rsidRPr="009E1A3C">
        <w:rPr>
          <w:rFonts w:ascii="Times New Roman" w:eastAsiaTheme="minorHAnsi" w:hAnsi="Times New Roman" w:cs="Times New Roman"/>
          <w:sz w:val="24"/>
          <w:szCs w:val="24"/>
          <w:lang w:eastAsia="en-US"/>
        </w:rPr>
        <w:t xml:space="preserve">- денежных средств, полученных субъектом инновационной деятельности в результате реализации инновационного проекта в иностранной валюте, от реализации готовой продукции за пределы </w:t>
      </w:r>
      <w:r w:rsidRPr="009E1A3C">
        <w:rPr>
          <w:rFonts w:ascii="Times New Roman" w:eastAsia="Times New Roman" w:hAnsi="Times New Roman" w:cs="Times New Roman"/>
          <w:sz w:val="24"/>
          <w:szCs w:val="24"/>
        </w:rPr>
        <w:t>Приднестровской Молдавской Республики</w:t>
      </w:r>
      <w:r w:rsidRPr="009E1A3C">
        <w:rPr>
          <w:rFonts w:ascii="Times New Roman" w:eastAsiaTheme="minorHAnsi" w:hAnsi="Times New Roman" w:cs="Times New Roman"/>
          <w:sz w:val="24"/>
          <w:szCs w:val="24"/>
          <w:lang w:eastAsia="en-US"/>
        </w:rPr>
        <w:t xml:space="preserve"> при осуществлении инновационного проекта. Данные субъекты производят обязательную продажу в размере 3% от суммы валютной выручки;</w:t>
      </w:r>
    </w:p>
    <w:p w14:paraId="790EAD1F" w14:textId="77777777" w:rsidR="00EF13D3" w:rsidRPr="009E1A3C" w:rsidRDefault="00EF13D3" w:rsidP="00EF13D3">
      <w:pPr>
        <w:autoSpaceDE w:val="0"/>
        <w:autoSpaceDN w:val="0"/>
        <w:adjustRightInd w:val="0"/>
        <w:spacing w:before="0" w:after="0" w:line="240" w:lineRule="auto"/>
        <w:ind w:firstLine="425"/>
        <w:jc w:val="both"/>
        <w:rPr>
          <w:rFonts w:ascii="Times New Roman" w:eastAsiaTheme="minorHAnsi" w:hAnsi="Times New Roman" w:cs="Times New Roman"/>
          <w:sz w:val="24"/>
          <w:szCs w:val="24"/>
          <w:lang w:eastAsia="en-US"/>
        </w:rPr>
      </w:pPr>
      <w:r w:rsidRPr="009E1A3C">
        <w:rPr>
          <w:rFonts w:ascii="Times New Roman" w:eastAsiaTheme="minorHAnsi" w:hAnsi="Times New Roman" w:cs="Times New Roman"/>
          <w:sz w:val="24"/>
          <w:szCs w:val="24"/>
          <w:lang w:eastAsia="en-US"/>
        </w:rPr>
        <w:t xml:space="preserve">- денежные средства, полученные резидентами и нерезидентами в иностранной валюте от экспорта электрической энергии из </w:t>
      </w:r>
      <w:r w:rsidRPr="009E1A3C">
        <w:rPr>
          <w:rFonts w:ascii="Times New Roman" w:eastAsia="Times New Roman" w:hAnsi="Times New Roman" w:cs="Times New Roman"/>
          <w:sz w:val="24"/>
          <w:szCs w:val="24"/>
        </w:rPr>
        <w:t>Приднестровской Молдавской Республики</w:t>
      </w:r>
      <w:r w:rsidRPr="009E1A3C">
        <w:rPr>
          <w:rFonts w:ascii="Times New Roman" w:eastAsiaTheme="minorHAnsi" w:hAnsi="Times New Roman" w:cs="Times New Roman"/>
          <w:sz w:val="24"/>
          <w:szCs w:val="24"/>
          <w:lang w:eastAsia="en-US"/>
        </w:rPr>
        <w:t>, подлежат обязательной продаже в размере 95%;</w:t>
      </w:r>
    </w:p>
    <w:p w14:paraId="43147E50" w14:textId="77777777" w:rsidR="00EF13D3" w:rsidRPr="009E1A3C" w:rsidRDefault="00EF13D3" w:rsidP="00EF13D3">
      <w:pPr>
        <w:autoSpaceDE w:val="0"/>
        <w:autoSpaceDN w:val="0"/>
        <w:adjustRightInd w:val="0"/>
        <w:spacing w:before="0" w:after="0" w:line="240" w:lineRule="auto"/>
        <w:ind w:firstLine="425"/>
        <w:jc w:val="both"/>
        <w:rPr>
          <w:rFonts w:ascii="Times New Roman" w:eastAsiaTheme="minorHAnsi" w:hAnsi="Times New Roman" w:cs="Times New Roman"/>
          <w:sz w:val="24"/>
          <w:szCs w:val="24"/>
          <w:lang w:eastAsia="en-US"/>
        </w:rPr>
      </w:pPr>
      <w:r w:rsidRPr="009E1A3C">
        <w:rPr>
          <w:rFonts w:ascii="Times New Roman" w:eastAsiaTheme="minorHAnsi" w:hAnsi="Times New Roman" w:cs="Times New Roman"/>
          <w:sz w:val="24"/>
          <w:szCs w:val="24"/>
          <w:lang w:eastAsia="en-US"/>
        </w:rPr>
        <w:t xml:space="preserve"> - валютной выручки, получаемой организациями чёрной металлургии, осуществившими за предшествующий календарный месяц обязательную продажу части валютной выручки в объёме равном или превышающем в эквиваленте один миллион долларов США. Данные организации производили обязательную продажу в размере 18% от суммы валютной выручки, получаемой в течение текущего календарного месяца.</w:t>
      </w:r>
    </w:p>
    <w:p w14:paraId="043EAD3D" w14:textId="0B9D0588" w:rsidR="00EF13D3" w:rsidRPr="009E1A3C" w:rsidRDefault="00EF13D3" w:rsidP="00EF13D3">
      <w:pPr>
        <w:spacing w:before="0" w:after="0" w:line="240" w:lineRule="auto"/>
        <w:ind w:firstLine="425"/>
        <w:jc w:val="both"/>
        <w:rPr>
          <w:rFonts w:ascii="Times New Roman" w:eastAsiaTheme="minorHAnsi" w:hAnsi="Times New Roman" w:cs="Times New Roman"/>
          <w:sz w:val="24"/>
          <w:szCs w:val="24"/>
          <w:lang w:eastAsia="en-US"/>
        </w:rPr>
      </w:pPr>
      <w:r w:rsidRPr="009E1A3C">
        <w:rPr>
          <w:rFonts w:ascii="Times New Roman" w:eastAsiaTheme="minorHAnsi" w:hAnsi="Times New Roman" w:cs="Times New Roman"/>
          <w:sz w:val="24"/>
          <w:szCs w:val="24"/>
          <w:lang w:eastAsia="en-US"/>
        </w:rPr>
        <w:t xml:space="preserve">В соответствии с Указанием Приднестровского республиканского банка от 10 апреля </w:t>
      </w:r>
      <w:r w:rsidR="004216F3">
        <w:rPr>
          <w:rFonts w:ascii="Times New Roman" w:eastAsiaTheme="minorHAnsi" w:hAnsi="Times New Roman" w:cs="Times New Roman"/>
          <w:sz w:val="24"/>
          <w:szCs w:val="24"/>
          <w:lang w:eastAsia="en-US"/>
        </w:rPr>
        <w:br/>
      </w:r>
      <w:r w:rsidRPr="009E1A3C">
        <w:rPr>
          <w:rFonts w:ascii="Times New Roman" w:eastAsiaTheme="minorHAnsi" w:hAnsi="Times New Roman" w:cs="Times New Roman"/>
          <w:sz w:val="24"/>
          <w:szCs w:val="24"/>
          <w:lang w:eastAsia="en-US"/>
        </w:rPr>
        <w:t>2019 года № 1150-У «О внесении изменения и дополнения в Положение Приднестровского республиканского банка от 19 июня 2007 года № 75-П «Об осуществлении обязательной продажи части валютной выручки» с 12 апреля 2019 года допускается осуществление обязательной продажи части валютной выручки, фактически поступившей на транзитный счёт, вне зависимости от валюты зачисления, в долларах США в соответствующем объёме валютной выручки, подлежащей обязательной продаже, по официальному курсу Приднестровского республиканского банка на дату осуществления обязательной продажи.</w:t>
      </w:r>
    </w:p>
    <w:p w14:paraId="7388BF65" w14:textId="77777777" w:rsidR="00EF13D3" w:rsidRPr="00665EEA" w:rsidRDefault="00EF13D3" w:rsidP="00EF13D3">
      <w:pPr>
        <w:spacing w:before="0" w:after="0" w:line="240" w:lineRule="auto"/>
        <w:ind w:firstLine="425"/>
        <w:jc w:val="both"/>
        <w:rPr>
          <w:rFonts w:ascii="Tahoma" w:eastAsia="Times New Roman" w:hAnsi="Tahoma" w:cs="Tahoma"/>
          <w:sz w:val="16"/>
          <w:szCs w:val="16"/>
        </w:rPr>
      </w:pPr>
      <w:r w:rsidRPr="009E1A3C">
        <w:rPr>
          <w:rFonts w:ascii="Times New Roman" w:eastAsia="Times New Roman" w:hAnsi="Times New Roman" w:cs="Times New Roman"/>
          <w:sz w:val="24"/>
          <w:szCs w:val="24"/>
        </w:rPr>
        <w:t xml:space="preserve">В </w:t>
      </w:r>
      <w:r w:rsidRPr="00665EEA">
        <w:rPr>
          <w:rFonts w:ascii="Times New Roman" w:eastAsia="Times New Roman" w:hAnsi="Times New Roman" w:cs="Times New Roman"/>
          <w:sz w:val="24"/>
          <w:szCs w:val="24"/>
        </w:rPr>
        <w:t xml:space="preserve">результате в 2020 году объём поступлений в рамках обязательной продажи части валютной выручки в долларовом эквиваленте составил 258,9 млн долл. </w:t>
      </w:r>
    </w:p>
    <w:p w14:paraId="60237568" w14:textId="346DD765" w:rsidR="00EF13D3" w:rsidRPr="004A18FC" w:rsidRDefault="00EF13D3" w:rsidP="00EF13D3">
      <w:pPr>
        <w:spacing w:before="0" w:after="0" w:line="240" w:lineRule="auto"/>
        <w:ind w:firstLine="425"/>
        <w:jc w:val="both"/>
        <w:rPr>
          <w:rFonts w:ascii="Times New Roman" w:eastAsia="Times New Roman" w:hAnsi="Times New Roman" w:cs="Times New Roman"/>
          <w:sz w:val="24"/>
          <w:szCs w:val="24"/>
        </w:rPr>
      </w:pPr>
      <w:r w:rsidRPr="00665EEA">
        <w:rPr>
          <w:rFonts w:ascii="Times New Roman" w:eastAsia="Times New Roman" w:hAnsi="Times New Roman" w:cs="Times New Roman"/>
          <w:sz w:val="24"/>
          <w:szCs w:val="24"/>
        </w:rPr>
        <w:t>С 18 января 2020 года вступила в силу норма, согласно которой юридическим лицам-резидентам, имеющим открытые в установленном порядке счета в банках за пределами Приднестровской Молдавской</w:t>
      </w:r>
      <w:r w:rsidRPr="004A18FC">
        <w:rPr>
          <w:rFonts w:ascii="Times New Roman" w:eastAsia="Times New Roman" w:hAnsi="Times New Roman" w:cs="Times New Roman"/>
          <w:sz w:val="24"/>
          <w:szCs w:val="24"/>
        </w:rPr>
        <w:t xml:space="preserve"> Республики, предоставлено право покупать иностранную валюту для пополнения своего счёта в банке-нерезиденте с последующей её конвертацией в иную иностранную валюту и переводом в оплату контракта (договора) в рамках текущих валютных операций. При этом юридические лица</w:t>
      </w:r>
      <w:r w:rsidR="00B37AE2">
        <w:rPr>
          <w:rFonts w:ascii="Times New Roman" w:eastAsia="Times New Roman" w:hAnsi="Times New Roman" w:cs="Times New Roman"/>
          <w:sz w:val="24"/>
          <w:szCs w:val="24"/>
        </w:rPr>
        <w:t xml:space="preserve"> </w:t>
      </w:r>
      <w:r w:rsidRPr="004A18FC">
        <w:rPr>
          <w:rFonts w:ascii="Times New Roman" w:eastAsia="Times New Roman" w:hAnsi="Times New Roman" w:cs="Times New Roman"/>
          <w:sz w:val="24"/>
          <w:szCs w:val="24"/>
        </w:rPr>
        <w:t>-</w:t>
      </w:r>
      <w:r w:rsidR="00B37AE2">
        <w:rPr>
          <w:rFonts w:ascii="Times New Roman" w:eastAsia="Times New Roman" w:hAnsi="Times New Roman" w:cs="Times New Roman"/>
          <w:sz w:val="24"/>
          <w:szCs w:val="24"/>
        </w:rPr>
        <w:t xml:space="preserve"> </w:t>
      </w:r>
      <w:r w:rsidRPr="004A18FC">
        <w:rPr>
          <w:rFonts w:ascii="Times New Roman" w:eastAsia="Times New Roman" w:hAnsi="Times New Roman" w:cs="Times New Roman"/>
          <w:sz w:val="24"/>
          <w:szCs w:val="24"/>
        </w:rPr>
        <w:t xml:space="preserve">резиденты вправе покупать только </w:t>
      </w:r>
      <w:r w:rsidRPr="004A18FC">
        <w:rPr>
          <w:rFonts w:ascii="Times New Roman" w:eastAsia="Times New Roman" w:hAnsi="Times New Roman" w:cs="Times New Roman"/>
          <w:sz w:val="24"/>
          <w:szCs w:val="24"/>
        </w:rPr>
        <w:lastRenderedPageBreak/>
        <w:t>иностранную валюту, являющуюся национальной валютой страны, в которой находится банк-нерезидент.</w:t>
      </w:r>
    </w:p>
    <w:p w14:paraId="4B5C1064" w14:textId="77777777" w:rsidR="00EF13D3" w:rsidRPr="009E1A3C" w:rsidRDefault="00EF13D3" w:rsidP="00EF13D3">
      <w:pPr>
        <w:spacing w:before="0" w:after="0" w:line="240" w:lineRule="auto"/>
        <w:ind w:firstLine="425"/>
        <w:jc w:val="both"/>
        <w:rPr>
          <w:rFonts w:ascii="Times New Roman" w:eastAsia="Times New Roman" w:hAnsi="Times New Roman" w:cs="Times New Roman"/>
          <w:sz w:val="24"/>
          <w:szCs w:val="24"/>
        </w:rPr>
      </w:pPr>
      <w:r w:rsidRPr="004A18FC">
        <w:rPr>
          <w:rFonts w:ascii="Times New Roman" w:eastAsia="Times New Roman" w:hAnsi="Times New Roman" w:cs="Times New Roman"/>
          <w:sz w:val="24"/>
          <w:szCs w:val="24"/>
        </w:rPr>
        <w:t>В рамках валютного контроля осуществлялась проверка выполнения резидентами обязательств по репатриации валютной выручки на территорию Приднестровской Молдавской Республики, а также обязатель</w:t>
      </w:r>
      <w:r w:rsidRPr="009E1A3C">
        <w:rPr>
          <w:rFonts w:ascii="Times New Roman" w:eastAsia="Times New Roman" w:hAnsi="Times New Roman" w:cs="Times New Roman"/>
          <w:sz w:val="24"/>
          <w:szCs w:val="24"/>
        </w:rPr>
        <w:t xml:space="preserve">ств по продаже её части на внутреннем валютном рынке, определялась обоснованность платежей в иностранной валюте, оценивалась полнота и объективность учёта и отчётности по валютным операциям, соответствие проводимых валютных операций действующему законодательству Приднестровской Молдавской Республики. </w:t>
      </w:r>
    </w:p>
    <w:p w14:paraId="25ED9E9A" w14:textId="77777777" w:rsidR="00EF13D3" w:rsidRDefault="00EF13D3" w:rsidP="00EF13D3">
      <w:pPr>
        <w:spacing w:before="0" w:after="0" w:line="240" w:lineRule="auto"/>
        <w:ind w:firstLine="425"/>
        <w:jc w:val="both"/>
        <w:rPr>
          <w:rFonts w:ascii="Times New Roman" w:eastAsia="Times New Roman" w:hAnsi="Times New Roman" w:cs="Times New Roman"/>
          <w:sz w:val="24"/>
          <w:szCs w:val="24"/>
        </w:rPr>
      </w:pPr>
      <w:r w:rsidRPr="009E1A3C">
        <w:rPr>
          <w:rFonts w:ascii="Times New Roman" w:eastAsia="Times New Roman" w:hAnsi="Times New Roman" w:cs="Times New Roman"/>
          <w:sz w:val="24"/>
          <w:szCs w:val="24"/>
        </w:rPr>
        <w:t>Валютный контроль за соблюдением резидентами сроков репатриации валютной выручки и ввоза товаров по экспортно-импортным сделкам осуществляется совместно с таможенными органами Приднестровской Молдавской Республики.</w:t>
      </w:r>
      <w:r>
        <w:rPr>
          <w:rFonts w:ascii="Times New Roman" w:eastAsia="Times New Roman" w:hAnsi="Times New Roman" w:cs="Times New Roman"/>
          <w:sz w:val="24"/>
          <w:szCs w:val="24"/>
        </w:rPr>
        <w:t xml:space="preserve"> </w:t>
      </w:r>
    </w:p>
    <w:p w14:paraId="27EA3E5B" w14:textId="4E92366F" w:rsidR="00EF13D3" w:rsidRPr="003E5E9E" w:rsidRDefault="00EF13D3" w:rsidP="00EF13D3">
      <w:pPr>
        <w:spacing w:before="0" w:after="0" w:line="240" w:lineRule="auto"/>
        <w:ind w:firstLine="425"/>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При этом в рамках поддержки экономических агентов в период чрезвычайного положения</w:t>
      </w:r>
      <w:r w:rsidRPr="00053655">
        <w:rPr>
          <w:rFonts w:ascii="Times New Roman" w:eastAsia="Times New Roman" w:hAnsi="Times New Roman" w:cs="Times New Roman"/>
          <w:sz w:val="24"/>
          <w:szCs w:val="24"/>
        </w:rPr>
        <w:t xml:space="preserve">, в случае невозможности соблюдения ими по объективным причинам сроков репатриации валюты (товаров) в соответствии с валютным законодательством </w:t>
      </w:r>
      <w:r w:rsidR="00AD7716">
        <w:rPr>
          <w:rFonts w:ascii="Times New Roman" w:hAnsi="Times New Roman" w:cs="Times New Roman"/>
          <w:sz w:val="24"/>
          <w:szCs w:val="24"/>
        </w:rPr>
        <w:t>Приднестровской Молдавской Республики</w:t>
      </w:r>
      <w:r w:rsidRPr="00053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Банком Приднестровья было </w:t>
      </w:r>
      <w:r w:rsidRPr="00053655">
        <w:rPr>
          <w:rFonts w:ascii="Times New Roman" w:eastAsia="Times New Roman" w:hAnsi="Times New Roman" w:cs="Times New Roman"/>
          <w:sz w:val="24"/>
          <w:szCs w:val="24"/>
        </w:rPr>
        <w:t>принято решение о возможности продления сроков репатриации валютной выручки (товаров) в целях избежания дополнительной нагрузки в виде уплаты штрафов (на основе заявления в Приднестровский республиканский банк).</w:t>
      </w:r>
      <w:r>
        <w:rPr>
          <w:rFonts w:ascii="Times New Roman" w:eastAsia="Times New Roman" w:hAnsi="Times New Roman" w:cs="Times New Roman"/>
          <w:sz w:val="24"/>
          <w:szCs w:val="24"/>
        </w:rPr>
        <w:t xml:space="preserve"> </w:t>
      </w:r>
      <w:r w:rsidRPr="009E1A3C">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целом за</w:t>
      </w:r>
      <w:r w:rsidRPr="009E1A3C">
        <w:rPr>
          <w:rFonts w:ascii="Times New Roman" w:eastAsia="Times New Roman" w:hAnsi="Times New Roman" w:cs="Times New Roman"/>
          <w:sz w:val="24"/>
          <w:szCs w:val="24"/>
        </w:rPr>
        <w:t xml:space="preserve"> 2020 год протоколами об административном правонарушении было зафиксировано 108 случаев нарушения сроков репатриации валютной выручки, возврата авансовых платежей по импортным операциям, не сопровождающихся поставками товаров (работ, услуг) и было вынесено 48</w:t>
      </w:r>
      <w:r w:rsidRPr="009E1A3C">
        <w:rPr>
          <w:rFonts w:ascii="Times New Roman" w:eastAsia="Times New Roman" w:hAnsi="Times New Roman" w:cs="Times New Roman"/>
          <w:color w:val="0000FF"/>
          <w:sz w:val="24"/>
          <w:szCs w:val="24"/>
        </w:rPr>
        <w:t xml:space="preserve"> </w:t>
      </w:r>
      <w:r w:rsidRPr="009E1A3C">
        <w:rPr>
          <w:rFonts w:ascii="Times New Roman" w:eastAsia="Times New Roman" w:hAnsi="Times New Roman" w:cs="Times New Roman"/>
          <w:sz w:val="24"/>
          <w:szCs w:val="24"/>
        </w:rPr>
        <w:t>Постановлений о назначении административного наказания. Общая сумма наложенных административных штрафов составила в долларов</w:t>
      </w:r>
      <w:r>
        <w:rPr>
          <w:rFonts w:ascii="Times New Roman" w:eastAsia="Times New Roman" w:hAnsi="Times New Roman" w:cs="Times New Roman"/>
          <w:sz w:val="24"/>
          <w:szCs w:val="24"/>
        </w:rPr>
        <w:t>ом эквиваленте 67,3 тыс. долл.</w:t>
      </w:r>
    </w:p>
    <w:p w14:paraId="6066FCAD" w14:textId="77777777" w:rsidR="00EF13D3" w:rsidRPr="009E1A3C" w:rsidRDefault="00EF13D3" w:rsidP="00EF13D3">
      <w:pPr>
        <w:spacing w:before="0" w:after="0" w:line="240" w:lineRule="auto"/>
        <w:ind w:firstLine="425"/>
        <w:jc w:val="both"/>
        <w:rPr>
          <w:rFonts w:ascii="Times New Roman" w:eastAsia="Times New Roman" w:hAnsi="Times New Roman" w:cs="Times New Roman"/>
          <w:sz w:val="24"/>
          <w:szCs w:val="24"/>
        </w:rPr>
      </w:pPr>
      <w:r w:rsidRPr="009E1A3C">
        <w:rPr>
          <w:rFonts w:ascii="Times New Roman" w:eastAsia="Times New Roman" w:hAnsi="Times New Roman" w:cs="Times New Roman"/>
          <w:sz w:val="24"/>
          <w:szCs w:val="24"/>
        </w:rPr>
        <w:t xml:space="preserve">В рамках регистрации валютных операций, связанных с движением капитала, Приднестровским республиканским банком в 2020 году было зафиксировано получение юридическими лицами иностранной валюты в сумме, эквивалентной 26,7 млн долл. </w:t>
      </w:r>
    </w:p>
    <w:p w14:paraId="69F86DF5" w14:textId="02FDF088" w:rsidR="00EF13D3" w:rsidRPr="009E1A3C" w:rsidRDefault="00EF13D3" w:rsidP="00EF13D3">
      <w:pPr>
        <w:spacing w:before="0" w:after="0" w:line="240" w:lineRule="auto"/>
        <w:ind w:firstLine="425"/>
        <w:jc w:val="both"/>
        <w:rPr>
          <w:rFonts w:ascii="Times New Roman" w:eastAsia="Times New Roman" w:hAnsi="Times New Roman" w:cs="Times New Roman"/>
          <w:sz w:val="24"/>
          <w:szCs w:val="24"/>
        </w:rPr>
      </w:pPr>
      <w:r w:rsidRPr="009E1A3C">
        <w:rPr>
          <w:rFonts w:ascii="Times New Roman" w:eastAsia="Times New Roman" w:hAnsi="Times New Roman" w:cs="Times New Roman"/>
          <w:sz w:val="24"/>
          <w:szCs w:val="24"/>
        </w:rPr>
        <w:t xml:space="preserve">В отчётном году было принято положительное решение о выдаче юридическим лицам - резидентам </w:t>
      </w:r>
      <w:r w:rsidR="00AD7716">
        <w:rPr>
          <w:rFonts w:ascii="Times New Roman" w:hAnsi="Times New Roman" w:cs="Times New Roman"/>
          <w:sz w:val="24"/>
          <w:szCs w:val="24"/>
        </w:rPr>
        <w:t>Приднестровской Молдавской Республики</w:t>
      </w:r>
      <w:r w:rsidR="00AD7716" w:rsidRPr="009E1A3C">
        <w:rPr>
          <w:rFonts w:ascii="Times New Roman" w:eastAsia="Times New Roman" w:hAnsi="Times New Roman" w:cs="Times New Roman"/>
          <w:sz w:val="24"/>
          <w:szCs w:val="24"/>
        </w:rPr>
        <w:t xml:space="preserve"> </w:t>
      </w:r>
      <w:r w:rsidRPr="009E1A3C">
        <w:rPr>
          <w:rFonts w:ascii="Times New Roman" w:eastAsia="Times New Roman" w:hAnsi="Times New Roman" w:cs="Times New Roman"/>
          <w:sz w:val="24"/>
          <w:szCs w:val="24"/>
        </w:rPr>
        <w:t>разрешений на осуществление валютных операций, связанных с движением капитала</w:t>
      </w:r>
      <w:r w:rsidR="00B37AE2">
        <w:rPr>
          <w:rFonts w:ascii="Times New Roman" w:eastAsia="Times New Roman" w:hAnsi="Times New Roman" w:cs="Times New Roman"/>
          <w:sz w:val="24"/>
          <w:szCs w:val="24"/>
        </w:rPr>
        <w:t>,</w:t>
      </w:r>
      <w:r w:rsidRPr="009E1A3C">
        <w:rPr>
          <w:rFonts w:ascii="Times New Roman" w:eastAsia="Times New Roman" w:hAnsi="Times New Roman" w:cs="Times New Roman"/>
          <w:sz w:val="24"/>
          <w:szCs w:val="24"/>
        </w:rPr>
        <w:t xml:space="preserve"> в сумме, эквивалентной </w:t>
      </w:r>
      <w:r w:rsidR="00AD7716">
        <w:rPr>
          <w:rFonts w:ascii="Times New Roman" w:eastAsia="Times New Roman" w:hAnsi="Times New Roman" w:cs="Times New Roman"/>
          <w:sz w:val="24"/>
          <w:szCs w:val="24"/>
        </w:rPr>
        <w:br/>
      </w:r>
      <w:r w:rsidRPr="009E1A3C">
        <w:rPr>
          <w:rFonts w:ascii="Times New Roman" w:eastAsia="Times New Roman" w:hAnsi="Times New Roman" w:cs="Times New Roman"/>
          <w:sz w:val="24"/>
          <w:szCs w:val="24"/>
        </w:rPr>
        <w:t>458,1 тыс. долл.</w:t>
      </w:r>
    </w:p>
    <w:p w14:paraId="7A9F4C88" w14:textId="77777777" w:rsidR="00EF13D3" w:rsidRPr="00665EEA" w:rsidRDefault="00EF13D3" w:rsidP="00EF13D3">
      <w:pPr>
        <w:spacing w:before="0" w:after="0" w:line="240" w:lineRule="auto"/>
        <w:ind w:firstLine="425"/>
        <w:jc w:val="both"/>
        <w:rPr>
          <w:rFonts w:ascii="Times New Roman" w:eastAsia="Times New Roman" w:hAnsi="Times New Roman" w:cs="Times New Roman"/>
          <w:strike/>
          <w:sz w:val="24"/>
          <w:szCs w:val="24"/>
        </w:rPr>
      </w:pPr>
      <w:r w:rsidRPr="009E1A3C">
        <w:rPr>
          <w:rFonts w:ascii="Times New Roman" w:eastAsia="Times New Roman" w:hAnsi="Times New Roman" w:cs="Times New Roman"/>
          <w:sz w:val="24"/>
          <w:szCs w:val="24"/>
        </w:rPr>
        <w:t xml:space="preserve">По выданным Приднестровским республиканским банком лицензиям </w:t>
      </w:r>
      <w:r w:rsidRPr="009E1A3C">
        <w:rPr>
          <w:rFonts w:ascii="Times New Roman" w:eastAsia="Times New Roman" w:hAnsi="Times New Roman" w:cs="Times New Roman"/>
          <w:snapToGrid w:val="0"/>
          <w:sz w:val="24"/>
        </w:rPr>
        <w:t xml:space="preserve">на право реализации физическим лицам на территории Приднестровской Молдавской Республики товаров (работ, услуг) за </w:t>
      </w:r>
      <w:r w:rsidRPr="00665EEA">
        <w:rPr>
          <w:rFonts w:ascii="Times New Roman" w:eastAsia="Times New Roman" w:hAnsi="Times New Roman" w:cs="Times New Roman"/>
          <w:snapToGrid w:val="0"/>
          <w:sz w:val="24"/>
        </w:rPr>
        <w:t>наличную и (или) безналичную иностранную валюту, в том числе с использованием банковских (платёжных) карт, в</w:t>
      </w:r>
      <w:r w:rsidRPr="00665EEA">
        <w:rPr>
          <w:rFonts w:ascii="Times New Roman" w:eastAsia="Times New Roman" w:hAnsi="Times New Roman" w:cs="Times New Roman"/>
          <w:sz w:val="24"/>
          <w:szCs w:val="24"/>
        </w:rPr>
        <w:t xml:space="preserve"> 2020 году работало 17 юридических лиц.</w:t>
      </w:r>
    </w:p>
    <w:p w14:paraId="4C47F943" w14:textId="77777777" w:rsidR="00EF13D3" w:rsidRPr="00170B9B" w:rsidRDefault="00EF13D3" w:rsidP="00EF13D3">
      <w:pPr>
        <w:spacing w:before="0" w:after="0" w:line="240" w:lineRule="auto"/>
        <w:ind w:firstLine="425"/>
        <w:jc w:val="both"/>
        <w:rPr>
          <w:rFonts w:ascii="Times New Roman" w:hAnsi="Times New Roman" w:cs="Times New Roman"/>
          <w:sz w:val="24"/>
          <w:szCs w:val="24"/>
        </w:rPr>
      </w:pPr>
    </w:p>
    <w:p w14:paraId="003262EC" w14:textId="60136854" w:rsidR="00EF13D3" w:rsidRPr="004F5043" w:rsidRDefault="00EF13D3" w:rsidP="00EC7E6D">
      <w:pPr>
        <w:pStyle w:val="1"/>
        <w:widowControl w:val="0"/>
        <w:spacing w:before="0" w:line="240" w:lineRule="auto"/>
        <w:jc w:val="center"/>
        <w:rPr>
          <w:b/>
          <w:bCs/>
          <w:noProof/>
          <w:sz w:val="24"/>
          <w:szCs w:val="24"/>
        </w:rPr>
      </w:pPr>
      <w:r>
        <w:rPr>
          <w:b/>
          <w:bCs/>
          <w:noProof/>
          <w:sz w:val="24"/>
          <w:szCs w:val="24"/>
        </w:rPr>
        <w:t xml:space="preserve">2.6. </w:t>
      </w:r>
      <w:r w:rsidRPr="004F5043">
        <w:rPr>
          <w:b/>
          <w:bCs/>
          <w:noProof/>
          <w:sz w:val="24"/>
          <w:szCs w:val="24"/>
        </w:rPr>
        <w:t>ПРОТИВОДЕЙСТВИЕ ЛЕГАЛИЗАЦИИ (ОТМЫВАНИЮ) ДОХОДОВ, ПОЛУЧЕННЫХ ПРЕСТУПНЫМ ПУТЁМ, И ФИНАНСИРОВАНИЮ ТЕРРОРИЗМА</w:t>
      </w:r>
    </w:p>
    <w:p w14:paraId="2809BA92"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18474DC8" w14:textId="77777777" w:rsidR="00EF13D3" w:rsidRPr="009E1A3C" w:rsidRDefault="00EF13D3" w:rsidP="00EF13D3">
      <w:pPr>
        <w:spacing w:before="0" w:after="0" w:line="240" w:lineRule="auto"/>
        <w:ind w:firstLine="425"/>
        <w:jc w:val="both"/>
        <w:rPr>
          <w:rFonts w:ascii="Times New Roman" w:hAnsi="Times New Roman" w:cs="Times New Roman"/>
          <w:sz w:val="24"/>
          <w:szCs w:val="24"/>
        </w:rPr>
      </w:pPr>
      <w:r w:rsidRPr="009E1A3C">
        <w:rPr>
          <w:rFonts w:ascii="Times New Roman" w:hAnsi="Times New Roman" w:cs="Times New Roman"/>
          <w:sz w:val="24"/>
          <w:szCs w:val="24"/>
        </w:rPr>
        <w:t>В отчётном году Приднестровским республиканским банком была продолжена работа по развитию системы противодействия легализации (отмыванию) доходов, полученных преступным путём, и финансированию терроризма (далее – ПОД/ФТ).</w:t>
      </w:r>
    </w:p>
    <w:p w14:paraId="027FB240" w14:textId="61903B39" w:rsidR="00EF13D3" w:rsidRPr="009E1A3C" w:rsidRDefault="00B37AE2" w:rsidP="00EF13D3">
      <w:pPr>
        <w:spacing w:before="0" w:after="0" w:line="240" w:lineRule="auto"/>
        <w:ind w:firstLine="425"/>
        <w:jc w:val="both"/>
        <w:rPr>
          <w:rFonts w:ascii="Times New Roman" w:hAnsi="Times New Roman" w:cs="Times New Roman"/>
          <w:sz w:val="24"/>
          <w:szCs w:val="24"/>
        </w:rPr>
      </w:pPr>
      <w:r w:rsidRPr="009E1A3C">
        <w:rPr>
          <w:rFonts w:ascii="Times New Roman" w:hAnsi="Times New Roman" w:cs="Times New Roman"/>
          <w:sz w:val="24"/>
          <w:szCs w:val="24"/>
        </w:rPr>
        <w:t xml:space="preserve">Реализация </w:t>
      </w:r>
      <w:r w:rsidR="00EF13D3" w:rsidRPr="009E1A3C">
        <w:rPr>
          <w:rFonts w:ascii="Times New Roman" w:hAnsi="Times New Roman" w:cs="Times New Roman"/>
          <w:sz w:val="24"/>
          <w:szCs w:val="24"/>
        </w:rPr>
        <w:t>функций, предусмотренных статьёй 12 Закона Приднестровской Молдавской Республики от 6 апреля 2009 года № 704-З-IV «О противодействии легализации (отмыванию) доходов, полученных преступным путём, и финансированию терроризма», Приднестровским республиканским банком как уполномоченным органом в сфере ПОД/ФТ осуществлялась по следующим направлениям:</w:t>
      </w:r>
    </w:p>
    <w:p w14:paraId="77E5E463" w14:textId="5A62E803" w:rsidR="00EF13D3" w:rsidRPr="009E1A3C" w:rsidRDefault="00EF13D3" w:rsidP="00EF13D3">
      <w:pPr>
        <w:numPr>
          <w:ilvl w:val="0"/>
          <w:numId w:val="4"/>
        </w:numPr>
        <w:tabs>
          <w:tab w:val="clear" w:pos="785"/>
          <w:tab w:val="num" w:pos="426"/>
        </w:tabs>
        <w:spacing w:before="0" w:after="0" w:line="240" w:lineRule="auto"/>
        <w:ind w:left="0" w:firstLine="426"/>
        <w:jc w:val="both"/>
        <w:rPr>
          <w:rFonts w:ascii="Times New Roman" w:hAnsi="Times New Roman" w:cs="Times New Roman"/>
          <w:sz w:val="24"/>
          <w:szCs w:val="24"/>
        </w:rPr>
      </w:pPr>
      <w:r w:rsidRPr="009E1A3C">
        <w:rPr>
          <w:rFonts w:ascii="Times New Roman" w:hAnsi="Times New Roman" w:cs="Times New Roman"/>
          <w:sz w:val="24"/>
          <w:szCs w:val="24"/>
        </w:rPr>
        <w:lastRenderedPageBreak/>
        <w:t xml:space="preserve">Поставлены на учёт </w:t>
      </w:r>
      <w:r w:rsidR="00B37AE2">
        <w:rPr>
          <w:rFonts w:ascii="Times New Roman" w:hAnsi="Times New Roman" w:cs="Times New Roman"/>
          <w:sz w:val="24"/>
          <w:szCs w:val="24"/>
        </w:rPr>
        <w:t>четыре</w:t>
      </w:r>
      <w:r w:rsidRPr="009E1A3C">
        <w:rPr>
          <w:rFonts w:ascii="Times New Roman" w:hAnsi="Times New Roman" w:cs="Times New Roman"/>
          <w:sz w:val="24"/>
          <w:szCs w:val="24"/>
        </w:rPr>
        <w:t xml:space="preserve"> организации, </w:t>
      </w:r>
      <w:r w:rsidR="00B37AE2">
        <w:rPr>
          <w:rFonts w:ascii="Times New Roman" w:hAnsi="Times New Roman" w:cs="Times New Roman"/>
          <w:sz w:val="24"/>
          <w:szCs w:val="24"/>
        </w:rPr>
        <w:t>три</w:t>
      </w:r>
      <w:r w:rsidRPr="009E1A3C">
        <w:rPr>
          <w:rFonts w:ascii="Times New Roman" w:hAnsi="Times New Roman" w:cs="Times New Roman"/>
          <w:sz w:val="24"/>
          <w:szCs w:val="24"/>
        </w:rPr>
        <w:t xml:space="preserve"> нотариуса и один</w:t>
      </w:r>
      <w:r>
        <w:rPr>
          <w:rFonts w:ascii="Times New Roman" w:hAnsi="Times New Roman" w:cs="Times New Roman"/>
          <w:sz w:val="24"/>
          <w:szCs w:val="24"/>
        </w:rPr>
        <w:t xml:space="preserve"> индивидуальный предприниматель.</w:t>
      </w:r>
      <w:r w:rsidRPr="009E1A3C">
        <w:rPr>
          <w:rFonts w:ascii="Times New Roman" w:hAnsi="Times New Roman" w:cs="Times New Roman"/>
          <w:sz w:val="24"/>
          <w:szCs w:val="24"/>
        </w:rPr>
        <w:t xml:space="preserve"> Сняты с учёта в Приднестровском республиканском банке 16 субъектов.</w:t>
      </w:r>
    </w:p>
    <w:p w14:paraId="4977B170" w14:textId="51E7CF9C" w:rsidR="00EF13D3" w:rsidRPr="009E1A3C" w:rsidRDefault="00EF13D3" w:rsidP="00EF13D3">
      <w:pPr>
        <w:tabs>
          <w:tab w:val="left" w:pos="720"/>
        </w:tabs>
        <w:spacing w:before="0" w:after="0" w:line="240" w:lineRule="auto"/>
        <w:ind w:left="-142" w:right="-1" w:firstLine="568"/>
        <w:jc w:val="both"/>
        <w:rPr>
          <w:rFonts w:ascii="Times New Roman" w:hAnsi="Times New Roman" w:cs="Times New Roman"/>
          <w:sz w:val="24"/>
          <w:szCs w:val="24"/>
        </w:rPr>
      </w:pPr>
      <w:r w:rsidRPr="009E1A3C">
        <w:rPr>
          <w:rFonts w:ascii="Times New Roman" w:hAnsi="Times New Roman" w:cs="Times New Roman"/>
          <w:sz w:val="24"/>
          <w:szCs w:val="24"/>
        </w:rPr>
        <w:t xml:space="preserve">2. Рассмотрены и согласованы Правила внутреннего контроля (изменения и (или) дополнения), </w:t>
      </w:r>
      <w:r w:rsidR="002012B5">
        <w:rPr>
          <w:rFonts w:ascii="Times New Roman" w:hAnsi="Times New Roman" w:cs="Times New Roman"/>
          <w:sz w:val="24"/>
          <w:szCs w:val="24"/>
        </w:rPr>
        <w:t xml:space="preserve">представленные на согласование </w:t>
      </w:r>
      <w:r w:rsidRPr="009E1A3C">
        <w:rPr>
          <w:rFonts w:ascii="Times New Roman" w:hAnsi="Times New Roman" w:cs="Times New Roman"/>
          <w:sz w:val="24"/>
          <w:szCs w:val="24"/>
        </w:rPr>
        <w:t xml:space="preserve">одним частным нотариусом и </w:t>
      </w:r>
      <w:r w:rsidR="00B37AE2">
        <w:rPr>
          <w:rFonts w:ascii="Times New Roman" w:hAnsi="Times New Roman" w:cs="Times New Roman"/>
          <w:sz w:val="24"/>
          <w:szCs w:val="24"/>
        </w:rPr>
        <w:t>семью</w:t>
      </w:r>
      <w:r w:rsidRPr="009E1A3C">
        <w:rPr>
          <w:rFonts w:ascii="Times New Roman" w:hAnsi="Times New Roman" w:cs="Times New Roman"/>
          <w:sz w:val="24"/>
          <w:szCs w:val="24"/>
        </w:rPr>
        <w:t xml:space="preserve"> организациями.</w:t>
      </w:r>
    </w:p>
    <w:p w14:paraId="0FDEEFD4" w14:textId="77777777" w:rsidR="00EF13D3" w:rsidRPr="009E1A3C" w:rsidRDefault="00EF13D3" w:rsidP="00EF13D3">
      <w:pPr>
        <w:tabs>
          <w:tab w:val="left" w:pos="720"/>
        </w:tabs>
        <w:spacing w:before="0" w:after="0" w:line="240" w:lineRule="auto"/>
        <w:ind w:right="-1" w:firstLine="425"/>
        <w:jc w:val="both"/>
        <w:rPr>
          <w:rFonts w:ascii="Times New Roman" w:hAnsi="Times New Roman" w:cs="Times New Roman"/>
          <w:sz w:val="24"/>
          <w:szCs w:val="24"/>
        </w:rPr>
      </w:pPr>
      <w:r w:rsidRPr="009E1A3C">
        <w:rPr>
          <w:rFonts w:ascii="Times New Roman" w:hAnsi="Times New Roman" w:cs="Times New Roman"/>
          <w:sz w:val="24"/>
          <w:szCs w:val="24"/>
        </w:rPr>
        <w:t xml:space="preserve">3. Посредством единой информационной системы в сфере противодействия легализации (отмыванию) доходов, полученных преступным путём, и финансированию терроризма, функционирующей в Приднестровском республиканском банке, приняты и проанализированы 2 936 сообщений от организаций, осуществляющих операции (сделки) с денежными средствами или иным имуществом, в том числе: </w:t>
      </w:r>
    </w:p>
    <w:p w14:paraId="76A35F32" w14:textId="77777777" w:rsidR="00EF13D3" w:rsidRPr="009E1A3C" w:rsidRDefault="00EF13D3" w:rsidP="00EF13D3">
      <w:pPr>
        <w:numPr>
          <w:ilvl w:val="0"/>
          <w:numId w:val="8"/>
        </w:numPr>
        <w:tabs>
          <w:tab w:val="clear" w:pos="1145"/>
          <w:tab w:val="left" w:pos="720"/>
          <w:tab w:val="left" w:pos="900"/>
          <w:tab w:val="num" w:pos="1080"/>
        </w:tabs>
        <w:spacing w:before="0" w:after="0" w:line="240" w:lineRule="auto"/>
        <w:ind w:left="0" w:right="-1" w:firstLine="425"/>
        <w:jc w:val="both"/>
        <w:rPr>
          <w:rFonts w:ascii="Times New Roman" w:hAnsi="Times New Roman" w:cs="Times New Roman"/>
          <w:sz w:val="24"/>
          <w:szCs w:val="24"/>
        </w:rPr>
      </w:pPr>
      <w:r w:rsidRPr="009E1A3C">
        <w:rPr>
          <w:rFonts w:ascii="Times New Roman" w:hAnsi="Times New Roman" w:cs="Times New Roman"/>
          <w:sz w:val="24"/>
          <w:szCs w:val="24"/>
        </w:rPr>
        <w:t xml:space="preserve"> 630 сообщений по операциям (сделкам), подлежащим государственному контролю;</w:t>
      </w:r>
    </w:p>
    <w:p w14:paraId="7487F06E" w14:textId="77777777" w:rsidR="00EF13D3" w:rsidRPr="009E1A3C" w:rsidRDefault="00EF13D3" w:rsidP="00EF13D3">
      <w:pPr>
        <w:numPr>
          <w:ilvl w:val="0"/>
          <w:numId w:val="8"/>
        </w:numPr>
        <w:tabs>
          <w:tab w:val="clear" w:pos="1145"/>
          <w:tab w:val="left" w:pos="720"/>
          <w:tab w:val="left" w:pos="900"/>
          <w:tab w:val="num" w:pos="1080"/>
        </w:tabs>
        <w:spacing w:before="0" w:after="0" w:line="240" w:lineRule="auto"/>
        <w:ind w:left="0" w:right="-1" w:firstLine="425"/>
        <w:jc w:val="both"/>
        <w:rPr>
          <w:rFonts w:ascii="Times New Roman" w:hAnsi="Times New Roman" w:cs="Times New Roman"/>
          <w:sz w:val="24"/>
          <w:szCs w:val="24"/>
        </w:rPr>
      </w:pPr>
      <w:r w:rsidRPr="009E1A3C">
        <w:rPr>
          <w:rFonts w:ascii="Times New Roman" w:hAnsi="Times New Roman" w:cs="Times New Roman"/>
          <w:sz w:val="24"/>
          <w:szCs w:val="24"/>
        </w:rPr>
        <w:t>2 306 сообщений по операциям (сделкам), в отношении которых возникли подозрения, что они связаны с легализацией (отмыванием) доходов, полученных преступным путём, и финансированием терроризма.</w:t>
      </w:r>
    </w:p>
    <w:p w14:paraId="1E1FA220" w14:textId="77777777" w:rsidR="00EF13D3" w:rsidRPr="009E1A3C" w:rsidRDefault="00EF13D3" w:rsidP="00EF13D3">
      <w:pPr>
        <w:spacing w:before="0" w:after="0" w:line="240" w:lineRule="auto"/>
        <w:ind w:right="-1" w:firstLine="425"/>
        <w:jc w:val="both"/>
        <w:rPr>
          <w:rFonts w:ascii="Times New Roman" w:hAnsi="Times New Roman" w:cs="Times New Roman"/>
          <w:sz w:val="24"/>
          <w:szCs w:val="24"/>
        </w:rPr>
      </w:pPr>
      <w:r w:rsidRPr="009E1A3C">
        <w:rPr>
          <w:rFonts w:ascii="Times New Roman" w:hAnsi="Times New Roman" w:cs="Times New Roman"/>
          <w:sz w:val="24"/>
          <w:szCs w:val="24"/>
        </w:rPr>
        <w:t xml:space="preserve">4. По итогам анализа полученных сообщений, а также иной информации, имеющейся в распоряжении Приднестровского республиканского банка, в правоохранительные органы направлено 15 сообщений с информацией об операциях (сделках) с денежными средствами, в отношении которых имелись достаточные основания полагать, что они связаны с легализацией (отмыванием) доходов, полученных преступным путём, и финансированием терроризма. </w:t>
      </w:r>
    </w:p>
    <w:p w14:paraId="3E9B6A56" w14:textId="77777777" w:rsidR="00EF13D3" w:rsidRPr="009E1A3C" w:rsidRDefault="00EF13D3" w:rsidP="00EF13D3">
      <w:pPr>
        <w:tabs>
          <w:tab w:val="left" w:pos="720"/>
        </w:tabs>
        <w:spacing w:before="0" w:after="0" w:line="240" w:lineRule="auto"/>
        <w:ind w:firstLine="425"/>
        <w:jc w:val="both"/>
        <w:rPr>
          <w:rFonts w:ascii="Times New Roman" w:hAnsi="Times New Roman" w:cs="Times New Roman"/>
          <w:sz w:val="24"/>
          <w:szCs w:val="24"/>
        </w:rPr>
      </w:pPr>
      <w:r w:rsidRPr="009E1A3C">
        <w:rPr>
          <w:rFonts w:ascii="Times New Roman" w:hAnsi="Times New Roman" w:cs="Times New Roman"/>
          <w:sz w:val="24"/>
          <w:szCs w:val="24"/>
        </w:rPr>
        <w:t xml:space="preserve">5. В рамках контроля за выполнением физическими и юридическими лицами законодательства Приднестровской Молдавской Республики в сфере противодействия легализации (отмыванию) доходов, полученных преступным путём, и финансированию терроризма проведена выездная проверка ООО КО «Идиллия». </w:t>
      </w:r>
    </w:p>
    <w:p w14:paraId="6B4B2E5F" w14:textId="77777777" w:rsidR="00EF13D3" w:rsidRPr="009E1A3C" w:rsidRDefault="00EF13D3" w:rsidP="00EF13D3">
      <w:pPr>
        <w:tabs>
          <w:tab w:val="left" w:pos="720"/>
          <w:tab w:val="left" w:pos="1080"/>
        </w:tabs>
        <w:spacing w:before="0" w:after="0" w:line="240" w:lineRule="auto"/>
        <w:ind w:firstLine="425"/>
        <w:jc w:val="both"/>
        <w:rPr>
          <w:rFonts w:ascii="Times New Roman" w:hAnsi="Times New Roman" w:cs="Times New Roman"/>
          <w:sz w:val="24"/>
          <w:szCs w:val="24"/>
        </w:rPr>
      </w:pPr>
      <w:r w:rsidRPr="009E1A3C">
        <w:rPr>
          <w:rFonts w:ascii="Times New Roman" w:hAnsi="Times New Roman" w:cs="Times New Roman"/>
          <w:sz w:val="24"/>
          <w:szCs w:val="24"/>
        </w:rPr>
        <w:t>По результатам контрольного мероприятия подготовлен и направлен кредитной организации акт с предписанием об устранении выявленных нарушений</w:t>
      </w:r>
      <w:r>
        <w:rPr>
          <w:rFonts w:ascii="Times New Roman" w:hAnsi="Times New Roman" w:cs="Times New Roman"/>
          <w:sz w:val="24"/>
          <w:szCs w:val="24"/>
        </w:rPr>
        <w:t>, а также в</w:t>
      </w:r>
      <w:r w:rsidRPr="009E1A3C">
        <w:rPr>
          <w:rFonts w:ascii="Times New Roman" w:hAnsi="Times New Roman" w:cs="Times New Roman"/>
          <w:sz w:val="24"/>
          <w:szCs w:val="24"/>
        </w:rPr>
        <w:t xml:space="preserve">озбуждены дела об административных правонарушениях в отношении ООО КО «Идиллия» и его должностного лица. </w:t>
      </w:r>
    </w:p>
    <w:p w14:paraId="3E3ED724" w14:textId="77777777" w:rsidR="00EF13D3" w:rsidRPr="00551048" w:rsidRDefault="00EF13D3" w:rsidP="00EF13D3">
      <w:pPr>
        <w:pStyle w:val="af9"/>
        <w:spacing w:before="0" w:beforeAutospacing="0" w:after="0" w:afterAutospacing="0" w:line="240" w:lineRule="auto"/>
        <w:ind w:firstLine="425"/>
        <w:jc w:val="both"/>
        <w:rPr>
          <w:rFonts w:ascii="Times New Roman" w:hAnsi="Times New Roman" w:cs="Times New Roman"/>
        </w:rPr>
      </w:pPr>
      <w:r>
        <w:rPr>
          <w:rFonts w:ascii="Times New Roman" w:hAnsi="Times New Roman" w:cs="Times New Roman"/>
        </w:rPr>
        <w:t>6</w:t>
      </w:r>
      <w:r w:rsidRPr="009E1A3C">
        <w:rPr>
          <w:rFonts w:ascii="Times New Roman" w:hAnsi="Times New Roman" w:cs="Times New Roman"/>
        </w:rPr>
        <w:t xml:space="preserve">. В рамках корреспондентских отношений с </w:t>
      </w:r>
      <w:r w:rsidRPr="00D2341F">
        <w:rPr>
          <w:rFonts w:ascii="Times New Roman" w:hAnsi="Times New Roman" w:cs="Times New Roman"/>
        </w:rPr>
        <w:t>банками-нерезидентами</w:t>
      </w:r>
      <w:r w:rsidRPr="009E1A3C">
        <w:rPr>
          <w:rFonts w:ascii="Times New Roman" w:hAnsi="Times New Roman" w:cs="Times New Roman"/>
        </w:rPr>
        <w:t xml:space="preserve"> подготовлены и направлены документы, необходимые в сфере противодействия легализации (отмыванию) доходов, полученных преступным пут</w:t>
      </w:r>
      <w:r>
        <w:rPr>
          <w:rFonts w:ascii="Times New Roman" w:hAnsi="Times New Roman" w:cs="Times New Roman"/>
        </w:rPr>
        <w:t>ём, и финансированию терроризма.</w:t>
      </w:r>
    </w:p>
    <w:p w14:paraId="689B6BBB" w14:textId="77777777" w:rsidR="00AA735A" w:rsidRDefault="00AA735A" w:rsidP="00EF13D3">
      <w:pPr>
        <w:spacing w:before="0" w:after="0" w:line="240" w:lineRule="auto"/>
        <w:ind w:firstLine="425"/>
        <w:jc w:val="both"/>
        <w:rPr>
          <w:rFonts w:ascii="Times New Roman" w:hAnsi="Times New Roman" w:cs="Times New Roman"/>
          <w:sz w:val="24"/>
          <w:szCs w:val="24"/>
        </w:rPr>
      </w:pPr>
    </w:p>
    <w:p w14:paraId="52C5E1AA" w14:textId="2DC2687A" w:rsidR="00EF13D3" w:rsidRPr="00F63414" w:rsidRDefault="00EF13D3" w:rsidP="00EC7E6D">
      <w:pPr>
        <w:pStyle w:val="1"/>
        <w:widowControl w:val="0"/>
        <w:spacing w:before="0" w:line="240" w:lineRule="auto"/>
        <w:jc w:val="center"/>
        <w:rPr>
          <w:b/>
          <w:bCs/>
          <w:noProof/>
          <w:sz w:val="24"/>
          <w:szCs w:val="24"/>
        </w:rPr>
      </w:pPr>
      <w:r w:rsidRPr="00F63414">
        <w:rPr>
          <w:b/>
          <w:bCs/>
          <w:noProof/>
          <w:sz w:val="24"/>
          <w:szCs w:val="24"/>
        </w:rPr>
        <w:t>2.</w:t>
      </w:r>
      <w:r>
        <w:rPr>
          <w:b/>
          <w:bCs/>
          <w:noProof/>
          <w:sz w:val="24"/>
          <w:szCs w:val="24"/>
        </w:rPr>
        <w:t>7</w:t>
      </w:r>
      <w:r w:rsidRPr="00F63414">
        <w:rPr>
          <w:b/>
          <w:bCs/>
          <w:noProof/>
          <w:sz w:val="24"/>
          <w:szCs w:val="24"/>
        </w:rPr>
        <w:t xml:space="preserve">. ФУНКЦИОНИРОВАНИЕ ПЛАТЁЖНОЙ СИСТЕМЫ </w:t>
      </w:r>
      <w:r w:rsidR="00AA735A">
        <w:rPr>
          <w:b/>
          <w:bCs/>
          <w:noProof/>
          <w:sz w:val="24"/>
          <w:szCs w:val="24"/>
        </w:rPr>
        <w:br/>
      </w:r>
      <w:r w:rsidRPr="00F63414">
        <w:rPr>
          <w:b/>
          <w:bCs/>
          <w:noProof/>
          <w:sz w:val="24"/>
          <w:szCs w:val="24"/>
        </w:rPr>
        <w:t>ПРИДНЕСТРОВСКОГО РЕСПУБЛИКАНСКОГО БАНКА</w:t>
      </w:r>
    </w:p>
    <w:p w14:paraId="0C6F1073"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1BD6CF84" w14:textId="77777777" w:rsidR="00EF13D3" w:rsidRPr="009E1A3C" w:rsidRDefault="00EF13D3" w:rsidP="00EF13D3">
      <w:pPr>
        <w:widowControl w:val="0"/>
        <w:spacing w:before="0" w:after="0" w:line="240" w:lineRule="auto"/>
        <w:ind w:firstLine="425"/>
        <w:jc w:val="both"/>
        <w:rPr>
          <w:rFonts w:ascii="Times New Roman" w:hAnsi="Times New Roman" w:cs="Times New Roman"/>
          <w:sz w:val="24"/>
          <w:szCs w:val="24"/>
        </w:rPr>
      </w:pPr>
      <w:r w:rsidRPr="009E1A3C">
        <w:rPr>
          <w:rFonts w:ascii="Times New Roman" w:hAnsi="Times New Roman" w:cs="Times New Roman"/>
          <w:sz w:val="24"/>
          <w:szCs w:val="24"/>
        </w:rPr>
        <w:t>В 2020 году через расчётно-кассовый центр Приднестровского республиканского банка было проведено 1 830,6 тыс. транзакций, что на 1,1% больше, чем за 2019 год. При этом в суммарном выражении величина перевед</w:t>
      </w:r>
      <w:r>
        <w:rPr>
          <w:rFonts w:ascii="Times New Roman" w:hAnsi="Times New Roman" w:cs="Times New Roman"/>
          <w:sz w:val="24"/>
          <w:szCs w:val="24"/>
        </w:rPr>
        <w:t>е</w:t>
      </w:r>
      <w:r w:rsidRPr="009E1A3C">
        <w:rPr>
          <w:rFonts w:ascii="Times New Roman" w:hAnsi="Times New Roman" w:cs="Times New Roman"/>
          <w:sz w:val="24"/>
          <w:szCs w:val="24"/>
        </w:rPr>
        <w:t xml:space="preserve">нных средств возросла на 1,6% и составила </w:t>
      </w:r>
      <w:r>
        <w:rPr>
          <w:rFonts w:ascii="Times New Roman" w:hAnsi="Times New Roman" w:cs="Times New Roman"/>
          <w:sz w:val="24"/>
          <w:szCs w:val="24"/>
        </w:rPr>
        <w:br/>
      </w:r>
      <w:r w:rsidRPr="009E1A3C">
        <w:rPr>
          <w:rFonts w:ascii="Times New Roman" w:hAnsi="Times New Roman" w:cs="Times New Roman"/>
          <w:sz w:val="24"/>
          <w:szCs w:val="24"/>
        </w:rPr>
        <w:t>37 757,6 млн руб. В среднем каждый день через Приднестровский республиканский банк проходило 5 001 платежей на сумму 103,2 млн руб.</w:t>
      </w:r>
    </w:p>
    <w:p w14:paraId="1AE3B639" w14:textId="6DD24D6B" w:rsidR="00EF13D3" w:rsidRPr="009E1A3C" w:rsidRDefault="00EF13D3" w:rsidP="00EF13D3">
      <w:pPr>
        <w:spacing w:before="0" w:after="0" w:line="240" w:lineRule="auto"/>
        <w:ind w:firstLine="425"/>
        <w:jc w:val="both"/>
        <w:rPr>
          <w:rFonts w:ascii="Times New Roman" w:hAnsi="Times New Roman" w:cs="Times New Roman"/>
          <w:sz w:val="24"/>
          <w:szCs w:val="24"/>
        </w:rPr>
      </w:pPr>
      <w:r w:rsidRPr="009E1A3C">
        <w:rPr>
          <w:rFonts w:ascii="Times New Roman" w:hAnsi="Times New Roman" w:cs="Times New Roman"/>
          <w:sz w:val="24"/>
          <w:szCs w:val="24"/>
        </w:rPr>
        <w:t xml:space="preserve">В структуре операций, осуществлённых через расчётно-кассовый центр центрального банка, большая часть пришлась на транзакции кредитных организаций. Количество собственных операций Приднестровского республиканского банка, включая выполнение обязательств клиентов, по сравнению с базисным годом увеличилось на 6,7%, до 75,4 тыс. ед., а их сумма – </w:t>
      </w:r>
      <w:r w:rsidR="001F2F3B">
        <w:rPr>
          <w:rFonts w:ascii="Times New Roman" w:hAnsi="Times New Roman" w:cs="Times New Roman"/>
          <w:sz w:val="24"/>
          <w:szCs w:val="24"/>
        </w:rPr>
        <w:t xml:space="preserve">на </w:t>
      </w:r>
      <w:r w:rsidRPr="009E1A3C">
        <w:rPr>
          <w:rFonts w:ascii="Times New Roman" w:hAnsi="Times New Roman" w:cs="Times New Roman"/>
          <w:sz w:val="24"/>
          <w:szCs w:val="24"/>
        </w:rPr>
        <w:t>1,4%, до 13 050,5 млн руб.</w:t>
      </w:r>
    </w:p>
    <w:p w14:paraId="2CD2762F" w14:textId="77777777" w:rsidR="00EF13D3" w:rsidRPr="009E1A3C" w:rsidRDefault="00EF13D3" w:rsidP="00EF13D3">
      <w:pPr>
        <w:spacing w:before="0" w:after="0" w:line="240" w:lineRule="auto"/>
        <w:ind w:firstLine="426"/>
        <w:jc w:val="both"/>
        <w:rPr>
          <w:rFonts w:ascii="Times New Roman" w:hAnsi="Times New Roman" w:cs="Times New Roman"/>
          <w:sz w:val="24"/>
          <w:szCs w:val="24"/>
        </w:rPr>
      </w:pPr>
      <w:r w:rsidRPr="009E1A3C">
        <w:rPr>
          <w:rFonts w:ascii="Times New Roman" w:hAnsi="Times New Roman" w:cs="Times New Roman"/>
          <w:sz w:val="24"/>
          <w:szCs w:val="24"/>
        </w:rPr>
        <w:t xml:space="preserve">По состоянию на 1 января 2021 года центральный банк продолжает сотрудничество с шестью зарубежными банками-корреспондентами. При проведении расчётных операций с ними в первую очередь учитывается кредитный рейтинг банка, а также условия ведения счёта, </w:t>
      </w:r>
      <w:r w:rsidRPr="009E1A3C">
        <w:rPr>
          <w:rFonts w:ascii="Times New Roman" w:hAnsi="Times New Roman" w:cs="Times New Roman"/>
          <w:sz w:val="24"/>
          <w:szCs w:val="24"/>
        </w:rPr>
        <w:lastRenderedPageBreak/>
        <w:t xml:space="preserve">стоимость и скорость проведения операций, обеспечение наиболее оптимального пути прохождения клиентских платежей. Банки-корреспонденты обслуживают 19 корреспондентских счетов Приднестровского республиканского банка. </w:t>
      </w:r>
    </w:p>
    <w:p w14:paraId="210CBBDF" w14:textId="77777777" w:rsidR="00EF13D3" w:rsidRPr="00665EEA" w:rsidRDefault="00EF13D3" w:rsidP="00EF13D3">
      <w:pPr>
        <w:pStyle w:val="a5"/>
        <w:spacing w:before="0" w:after="0" w:line="240" w:lineRule="auto"/>
        <w:ind w:firstLine="425"/>
        <w:rPr>
          <w:rFonts w:ascii="Times New Roman" w:hAnsi="Times New Roman" w:cs="Times New Roman"/>
          <w:sz w:val="24"/>
          <w:szCs w:val="24"/>
        </w:rPr>
      </w:pPr>
      <w:r w:rsidRPr="009E1A3C">
        <w:rPr>
          <w:rFonts w:ascii="Times New Roman" w:hAnsi="Times New Roman" w:cs="Times New Roman"/>
          <w:sz w:val="24"/>
          <w:szCs w:val="24"/>
        </w:rPr>
        <w:t xml:space="preserve">В 2020 </w:t>
      </w:r>
      <w:r w:rsidRPr="00665EEA">
        <w:rPr>
          <w:rFonts w:ascii="Times New Roman" w:hAnsi="Times New Roman" w:cs="Times New Roman"/>
          <w:sz w:val="24"/>
          <w:szCs w:val="24"/>
        </w:rPr>
        <w:t xml:space="preserve">году деятельность Приднестровского республиканского банка в части совершенствования электронных расчётов с клиентами банка, не являющимися кредитными организациями (далее – клиенты), была направлена на улучшение программного комплекса «Банк-Клиент». </w:t>
      </w:r>
    </w:p>
    <w:p w14:paraId="009028D7" w14:textId="77777777" w:rsidR="00EF13D3" w:rsidRPr="00665EEA" w:rsidRDefault="00EF13D3" w:rsidP="00EF13D3">
      <w:pPr>
        <w:pStyle w:val="a5"/>
        <w:spacing w:before="0" w:after="0" w:line="240" w:lineRule="auto"/>
        <w:ind w:firstLine="425"/>
        <w:rPr>
          <w:rFonts w:ascii="Times New Roman" w:hAnsi="Times New Roman" w:cs="Times New Roman"/>
          <w:sz w:val="24"/>
          <w:szCs w:val="24"/>
        </w:rPr>
      </w:pPr>
      <w:r w:rsidRPr="00665EEA">
        <w:rPr>
          <w:rFonts w:ascii="Times New Roman" w:hAnsi="Times New Roman" w:cs="Times New Roman"/>
          <w:sz w:val="24"/>
          <w:szCs w:val="24"/>
        </w:rPr>
        <w:t>В результате проведения ряда мероприятий по дополнению программного комплекса «Банк-Клиент» возможностью работы с электронными документами в иностранной валюте клиенты Приднестровского республиканского банка с 1 сентября 2020 года получили возможность направлять на исполнение банку помимо платёжных поручений в рублях Приднестровской Молдавской Республики платёжные поручения на перечисление средств в иностранной валюте, платёжные поручения на конвертацию, поручения на обязательную продажу валюты, а также заявления на отзыв документов в электронном виде, подписанные электронными подписями.</w:t>
      </w:r>
    </w:p>
    <w:p w14:paraId="357B76E1" w14:textId="77777777" w:rsidR="00EF13D3" w:rsidRPr="009E1A3C" w:rsidRDefault="00EF13D3" w:rsidP="00EF13D3">
      <w:pPr>
        <w:pStyle w:val="a5"/>
        <w:spacing w:before="0" w:after="0" w:line="240" w:lineRule="auto"/>
        <w:ind w:firstLine="425"/>
        <w:rPr>
          <w:rFonts w:ascii="Times New Roman" w:hAnsi="Times New Roman" w:cs="Times New Roman"/>
          <w:sz w:val="24"/>
          <w:szCs w:val="24"/>
        </w:rPr>
      </w:pPr>
      <w:r w:rsidRPr="00665EEA">
        <w:rPr>
          <w:rFonts w:ascii="Times New Roman" w:hAnsi="Times New Roman" w:cs="Times New Roman"/>
          <w:sz w:val="24"/>
          <w:szCs w:val="24"/>
        </w:rPr>
        <w:t>При передаче информации и платёжных документов в рамках разработанного Приднестровским республиканским банком программного обеспечения используется Сеть передачи данных межведомственного</w:t>
      </w:r>
      <w:r w:rsidRPr="009E1A3C">
        <w:rPr>
          <w:rFonts w:ascii="Times New Roman" w:hAnsi="Times New Roman" w:cs="Times New Roman"/>
          <w:sz w:val="24"/>
          <w:szCs w:val="24"/>
        </w:rPr>
        <w:t xml:space="preserve"> электронного взаимодействия Государственной службы связи Приднестровской Молдавской Республики (далее – Сеть). Сеть в полной мере обеспечивает целостность и конфиденциальность передаваемой информации. В случае отсутствия у клиента точки доступа к Сети, электронное взаимодействие с банком осуществляется через указанный канал связи вышестоящей организации либо через организованную Приднестровским республиканским банком виртуальную локальную сеть, соответствующую всем необходимым требованиям безопасности и конфиденциальности передачи данных.</w:t>
      </w:r>
    </w:p>
    <w:p w14:paraId="5C8C671C" w14:textId="77777777" w:rsidR="00EF13D3" w:rsidRPr="00D2341F" w:rsidRDefault="00EF13D3" w:rsidP="00EF13D3">
      <w:pPr>
        <w:pStyle w:val="a5"/>
        <w:spacing w:before="0" w:after="0" w:line="240" w:lineRule="auto"/>
        <w:ind w:firstLine="426"/>
        <w:rPr>
          <w:rFonts w:ascii="Times New Roman" w:hAnsi="Times New Roman" w:cs="Times New Roman"/>
          <w:strike/>
          <w:sz w:val="24"/>
          <w:szCs w:val="24"/>
        </w:rPr>
      </w:pPr>
      <w:r w:rsidRPr="009E1A3C">
        <w:rPr>
          <w:rFonts w:ascii="Times New Roman" w:hAnsi="Times New Roman" w:cs="Times New Roman"/>
          <w:sz w:val="24"/>
          <w:szCs w:val="24"/>
        </w:rPr>
        <w:t xml:space="preserve">Внедрение и совершенствование </w:t>
      </w:r>
      <w:r w:rsidRPr="00665EEA">
        <w:rPr>
          <w:rFonts w:ascii="Times New Roman" w:hAnsi="Times New Roman" w:cs="Times New Roman"/>
          <w:sz w:val="24"/>
          <w:szCs w:val="24"/>
        </w:rPr>
        <w:t xml:space="preserve">программного комплекса «Банк-Клиент» </w:t>
      </w:r>
      <w:r w:rsidRPr="00D2341F">
        <w:rPr>
          <w:rFonts w:ascii="Times New Roman" w:hAnsi="Times New Roman" w:cs="Times New Roman"/>
          <w:sz w:val="24"/>
          <w:szCs w:val="24"/>
        </w:rPr>
        <w:t>способствует оптимизации и повышению качества, а также удобству обслуживания клиентов, не требует от них физического посещения банка, позволяет предоставить пользователям сервис, отвечающим самым современным требованиям.</w:t>
      </w:r>
    </w:p>
    <w:p w14:paraId="115C8C85" w14:textId="1434007F" w:rsidR="00EF13D3" w:rsidRPr="00665EEA" w:rsidRDefault="00EF13D3" w:rsidP="00EF13D3">
      <w:pPr>
        <w:pStyle w:val="a5"/>
        <w:spacing w:before="0" w:after="0" w:line="240" w:lineRule="auto"/>
        <w:ind w:firstLine="425"/>
        <w:rPr>
          <w:rFonts w:ascii="Times New Roman" w:hAnsi="Times New Roman" w:cs="Times New Roman"/>
          <w:sz w:val="24"/>
          <w:szCs w:val="24"/>
        </w:rPr>
      </w:pPr>
      <w:r w:rsidRPr="0099542D">
        <w:rPr>
          <w:rFonts w:ascii="Times New Roman" w:hAnsi="Times New Roman" w:cs="Times New Roman"/>
          <w:sz w:val="24"/>
          <w:szCs w:val="24"/>
        </w:rPr>
        <w:t xml:space="preserve">Общие количество исполненных Приднестровским республиканским банком в течение 2020 года платёжных поручений клиентов в рублях </w:t>
      </w:r>
      <w:r w:rsidR="00F1685E">
        <w:rPr>
          <w:rFonts w:ascii="Times New Roman" w:eastAsia="Times New Roman" w:hAnsi="Times New Roman" w:cs="Times New Roman"/>
          <w:sz w:val="24"/>
          <w:szCs w:val="24"/>
        </w:rPr>
        <w:t>ПМР</w:t>
      </w:r>
      <w:r w:rsidR="00585279" w:rsidRPr="0099542D">
        <w:rPr>
          <w:rFonts w:ascii="Times New Roman" w:hAnsi="Times New Roman" w:cs="Times New Roman"/>
          <w:sz w:val="24"/>
          <w:szCs w:val="24"/>
        </w:rPr>
        <w:t xml:space="preserve"> </w:t>
      </w:r>
      <w:r w:rsidRPr="0099542D">
        <w:rPr>
          <w:rFonts w:ascii="Times New Roman" w:hAnsi="Times New Roman" w:cs="Times New Roman"/>
          <w:sz w:val="24"/>
          <w:szCs w:val="24"/>
        </w:rPr>
        <w:t xml:space="preserve">и валюте составило 109,4 тыс. ед., из которых 99,3%, или 108,6 тыс. ед., – платежи в рублях </w:t>
      </w:r>
      <w:r w:rsidR="00F1685E">
        <w:rPr>
          <w:rFonts w:ascii="Times New Roman" w:eastAsia="Times New Roman" w:hAnsi="Times New Roman" w:cs="Times New Roman"/>
          <w:sz w:val="24"/>
          <w:szCs w:val="24"/>
        </w:rPr>
        <w:t>ПМР</w:t>
      </w:r>
      <w:r w:rsidRPr="0099542D">
        <w:rPr>
          <w:rFonts w:ascii="Times New Roman" w:hAnsi="Times New Roman" w:cs="Times New Roman"/>
          <w:sz w:val="24"/>
          <w:szCs w:val="24"/>
        </w:rPr>
        <w:t>, направленные клиентами по системе «Банк-Клиент».</w:t>
      </w:r>
    </w:p>
    <w:p w14:paraId="26877AA6" w14:textId="77777777" w:rsidR="00EF13D3" w:rsidRPr="000F50A3" w:rsidRDefault="00EF13D3" w:rsidP="00EF13D3">
      <w:pPr>
        <w:pStyle w:val="a5"/>
        <w:spacing w:before="0" w:after="0" w:line="240" w:lineRule="auto"/>
        <w:ind w:firstLine="426"/>
        <w:rPr>
          <w:rFonts w:ascii="Times New Roman" w:hAnsi="Times New Roman" w:cs="Times New Roman"/>
          <w:sz w:val="24"/>
          <w:szCs w:val="24"/>
        </w:rPr>
      </w:pPr>
      <w:r w:rsidRPr="00665EEA">
        <w:rPr>
          <w:rFonts w:ascii="Times New Roman" w:hAnsi="Times New Roman" w:cs="Times New Roman"/>
          <w:sz w:val="24"/>
          <w:szCs w:val="24"/>
        </w:rPr>
        <w:t>По состоянию на 1 января 2021 года расчётное обслуживание всех клиентов осуществляется с использованием программного комплекса «Банк-Клиент». Таким образом, Приднестровским республиканским банком завершена начатая в 2018 году работа по переводу клиентов на электронный формат взаимодействия с банком.</w:t>
      </w:r>
    </w:p>
    <w:p w14:paraId="4519C71F" w14:textId="77777777" w:rsidR="00AA735A" w:rsidRDefault="00AA735A" w:rsidP="00EF13D3">
      <w:pPr>
        <w:spacing w:before="0" w:after="0" w:line="240" w:lineRule="auto"/>
        <w:ind w:firstLine="425"/>
        <w:jc w:val="both"/>
        <w:rPr>
          <w:rFonts w:ascii="Times New Roman" w:hAnsi="Times New Roman" w:cs="Times New Roman"/>
          <w:sz w:val="24"/>
          <w:szCs w:val="24"/>
        </w:rPr>
      </w:pPr>
    </w:p>
    <w:p w14:paraId="57FCD0DA" w14:textId="43147DBC" w:rsidR="00EF13D3" w:rsidRPr="00F63414" w:rsidRDefault="00EF13D3" w:rsidP="00EC7E6D">
      <w:pPr>
        <w:pStyle w:val="1"/>
        <w:widowControl w:val="0"/>
        <w:spacing w:before="0" w:line="240" w:lineRule="auto"/>
        <w:jc w:val="center"/>
        <w:rPr>
          <w:b/>
          <w:bCs/>
          <w:noProof/>
          <w:sz w:val="24"/>
          <w:szCs w:val="24"/>
        </w:rPr>
      </w:pPr>
      <w:r>
        <w:rPr>
          <w:b/>
          <w:bCs/>
          <w:noProof/>
          <w:sz w:val="24"/>
          <w:szCs w:val="24"/>
        </w:rPr>
        <w:t xml:space="preserve">2.8. </w:t>
      </w:r>
      <w:r w:rsidRPr="00F63414">
        <w:rPr>
          <w:b/>
          <w:bCs/>
          <w:noProof/>
          <w:sz w:val="24"/>
          <w:szCs w:val="24"/>
        </w:rPr>
        <w:t>ОРГАНИЗАЦИЯ НАЛИЧНОГО ДЕНЕЖНОГО ОБРАЩЕНИЯ</w:t>
      </w:r>
    </w:p>
    <w:p w14:paraId="18E5200D"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290B58EF" w14:textId="77777777" w:rsidR="00EF13D3" w:rsidRDefault="00EF13D3" w:rsidP="00EF13D3">
      <w:pPr>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В рамках исполнения функции организации и регулирования наличного денежного обращения на территории Приднестровской Молдавской Республики центральный банк уделял особое внимание </w:t>
      </w:r>
      <w:r w:rsidRPr="00170B9B">
        <w:rPr>
          <w:rFonts w:ascii="Times New Roman" w:hAnsi="Times New Roman" w:cs="Times New Roman"/>
          <w:sz w:val="24"/>
          <w:szCs w:val="24"/>
        </w:rPr>
        <w:t>нормативно</w:t>
      </w:r>
      <w:r>
        <w:rPr>
          <w:rFonts w:ascii="Times New Roman" w:hAnsi="Times New Roman" w:cs="Times New Roman"/>
          <w:sz w:val="24"/>
          <w:szCs w:val="24"/>
        </w:rPr>
        <w:t>му</w:t>
      </w:r>
      <w:r w:rsidRPr="00170B9B">
        <w:rPr>
          <w:rFonts w:ascii="Times New Roman" w:hAnsi="Times New Roman" w:cs="Times New Roman"/>
          <w:sz w:val="24"/>
          <w:szCs w:val="24"/>
        </w:rPr>
        <w:t xml:space="preserve"> регулировани</w:t>
      </w:r>
      <w:r>
        <w:rPr>
          <w:rFonts w:ascii="Times New Roman" w:hAnsi="Times New Roman" w:cs="Times New Roman"/>
          <w:sz w:val="24"/>
          <w:szCs w:val="24"/>
        </w:rPr>
        <w:t>ю</w:t>
      </w:r>
      <w:r w:rsidRPr="00170B9B">
        <w:rPr>
          <w:rFonts w:ascii="Times New Roman" w:hAnsi="Times New Roman" w:cs="Times New Roman"/>
          <w:sz w:val="24"/>
          <w:szCs w:val="24"/>
        </w:rPr>
        <w:t xml:space="preserve"> данной сферы</w:t>
      </w:r>
      <w:r>
        <w:rPr>
          <w:rFonts w:ascii="Times New Roman" w:hAnsi="Times New Roman" w:cs="Times New Roman"/>
          <w:sz w:val="24"/>
          <w:szCs w:val="24"/>
        </w:rPr>
        <w:t>, а также</w:t>
      </w:r>
      <w:r w:rsidRPr="00170B9B">
        <w:rPr>
          <w:rFonts w:ascii="Times New Roman" w:hAnsi="Times New Roman" w:cs="Times New Roman"/>
          <w:sz w:val="24"/>
          <w:szCs w:val="24"/>
        </w:rPr>
        <w:t xml:space="preserve"> стабильно</w:t>
      </w:r>
      <w:r>
        <w:rPr>
          <w:rFonts w:ascii="Times New Roman" w:hAnsi="Times New Roman" w:cs="Times New Roman"/>
          <w:sz w:val="24"/>
          <w:szCs w:val="24"/>
        </w:rPr>
        <w:t>му</w:t>
      </w:r>
      <w:r w:rsidRPr="00170B9B">
        <w:rPr>
          <w:rFonts w:ascii="Times New Roman" w:hAnsi="Times New Roman" w:cs="Times New Roman"/>
          <w:sz w:val="24"/>
          <w:szCs w:val="24"/>
        </w:rPr>
        <w:t xml:space="preserve"> обеспечени</w:t>
      </w:r>
      <w:r>
        <w:rPr>
          <w:rFonts w:ascii="Times New Roman" w:hAnsi="Times New Roman" w:cs="Times New Roman"/>
          <w:sz w:val="24"/>
          <w:szCs w:val="24"/>
        </w:rPr>
        <w:t>ю</w:t>
      </w:r>
      <w:r w:rsidRPr="00170B9B">
        <w:rPr>
          <w:rFonts w:ascii="Times New Roman" w:hAnsi="Times New Roman" w:cs="Times New Roman"/>
          <w:sz w:val="24"/>
          <w:szCs w:val="24"/>
        </w:rPr>
        <w:t xml:space="preserve"> плат</w:t>
      </w:r>
      <w:r>
        <w:rPr>
          <w:rFonts w:ascii="Times New Roman" w:hAnsi="Times New Roman" w:cs="Times New Roman"/>
          <w:sz w:val="24"/>
          <w:szCs w:val="24"/>
        </w:rPr>
        <w:t>ё</w:t>
      </w:r>
      <w:r w:rsidRPr="00170B9B">
        <w:rPr>
          <w:rFonts w:ascii="Times New Roman" w:hAnsi="Times New Roman" w:cs="Times New Roman"/>
          <w:sz w:val="24"/>
          <w:szCs w:val="24"/>
        </w:rPr>
        <w:t>жного оборота банкнотами и монетой различных номиналов</w:t>
      </w:r>
      <w:r>
        <w:rPr>
          <w:rFonts w:ascii="Times New Roman" w:hAnsi="Times New Roman" w:cs="Times New Roman"/>
          <w:sz w:val="24"/>
          <w:szCs w:val="24"/>
        </w:rPr>
        <w:t xml:space="preserve">, поддержанию качества обращающейся наличности. С этой целью </w:t>
      </w:r>
      <w:r w:rsidRPr="00170B9B">
        <w:rPr>
          <w:rFonts w:ascii="Times New Roman" w:hAnsi="Times New Roman" w:cs="Times New Roman"/>
          <w:sz w:val="24"/>
          <w:szCs w:val="24"/>
        </w:rPr>
        <w:t xml:space="preserve">осуществлялись мониторинг состояния наличного денежного оборота, анализ купюрного состава наличной денежной массы, находящейся в обращении и в резервных фондах, его соответствия потребностям платёжного оборота. </w:t>
      </w:r>
      <w:r>
        <w:rPr>
          <w:rFonts w:ascii="Times New Roman" w:hAnsi="Times New Roman" w:cs="Times New Roman"/>
          <w:sz w:val="24"/>
          <w:szCs w:val="24"/>
        </w:rPr>
        <w:t xml:space="preserve">В рамках борьбы с распространением коронавирусной инфекции был разработан ряд </w:t>
      </w:r>
      <w:r>
        <w:rPr>
          <w:rFonts w:ascii="Times New Roman" w:hAnsi="Times New Roman" w:cs="Times New Roman"/>
          <w:sz w:val="24"/>
          <w:szCs w:val="24"/>
        </w:rPr>
        <w:lastRenderedPageBreak/>
        <w:t xml:space="preserve">рекомендаций кредитным и торговым организациям, а также населению по использованию наличности. В свою очередь были предприняты внутренние меры, обеспечивающие нахождение на карантине денежной наличности, поступающей в </w:t>
      </w:r>
      <w:r w:rsidRPr="00D2341F">
        <w:rPr>
          <w:rFonts w:ascii="Times New Roman" w:hAnsi="Times New Roman" w:cs="Times New Roman"/>
          <w:sz w:val="24"/>
          <w:szCs w:val="24"/>
        </w:rPr>
        <w:t>кассы центрального банка</w:t>
      </w:r>
      <w:r>
        <w:rPr>
          <w:rFonts w:ascii="Times New Roman" w:hAnsi="Times New Roman" w:cs="Times New Roman"/>
          <w:sz w:val="24"/>
          <w:szCs w:val="24"/>
        </w:rPr>
        <w:t>,</w:t>
      </w:r>
      <w:r w:rsidRPr="00D2341F">
        <w:rPr>
          <w:rFonts w:ascii="Times New Roman" w:hAnsi="Times New Roman" w:cs="Times New Roman"/>
          <w:sz w:val="24"/>
          <w:szCs w:val="24"/>
        </w:rPr>
        <w:t xml:space="preserve"> не менее 14 дней.</w:t>
      </w:r>
    </w:p>
    <w:p w14:paraId="335F83DE" w14:textId="30EBB756" w:rsidR="00EF13D3" w:rsidRPr="00665EEA" w:rsidRDefault="00EF13D3" w:rsidP="00EF13D3">
      <w:pPr>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По итогам 2020 года</w:t>
      </w:r>
      <w:r w:rsidRPr="00170B9B">
        <w:rPr>
          <w:rFonts w:ascii="Times New Roman" w:hAnsi="Times New Roman" w:cs="Times New Roman"/>
          <w:sz w:val="24"/>
          <w:szCs w:val="24"/>
        </w:rPr>
        <w:t xml:space="preserve"> наличный денежный оборот</w:t>
      </w:r>
      <w:r>
        <w:rPr>
          <w:rFonts w:ascii="Times New Roman" w:hAnsi="Times New Roman" w:cs="Times New Roman"/>
          <w:sz w:val="24"/>
          <w:szCs w:val="24"/>
        </w:rPr>
        <w:t xml:space="preserve"> с учётом внутрибанковских операций в </w:t>
      </w:r>
      <w:r w:rsidRPr="00170B9B">
        <w:rPr>
          <w:rFonts w:ascii="Times New Roman" w:hAnsi="Times New Roman" w:cs="Times New Roman"/>
          <w:sz w:val="24"/>
          <w:szCs w:val="24"/>
        </w:rPr>
        <w:t>Приднестровской Молдавской Республик</w:t>
      </w:r>
      <w:r>
        <w:rPr>
          <w:rFonts w:ascii="Times New Roman" w:hAnsi="Times New Roman" w:cs="Times New Roman"/>
          <w:sz w:val="24"/>
          <w:szCs w:val="24"/>
        </w:rPr>
        <w:t>е</w:t>
      </w:r>
      <w:r w:rsidRPr="00170B9B">
        <w:rPr>
          <w:rFonts w:ascii="Times New Roman" w:hAnsi="Times New Roman" w:cs="Times New Roman"/>
          <w:sz w:val="24"/>
          <w:szCs w:val="24"/>
        </w:rPr>
        <w:t xml:space="preserve"> </w:t>
      </w:r>
      <w:r>
        <w:rPr>
          <w:rFonts w:ascii="Times New Roman" w:hAnsi="Times New Roman" w:cs="Times New Roman"/>
          <w:sz w:val="24"/>
          <w:szCs w:val="24"/>
        </w:rPr>
        <w:t xml:space="preserve">составил 99 907,4 млн руб., что </w:t>
      </w:r>
      <w:r w:rsidRPr="00170B9B">
        <w:rPr>
          <w:rFonts w:ascii="Times New Roman" w:hAnsi="Times New Roman" w:cs="Times New Roman"/>
          <w:sz w:val="24"/>
          <w:szCs w:val="24"/>
        </w:rPr>
        <w:t xml:space="preserve">на </w:t>
      </w:r>
      <w:r>
        <w:rPr>
          <w:rFonts w:ascii="Times New Roman" w:hAnsi="Times New Roman" w:cs="Times New Roman"/>
          <w:sz w:val="24"/>
          <w:szCs w:val="24"/>
        </w:rPr>
        <w:t>13</w:t>
      </w:r>
      <w:r w:rsidRPr="00170B9B">
        <w:rPr>
          <w:rFonts w:ascii="Times New Roman" w:hAnsi="Times New Roman" w:cs="Times New Roman"/>
          <w:sz w:val="24"/>
          <w:szCs w:val="24"/>
        </w:rPr>
        <w:t>,</w:t>
      </w:r>
      <w:r>
        <w:rPr>
          <w:rFonts w:ascii="Times New Roman" w:hAnsi="Times New Roman" w:cs="Times New Roman"/>
          <w:sz w:val="24"/>
          <w:szCs w:val="24"/>
        </w:rPr>
        <w:t>5</w:t>
      </w:r>
      <w:r w:rsidRPr="00170B9B">
        <w:rPr>
          <w:rFonts w:ascii="Times New Roman" w:hAnsi="Times New Roman" w:cs="Times New Roman"/>
          <w:sz w:val="24"/>
          <w:szCs w:val="24"/>
        </w:rPr>
        <w:t>%</w:t>
      </w:r>
      <w:r>
        <w:rPr>
          <w:rFonts w:ascii="Times New Roman" w:hAnsi="Times New Roman" w:cs="Times New Roman"/>
          <w:sz w:val="24"/>
          <w:szCs w:val="24"/>
        </w:rPr>
        <w:t xml:space="preserve"> ниже показателя 2019 года</w:t>
      </w:r>
      <w:r w:rsidRPr="00170B9B">
        <w:rPr>
          <w:rFonts w:ascii="Times New Roman" w:hAnsi="Times New Roman" w:cs="Times New Roman"/>
          <w:sz w:val="24"/>
          <w:szCs w:val="24"/>
        </w:rPr>
        <w:t xml:space="preserve">. Совокупная величина поступлений денежной наличности в банковскую систему </w:t>
      </w:r>
      <w:r>
        <w:rPr>
          <w:rFonts w:ascii="Times New Roman" w:hAnsi="Times New Roman" w:cs="Times New Roman"/>
          <w:sz w:val="24"/>
          <w:szCs w:val="24"/>
        </w:rPr>
        <w:t xml:space="preserve">составила </w:t>
      </w:r>
      <w:r w:rsidRPr="00170B9B">
        <w:rPr>
          <w:rFonts w:ascii="Times New Roman" w:hAnsi="Times New Roman" w:cs="Times New Roman"/>
          <w:sz w:val="24"/>
          <w:szCs w:val="24"/>
        </w:rPr>
        <w:t>1</w:t>
      </w:r>
      <w:r>
        <w:rPr>
          <w:rFonts w:ascii="Times New Roman" w:hAnsi="Times New Roman" w:cs="Times New Roman"/>
          <w:sz w:val="24"/>
          <w:szCs w:val="24"/>
        </w:rPr>
        <w:t>3</w:t>
      </w:r>
      <w:r w:rsidRPr="00170B9B">
        <w:rPr>
          <w:rFonts w:ascii="Times New Roman" w:hAnsi="Times New Roman" w:cs="Times New Roman"/>
          <w:sz w:val="24"/>
          <w:szCs w:val="24"/>
        </w:rPr>
        <w:t> </w:t>
      </w:r>
      <w:r>
        <w:rPr>
          <w:rFonts w:ascii="Times New Roman" w:hAnsi="Times New Roman" w:cs="Times New Roman"/>
          <w:sz w:val="24"/>
          <w:szCs w:val="24"/>
        </w:rPr>
        <w:t>595</w:t>
      </w:r>
      <w:r w:rsidRPr="00170B9B">
        <w:rPr>
          <w:rFonts w:ascii="Times New Roman" w:hAnsi="Times New Roman" w:cs="Times New Roman"/>
          <w:sz w:val="24"/>
          <w:szCs w:val="24"/>
        </w:rPr>
        <w:t>,</w:t>
      </w:r>
      <w:r>
        <w:rPr>
          <w:rFonts w:ascii="Times New Roman" w:hAnsi="Times New Roman" w:cs="Times New Roman"/>
          <w:sz w:val="24"/>
          <w:szCs w:val="24"/>
        </w:rPr>
        <w:t>2</w:t>
      </w:r>
      <w:r w:rsidRPr="00170B9B">
        <w:rPr>
          <w:rFonts w:ascii="Times New Roman" w:hAnsi="Times New Roman" w:cs="Times New Roman"/>
          <w:sz w:val="24"/>
          <w:szCs w:val="24"/>
        </w:rPr>
        <w:t xml:space="preserve"> млн руб.</w:t>
      </w:r>
      <w:r>
        <w:rPr>
          <w:rFonts w:ascii="Times New Roman" w:hAnsi="Times New Roman" w:cs="Times New Roman"/>
          <w:sz w:val="24"/>
          <w:szCs w:val="24"/>
        </w:rPr>
        <w:t xml:space="preserve"> и </w:t>
      </w:r>
      <w:r w:rsidRPr="00170B9B">
        <w:rPr>
          <w:rFonts w:ascii="Times New Roman" w:hAnsi="Times New Roman" w:cs="Times New Roman"/>
          <w:sz w:val="24"/>
          <w:szCs w:val="24"/>
        </w:rPr>
        <w:t xml:space="preserve">по отношению к </w:t>
      </w:r>
      <w:r>
        <w:rPr>
          <w:rFonts w:ascii="Times New Roman" w:hAnsi="Times New Roman" w:cs="Times New Roman"/>
          <w:sz w:val="24"/>
          <w:szCs w:val="24"/>
        </w:rPr>
        <w:t>уровню 2019 года</w:t>
      </w:r>
      <w:r w:rsidRPr="00170B9B">
        <w:rPr>
          <w:rFonts w:ascii="Times New Roman" w:hAnsi="Times New Roman" w:cs="Times New Roman"/>
          <w:sz w:val="24"/>
          <w:szCs w:val="24"/>
        </w:rPr>
        <w:t xml:space="preserve"> </w:t>
      </w:r>
      <w:r>
        <w:rPr>
          <w:rFonts w:ascii="Times New Roman" w:hAnsi="Times New Roman" w:cs="Times New Roman"/>
          <w:sz w:val="24"/>
          <w:szCs w:val="24"/>
        </w:rPr>
        <w:t>снизилась</w:t>
      </w:r>
      <w:r w:rsidRPr="00170B9B">
        <w:rPr>
          <w:rFonts w:ascii="Times New Roman" w:hAnsi="Times New Roman" w:cs="Times New Roman"/>
          <w:sz w:val="24"/>
          <w:szCs w:val="24"/>
        </w:rPr>
        <w:t xml:space="preserve"> на </w:t>
      </w:r>
      <w:r>
        <w:rPr>
          <w:rFonts w:ascii="Times New Roman" w:hAnsi="Times New Roman" w:cs="Times New Roman"/>
          <w:sz w:val="24"/>
          <w:szCs w:val="24"/>
        </w:rPr>
        <w:t>12</w:t>
      </w:r>
      <w:r w:rsidRPr="00170B9B">
        <w:rPr>
          <w:rFonts w:ascii="Times New Roman" w:hAnsi="Times New Roman" w:cs="Times New Roman"/>
          <w:sz w:val="24"/>
          <w:szCs w:val="24"/>
        </w:rPr>
        <w:t>,</w:t>
      </w:r>
      <w:r>
        <w:rPr>
          <w:rFonts w:ascii="Times New Roman" w:hAnsi="Times New Roman" w:cs="Times New Roman"/>
          <w:sz w:val="24"/>
          <w:szCs w:val="24"/>
        </w:rPr>
        <w:t>2</w:t>
      </w:r>
      <w:r w:rsidRPr="00170B9B">
        <w:rPr>
          <w:rFonts w:ascii="Times New Roman" w:hAnsi="Times New Roman" w:cs="Times New Roman"/>
          <w:sz w:val="24"/>
          <w:szCs w:val="24"/>
        </w:rPr>
        <w:t>%</w:t>
      </w:r>
      <w:r>
        <w:rPr>
          <w:rFonts w:ascii="Times New Roman" w:hAnsi="Times New Roman" w:cs="Times New Roman"/>
          <w:sz w:val="24"/>
          <w:szCs w:val="24"/>
        </w:rPr>
        <w:t xml:space="preserve">. Основными факторами такой динамики стали развитие платёжной инфраструктуры и повышение доступности безналичных платежей, </w:t>
      </w:r>
      <w:r w:rsidR="00F1685E">
        <w:rPr>
          <w:rFonts w:ascii="Times New Roman" w:hAnsi="Times New Roman" w:cs="Times New Roman"/>
          <w:sz w:val="24"/>
          <w:szCs w:val="24"/>
        </w:rPr>
        <w:t>а также</w:t>
      </w:r>
      <w:r>
        <w:rPr>
          <w:rFonts w:ascii="Times New Roman" w:hAnsi="Times New Roman" w:cs="Times New Roman"/>
          <w:sz w:val="24"/>
          <w:szCs w:val="24"/>
        </w:rPr>
        <w:t xml:space="preserve"> </w:t>
      </w:r>
      <w:r w:rsidRPr="00665EEA">
        <w:rPr>
          <w:rFonts w:ascii="Times New Roman" w:hAnsi="Times New Roman" w:cs="Times New Roman"/>
          <w:sz w:val="24"/>
          <w:szCs w:val="24"/>
        </w:rPr>
        <w:t>введённы</w:t>
      </w:r>
      <w:r w:rsidR="00F1685E">
        <w:rPr>
          <w:rFonts w:ascii="Times New Roman" w:hAnsi="Times New Roman" w:cs="Times New Roman"/>
          <w:sz w:val="24"/>
          <w:szCs w:val="24"/>
        </w:rPr>
        <w:t>е</w:t>
      </w:r>
      <w:r w:rsidRPr="00665EEA">
        <w:rPr>
          <w:rFonts w:ascii="Times New Roman" w:hAnsi="Times New Roman" w:cs="Times New Roman"/>
          <w:sz w:val="24"/>
          <w:szCs w:val="24"/>
        </w:rPr>
        <w:t xml:space="preserve"> в связи с </w:t>
      </w:r>
      <w:r>
        <w:rPr>
          <w:rFonts w:ascii="Times New Roman" w:hAnsi="Times New Roman" w:cs="Times New Roman"/>
          <w:sz w:val="24"/>
          <w:szCs w:val="24"/>
        </w:rPr>
        <w:t>пандемией</w:t>
      </w:r>
      <w:r w:rsidRPr="00665EEA">
        <w:rPr>
          <w:rFonts w:ascii="Times New Roman" w:hAnsi="Times New Roman" w:cs="Times New Roman"/>
          <w:sz w:val="24"/>
          <w:szCs w:val="24"/>
        </w:rPr>
        <w:t xml:space="preserve"> ограничительны</w:t>
      </w:r>
      <w:r w:rsidR="00F1685E">
        <w:rPr>
          <w:rFonts w:ascii="Times New Roman" w:hAnsi="Times New Roman" w:cs="Times New Roman"/>
          <w:sz w:val="24"/>
          <w:szCs w:val="24"/>
        </w:rPr>
        <w:t>е</w:t>
      </w:r>
      <w:r w:rsidRPr="00665EEA">
        <w:rPr>
          <w:rFonts w:ascii="Times New Roman" w:hAnsi="Times New Roman" w:cs="Times New Roman"/>
          <w:sz w:val="24"/>
          <w:szCs w:val="24"/>
        </w:rPr>
        <w:t xml:space="preserve"> мер</w:t>
      </w:r>
      <w:r w:rsidR="00F1685E">
        <w:rPr>
          <w:rFonts w:ascii="Times New Roman" w:hAnsi="Times New Roman" w:cs="Times New Roman"/>
          <w:sz w:val="24"/>
          <w:szCs w:val="24"/>
        </w:rPr>
        <w:t>ы</w:t>
      </w:r>
      <w:r w:rsidRPr="00665EEA">
        <w:rPr>
          <w:rFonts w:ascii="Times New Roman" w:hAnsi="Times New Roman" w:cs="Times New Roman"/>
          <w:sz w:val="24"/>
          <w:szCs w:val="24"/>
        </w:rPr>
        <w:t>. Так, отмечено снижение объёма торговой выручки, инкассированной в наличной форме в кассы кредитных организаций</w:t>
      </w:r>
      <w:r>
        <w:rPr>
          <w:rFonts w:ascii="Times New Roman" w:hAnsi="Times New Roman" w:cs="Times New Roman"/>
          <w:sz w:val="24"/>
          <w:szCs w:val="24"/>
        </w:rPr>
        <w:t>,</w:t>
      </w:r>
      <w:r w:rsidRPr="00665EEA">
        <w:rPr>
          <w:rFonts w:ascii="Times New Roman" w:hAnsi="Times New Roman" w:cs="Times New Roman"/>
          <w:sz w:val="24"/>
          <w:szCs w:val="24"/>
        </w:rPr>
        <w:t xml:space="preserve"> на 5,8%, до 6 184,7 млн руб., что составило 45,5% всех поступлений</w:t>
      </w:r>
      <w:r>
        <w:rPr>
          <w:rFonts w:ascii="Times New Roman" w:hAnsi="Times New Roman" w:cs="Times New Roman"/>
          <w:sz w:val="24"/>
          <w:szCs w:val="24"/>
        </w:rPr>
        <w:t>, выручки организаций пассажирского транспорта (на 54,3%) и сферы обслуживания населения (на 20,6%)</w:t>
      </w:r>
      <w:r w:rsidRPr="00665EEA">
        <w:rPr>
          <w:rFonts w:ascii="Times New Roman" w:hAnsi="Times New Roman" w:cs="Times New Roman"/>
          <w:sz w:val="24"/>
          <w:szCs w:val="24"/>
        </w:rPr>
        <w:t xml:space="preserve">. </w:t>
      </w:r>
    </w:p>
    <w:p w14:paraId="7252BA94" w14:textId="68991957" w:rsidR="00EF13D3" w:rsidRDefault="00EF13D3" w:rsidP="00EF13D3">
      <w:pPr>
        <w:widowControl w:val="0"/>
        <w:spacing w:before="0" w:after="0" w:line="240" w:lineRule="auto"/>
        <w:ind w:firstLine="425"/>
        <w:jc w:val="both"/>
        <w:rPr>
          <w:rFonts w:ascii="Times New Roman" w:hAnsi="Times New Roman" w:cs="Times New Roman"/>
          <w:sz w:val="24"/>
          <w:szCs w:val="24"/>
        </w:rPr>
      </w:pPr>
      <w:r w:rsidRPr="00665EEA">
        <w:rPr>
          <w:rFonts w:ascii="Times New Roman" w:hAnsi="Times New Roman" w:cs="Times New Roman"/>
          <w:sz w:val="24"/>
          <w:szCs w:val="24"/>
        </w:rPr>
        <w:t xml:space="preserve">Совокупная величина наличных денег, выданная банками за отчётный год, составила </w:t>
      </w:r>
      <w:r w:rsidRPr="00B45639">
        <w:rPr>
          <w:rFonts w:ascii="Times New Roman" w:hAnsi="Times New Roman" w:cs="Times New Roman"/>
          <w:sz w:val="24"/>
          <w:szCs w:val="24"/>
        </w:rPr>
        <w:t>13 659,0 млн руб. (-12,3%). Продолжающийся перевод социальных трансфертов в безналичную плоскость обуславливает сокращение выдач наличных денег на заработную</w:t>
      </w:r>
      <w:r w:rsidRPr="00665EEA">
        <w:rPr>
          <w:rFonts w:ascii="Times New Roman" w:hAnsi="Times New Roman" w:cs="Times New Roman"/>
          <w:sz w:val="24"/>
          <w:szCs w:val="24"/>
        </w:rPr>
        <w:t xml:space="preserve"> плат</w:t>
      </w:r>
      <w:r>
        <w:rPr>
          <w:rFonts w:ascii="Times New Roman" w:hAnsi="Times New Roman" w:cs="Times New Roman"/>
          <w:sz w:val="24"/>
          <w:szCs w:val="24"/>
        </w:rPr>
        <w:t>у</w:t>
      </w:r>
      <w:r w:rsidRPr="00665EEA">
        <w:rPr>
          <w:rFonts w:ascii="Times New Roman" w:hAnsi="Times New Roman" w:cs="Times New Roman"/>
          <w:sz w:val="24"/>
          <w:szCs w:val="24"/>
        </w:rPr>
        <w:t>, пенси</w:t>
      </w:r>
      <w:r>
        <w:rPr>
          <w:rFonts w:ascii="Times New Roman" w:hAnsi="Times New Roman" w:cs="Times New Roman"/>
          <w:sz w:val="24"/>
          <w:szCs w:val="24"/>
        </w:rPr>
        <w:t>и</w:t>
      </w:r>
      <w:r w:rsidRPr="00665EEA">
        <w:rPr>
          <w:rFonts w:ascii="Times New Roman" w:hAnsi="Times New Roman" w:cs="Times New Roman"/>
          <w:sz w:val="24"/>
          <w:szCs w:val="24"/>
        </w:rPr>
        <w:t>, пособи</w:t>
      </w:r>
      <w:r>
        <w:rPr>
          <w:rFonts w:ascii="Times New Roman" w:hAnsi="Times New Roman" w:cs="Times New Roman"/>
          <w:sz w:val="24"/>
          <w:szCs w:val="24"/>
        </w:rPr>
        <w:t>я</w:t>
      </w:r>
      <w:r w:rsidRPr="00665EEA">
        <w:rPr>
          <w:rFonts w:ascii="Times New Roman" w:hAnsi="Times New Roman" w:cs="Times New Roman"/>
          <w:sz w:val="24"/>
          <w:szCs w:val="24"/>
        </w:rPr>
        <w:t xml:space="preserve"> и други</w:t>
      </w:r>
      <w:r>
        <w:rPr>
          <w:rFonts w:ascii="Times New Roman" w:hAnsi="Times New Roman" w:cs="Times New Roman"/>
          <w:sz w:val="24"/>
          <w:szCs w:val="24"/>
        </w:rPr>
        <w:t>е</w:t>
      </w:r>
      <w:r w:rsidRPr="00665EEA">
        <w:rPr>
          <w:rFonts w:ascii="Times New Roman" w:hAnsi="Times New Roman" w:cs="Times New Roman"/>
          <w:sz w:val="24"/>
          <w:szCs w:val="24"/>
        </w:rPr>
        <w:t xml:space="preserve"> социальны</w:t>
      </w:r>
      <w:r w:rsidR="00F1685E">
        <w:rPr>
          <w:rFonts w:ascii="Times New Roman" w:hAnsi="Times New Roman" w:cs="Times New Roman"/>
          <w:sz w:val="24"/>
          <w:szCs w:val="24"/>
        </w:rPr>
        <w:t>е</w:t>
      </w:r>
      <w:r w:rsidRPr="00665EEA">
        <w:rPr>
          <w:rFonts w:ascii="Times New Roman" w:hAnsi="Times New Roman" w:cs="Times New Roman"/>
          <w:sz w:val="24"/>
          <w:szCs w:val="24"/>
        </w:rPr>
        <w:t xml:space="preserve"> выплат</w:t>
      </w:r>
      <w:r>
        <w:rPr>
          <w:rFonts w:ascii="Times New Roman" w:hAnsi="Times New Roman" w:cs="Times New Roman"/>
          <w:sz w:val="24"/>
          <w:szCs w:val="24"/>
        </w:rPr>
        <w:t>ы. В отчётном периоде они сократились ещ</w:t>
      </w:r>
      <w:r w:rsidR="00FD76F5">
        <w:rPr>
          <w:rFonts w:ascii="Times New Roman" w:hAnsi="Times New Roman" w:cs="Times New Roman"/>
          <w:sz w:val="24"/>
          <w:szCs w:val="24"/>
        </w:rPr>
        <w:t>ё</w:t>
      </w:r>
      <w:r w:rsidRPr="00665EEA">
        <w:rPr>
          <w:rFonts w:ascii="Times New Roman" w:hAnsi="Times New Roman" w:cs="Times New Roman"/>
          <w:sz w:val="24"/>
          <w:szCs w:val="24"/>
        </w:rPr>
        <w:t xml:space="preserve"> на 47,0%, до</w:t>
      </w:r>
      <w:r>
        <w:rPr>
          <w:rFonts w:ascii="Times New Roman" w:hAnsi="Times New Roman" w:cs="Times New Roman"/>
          <w:sz w:val="24"/>
          <w:szCs w:val="24"/>
        </w:rPr>
        <w:t xml:space="preserve"> </w:t>
      </w:r>
      <w:r w:rsidRPr="00665EEA">
        <w:rPr>
          <w:rFonts w:ascii="Times New Roman" w:hAnsi="Times New Roman" w:cs="Times New Roman"/>
          <w:sz w:val="24"/>
          <w:szCs w:val="24"/>
        </w:rPr>
        <w:t xml:space="preserve">1 184,1 млн руб., </w:t>
      </w:r>
      <w:r>
        <w:rPr>
          <w:rFonts w:ascii="Times New Roman" w:hAnsi="Times New Roman" w:cs="Times New Roman"/>
          <w:sz w:val="24"/>
          <w:szCs w:val="24"/>
        </w:rPr>
        <w:t>составив</w:t>
      </w:r>
      <w:r w:rsidRPr="00064B5E">
        <w:rPr>
          <w:rFonts w:ascii="Times New Roman" w:hAnsi="Times New Roman" w:cs="Times New Roman"/>
          <w:sz w:val="24"/>
          <w:szCs w:val="24"/>
        </w:rPr>
        <w:t xml:space="preserve"> 8,7%</w:t>
      </w:r>
      <w:r>
        <w:rPr>
          <w:rFonts w:ascii="Times New Roman" w:hAnsi="Times New Roman" w:cs="Times New Roman"/>
          <w:sz w:val="24"/>
          <w:szCs w:val="24"/>
        </w:rPr>
        <w:t xml:space="preserve"> в общей структуре выдач. При этом</w:t>
      </w:r>
      <w:r w:rsidRPr="00064B5E">
        <w:rPr>
          <w:rFonts w:ascii="Times New Roman" w:hAnsi="Times New Roman" w:cs="Times New Roman"/>
          <w:sz w:val="24"/>
          <w:szCs w:val="24"/>
        </w:rPr>
        <w:t xml:space="preserve"> отмечено увеличение выдач со счетов физических лиц на 7,0%, до</w:t>
      </w:r>
      <w:r w:rsidR="004216F3">
        <w:rPr>
          <w:rFonts w:ascii="Times New Roman" w:hAnsi="Times New Roman" w:cs="Times New Roman"/>
          <w:sz w:val="24"/>
          <w:szCs w:val="24"/>
        </w:rPr>
        <w:t xml:space="preserve"> </w:t>
      </w:r>
      <w:r w:rsidRPr="00064B5E">
        <w:rPr>
          <w:rFonts w:ascii="Times New Roman" w:hAnsi="Times New Roman" w:cs="Times New Roman"/>
          <w:sz w:val="24"/>
          <w:szCs w:val="24"/>
        </w:rPr>
        <w:t xml:space="preserve">7 620,3 млн руб., и по денежным переводам, выдаваемым в рублях </w:t>
      </w:r>
      <w:r w:rsidR="00F1685E">
        <w:rPr>
          <w:rFonts w:ascii="Times New Roman" w:eastAsia="Times New Roman" w:hAnsi="Times New Roman" w:cs="Times New Roman"/>
          <w:sz w:val="24"/>
          <w:szCs w:val="24"/>
        </w:rPr>
        <w:t>ПМР</w:t>
      </w:r>
      <w:r>
        <w:rPr>
          <w:rFonts w:ascii="Times New Roman" w:hAnsi="Times New Roman" w:cs="Times New Roman"/>
          <w:sz w:val="24"/>
          <w:szCs w:val="24"/>
        </w:rPr>
        <w:t>,</w:t>
      </w:r>
      <w:r w:rsidRPr="00064B5E">
        <w:rPr>
          <w:rFonts w:ascii="Times New Roman" w:hAnsi="Times New Roman" w:cs="Times New Roman"/>
          <w:sz w:val="24"/>
          <w:szCs w:val="24"/>
        </w:rPr>
        <w:t xml:space="preserve"> на 41,1%, до 450,9 млн руб. </w:t>
      </w:r>
    </w:p>
    <w:p w14:paraId="6ACCC549" w14:textId="77777777" w:rsidR="00EF13D3" w:rsidRPr="00064B5E" w:rsidRDefault="00EF13D3" w:rsidP="00EF13D3">
      <w:pPr>
        <w:widowControl w:val="0"/>
        <w:spacing w:before="0" w:after="0" w:line="240" w:lineRule="auto"/>
        <w:ind w:firstLine="425"/>
        <w:jc w:val="both"/>
        <w:rPr>
          <w:rFonts w:ascii="Times New Roman" w:hAnsi="Times New Roman" w:cs="Times New Roman"/>
          <w:sz w:val="24"/>
          <w:szCs w:val="24"/>
        </w:rPr>
      </w:pPr>
      <w:r w:rsidRPr="00064B5E">
        <w:rPr>
          <w:rFonts w:ascii="Times New Roman" w:hAnsi="Times New Roman" w:cs="Times New Roman"/>
          <w:sz w:val="24"/>
          <w:szCs w:val="24"/>
        </w:rPr>
        <w:t xml:space="preserve">С учётом получения населением социальных трансфертов в конце отчётного года расход денежной наличности превысил приход на 63,8 млн руб. </w:t>
      </w:r>
    </w:p>
    <w:p w14:paraId="4CB975BC" w14:textId="775A86B9" w:rsidR="00EF13D3" w:rsidRDefault="00EF13D3" w:rsidP="00EF13D3">
      <w:pPr>
        <w:spacing w:before="0" w:after="0" w:line="240" w:lineRule="auto"/>
        <w:ind w:firstLine="425"/>
        <w:jc w:val="both"/>
        <w:rPr>
          <w:rFonts w:ascii="Times New Roman" w:hAnsi="Times New Roman" w:cs="Times New Roman"/>
          <w:sz w:val="24"/>
          <w:szCs w:val="24"/>
        </w:rPr>
      </w:pPr>
      <w:r w:rsidRPr="00064B5E">
        <w:rPr>
          <w:rFonts w:ascii="Times New Roman" w:hAnsi="Times New Roman" w:cs="Times New Roman"/>
          <w:sz w:val="24"/>
          <w:szCs w:val="24"/>
        </w:rPr>
        <w:t>Эмиссионно</w:t>
      </w:r>
      <w:r w:rsidRPr="00170B9B">
        <w:rPr>
          <w:rFonts w:ascii="Times New Roman" w:hAnsi="Times New Roman" w:cs="Times New Roman"/>
          <w:sz w:val="24"/>
          <w:szCs w:val="24"/>
        </w:rPr>
        <w:t xml:space="preserve">-кассовая работа </w:t>
      </w:r>
      <w:r>
        <w:rPr>
          <w:rFonts w:ascii="Times New Roman" w:hAnsi="Times New Roman" w:cs="Times New Roman"/>
          <w:sz w:val="24"/>
          <w:szCs w:val="24"/>
        </w:rPr>
        <w:t xml:space="preserve">центрального банка </w:t>
      </w:r>
      <w:r w:rsidRPr="00170B9B">
        <w:rPr>
          <w:rFonts w:ascii="Times New Roman" w:hAnsi="Times New Roman" w:cs="Times New Roman"/>
          <w:sz w:val="24"/>
          <w:szCs w:val="24"/>
        </w:rPr>
        <w:t>в 20</w:t>
      </w:r>
      <w:r>
        <w:rPr>
          <w:rFonts w:ascii="Times New Roman" w:hAnsi="Times New Roman" w:cs="Times New Roman"/>
          <w:sz w:val="24"/>
          <w:szCs w:val="24"/>
        </w:rPr>
        <w:t>20</w:t>
      </w:r>
      <w:r w:rsidRPr="00170B9B">
        <w:rPr>
          <w:rFonts w:ascii="Times New Roman" w:hAnsi="Times New Roman" w:cs="Times New Roman"/>
          <w:sz w:val="24"/>
          <w:szCs w:val="24"/>
        </w:rPr>
        <w:t xml:space="preserve"> году была направлена на </w:t>
      </w:r>
      <w:r w:rsidR="004A2038" w:rsidRPr="00170B9B">
        <w:rPr>
          <w:rFonts w:ascii="Times New Roman" w:hAnsi="Times New Roman" w:cs="Times New Roman"/>
          <w:sz w:val="24"/>
          <w:szCs w:val="24"/>
        </w:rPr>
        <w:t>рациональную организацию наличного денежного оборота, эффективное управление потоками наличных денег в республике</w:t>
      </w:r>
      <w:r w:rsidR="004A2038">
        <w:rPr>
          <w:rFonts w:ascii="Times New Roman" w:hAnsi="Times New Roman" w:cs="Times New Roman"/>
          <w:sz w:val="24"/>
          <w:szCs w:val="24"/>
        </w:rPr>
        <w:t xml:space="preserve">, своевременным пополнением денежного оборота наличными деньгами, а также уничтожением ветхих, изношенных денежных знаков, а также на </w:t>
      </w:r>
      <w:r w:rsidRPr="00170B9B">
        <w:rPr>
          <w:rFonts w:ascii="Times New Roman" w:hAnsi="Times New Roman" w:cs="Times New Roman"/>
          <w:sz w:val="24"/>
          <w:szCs w:val="24"/>
        </w:rPr>
        <w:t>дальнейшее улучшение кассового обслуживания кредитных организаций и других клиентов Приднест</w:t>
      </w:r>
      <w:r w:rsidR="004A2038">
        <w:rPr>
          <w:rFonts w:ascii="Times New Roman" w:hAnsi="Times New Roman" w:cs="Times New Roman"/>
          <w:sz w:val="24"/>
          <w:szCs w:val="24"/>
        </w:rPr>
        <w:t>ровского республиканского банка</w:t>
      </w:r>
      <w:r w:rsidRPr="00170B9B">
        <w:rPr>
          <w:rFonts w:ascii="Times New Roman" w:hAnsi="Times New Roman" w:cs="Times New Roman"/>
          <w:sz w:val="24"/>
          <w:szCs w:val="24"/>
        </w:rPr>
        <w:t xml:space="preserve">. </w:t>
      </w:r>
    </w:p>
    <w:p w14:paraId="01E67CA6" w14:textId="2E9822AD" w:rsidR="00EF13D3" w:rsidRPr="00170B9B" w:rsidRDefault="00EF13D3" w:rsidP="00EF13D3">
      <w:pPr>
        <w:spacing w:before="0" w:after="0" w:line="240" w:lineRule="auto"/>
        <w:ind w:firstLine="425"/>
        <w:jc w:val="both"/>
        <w:rPr>
          <w:rFonts w:ascii="Times New Roman" w:hAnsi="Times New Roman" w:cs="Times New Roman"/>
          <w:sz w:val="24"/>
          <w:szCs w:val="24"/>
        </w:rPr>
      </w:pPr>
      <w:r w:rsidRPr="00D84854">
        <w:rPr>
          <w:rFonts w:ascii="Times New Roman" w:hAnsi="Times New Roman" w:cs="Times New Roman"/>
          <w:sz w:val="24"/>
          <w:szCs w:val="24"/>
        </w:rPr>
        <w:t xml:space="preserve">По данным эмиссионного баланса, за 2020 год совокупный выпуск в платёжный оборот наличных денежных средств составил 466,4 млн руб. Параллельно с этим производилось их изъятие из обращения по причинам изношенности, ветхости или дефектности, а также временной невостребованности на общую сумму 298,5 млн руб. В объёме изъятых из обращения сумма ветхих банкнот составила 239,5 млн руб. (4,2 млн штук) против </w:t>
      </w:r>
      <w:r w:rsidR="004216F3">
        <w:rPr>
          <w:rFonts w:ascii="Times New Roman" w:hAnsi="Times New Roman" w:cs="Times New Roman"/>
          <w:sz w:val="24"/>
          <w:szCs w:val="24"/>
        </w:rPr>
        <w:br/>
      </w:r>
      <w:r w:rsidRPr="00D84854">
        <w:rPr>
          <w:rFonts w:ascii="Times New Roman" w:hAnsi="Times New Roman" w:cs="Times New Roman"/>
          <w:sz w:val="24"/>
          <w:szCs w:val="24"/>
        </w:rPr>
        <w:t xml:space="preserve">121,2 млн руб. (2,6 млн штук) в 2019 году. </w:t>
      </w:r>
      <w:r>
        <w:rPr>
          <w:rFonts w:ascii="Times New Roman" w:hAnsi="Times New Roman" w:cs="Times New Roman"/>
          <w:sz w:val="24"/>
          <w:szCs w:val="24"/>
        </w:rPr>
        <w:t>Из общего объёма средств, находящихся в обращении, 516,3 млн руб. находилось в кассах кредитных организаций и центрального банка.</w:t>
      </w:r>
    </w:p>
    <w:p w14:paraId="0248AD7F" w14:textId="77777777" w:rsidR="00EF13D3"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t>По состоянию на 1 января 202</w:t>
      </w:r>
      <w:r>
        <w:rPr>
          <w:rFonts w:ascii="Times New Roman" w:hAnsi="Times New Roman" w:cs="Times New Roman"/>
          <w:sz w:val="24"/>
          <w:szCs w:val="24"/>
        </w:rPr>
        <w:t>1</w:t>
      </w:r>
      <w:r w:rsidRPr="00170B9B">
        <w:rPr>
          <w:rFonts w:ascii="Times New Roman" w:hAnsi="Times New Roman" w:cs="Times New Roman"/>
          <w:sz w:val="24"/>
          <w:szCs w:val="24"/>
        </w:rPr>
        <w:t xml:space="preserve"> года в обращении, включая остатки в кассах кредитных организаций, находилось денежных знаков Приднестровского республиканского банка на сумму 1 </w:t>
      </w:r>
      <w:r>
        <w:rPr>
          <w:rFonts w:ascii="Times New Roman" w:hAnsi="Times New Roman" w:cs="Times New Roman"/>
          <w:sz w:val="24"/>
          <w:szCs w:val="24"/>
        </w:rPr>
        <w:t>796</w:t>
      </w:r>
      <w:r w:rsidRPr="00170B9B">
        <w:rPr>
          <w:rFonts w:ascii="Times New Roman" w:hAnsi="Times New Roman" w:cs="Times New Roman"/>
          <w:sz w:val="24"/>
          <w:szCs w:val="24"/>
        </w:rPr>
        <w:t>,7 млн руб., в том числе банкнот – 1 </w:t>
      </w:r>
      <w:r>
        <w:rPr>
          <w:rFonts w:ascii="Times New Roman" w:hAnsi="Times New Roman" w:cs="Times New Roman"/>
          <w:sz w:val="24"/>
          <w:szCs w:val="24"/>
        </w:rPr>
        <w:t>750</w:t>
      </w:r>
      <w:r w:rsidRPr="00170B9B">
        <w:rPr>
          <w:rFonts w:ascii="Times New Roman" w:hAnsi="Times New Roman" w:cs="Times New Roman"/>
          <w:sz w:val="24"/>
          <w:szCs w:val="24"/>
        </w:rPr>
        <w:t>,</w:t>
      </w:r>
      <w:r>
        <w:rPr>
          <w:rFonts w:ascii="Times New Roman" w:hAnsi="Times New Roman" w:cs="Times New Roman"/>
          <w:sz w:val="24"/>
          <w:szCs w:val="24"/>
        </w:rPr>
        <w:t>9</w:t>
      </w:r>
      <w:r w:rsidRPr="00170B9B">
        <w:rPr>
          <w:rFonts w:ascii="Times New Roman" w:hAnsi="Times New Roman" w:cs="Times New Roman"/>
          <w:sz w:val="24"/>
          <w:szCs w:val="24"/>
        </w:rPr>
        <w:t xml:space="preserve"> млн руб. (2</w:t>
      </w:r>
      <w:r>
        <w:rPr>
          <w:rFonts w:ascii="Times New Roman" w:hAnsi="Times New Roman" w:cs="Times New Roman"/>
          <w:sz w:val="24"/>
          <w:szCs w:val="24"/>
        </w:rPr>
        <w:t>9</w:t>
      </w:r>
      <w:r w:rsidRPr="00170B9B">
        <w:rPr>
          <w:rFonts w:ascii="Times New Roman" w:hAnsi="Times New Roman" w:cs="Times New Roman"/>
          <w:sz w:val="24"/>
          <w:szCs w:val="24"/>
        </w:rPr>
        <w:t>,</w:t>
      </w:r>
      <w:r>
        <w:rPr>
          <w:rFonts w:ascii="Times New Roman" w:hAnsi="Times New Roman" w:cs="Times New Roman"/>
          <w:sz w:val="24"/>
          <w:szCs w:val="24"/>
        </w:rPr>
        <w:t>0</w:t>
      </w:r>
      <w:r w:rsidRPr="00170B9B">
        <w:rPr>
          <w:rFonts w:ascii="Times New Roman" w:hAnsi="Times New Roman" w:cs="Times New Roman"/>
          <w:sz w:val="24"/>
          <w:szCs w:val="24"/>
        </w:rPr>
        <w:t xml:space="preserve"> млн штук), разменной монеты – 2</w:t>
      </w:r>
      <w:r>
        <w:rPr>
          <w:rFonts w:ascii="Times New Roman" w:hAnsi="Times New Roman" w:cs="Times New Roman"/>
          <w:sz w:val="24"/>
          <w:szCs w:val="24"/>
        </w:rPr>
        <w:t>2</w:t>
      </w:r>
      <w:r w:rsidRPr="00170B9B">
        <w:rPr>
          <w:rFonts w:ascii="Times New Roman" w:hAnsi="Times New Roman" w:cs="Times New Roman"/>
          <w:sz w:val="24"/>
          <w:szCs w:val="24"/>
        </w:rPr>
        <w:t>,</w:t>
      </w:r>
      <w:r>
        <w:rPr>
          <w:rFonts w:ascii="Times New Roman" w:hAnsi="Times New Roman" w:cs="Times New Roman"/>
          <w:sz w:val="24"/>
          <w:szCs w:val="24"/>
        </w:rPr>
        <w:t>4</w:t>
      </w:r>
      <w:r w:rsidRPr="00170B9B">
        <w:rPr>
          <w:rFonts w:ascii="Times New Roman" w:hAnsi="Times New Roman" w:cs="Times New Roman"/>
          <w:sz w:val="24"/>
          <w:szCs w:val="24"/>
        </w:rPr>
        <w:t xml:space="preserve"> млн руб. (13</w:t>
      </w:r>
      <w:r>
        <w:rPr>
          <w:rFonts w:ascii="Times New Roman" w:hAnsi="Times New Roman" w:cs="Times New Roman"/>
          <w:sz w:val="24"/>
          <w:szCs w:val="24"/>
        </w:rPr>
        <w:t>7</w:t>
      </w:r>
      <w:r w:rsidRPr="00170B9B">
        <w:rPr>
          <w:rFonts w:ascii="Times New Roman" w:hAnsi="Times New Roman" w:cs="Times New Roman"/>
          <w:sz w:val="24"/>
          <w:szCs w:val="24"/>
        </w:rPr>
        <w:t>,</w:t>
      </w:r>
      <w:r>
        <w:rPr>
          <w:rFonts w:ascii="Times New Roman" w:hAnsi="Times New Roman" w:cs="Times New Roman"/>
          <w:sz w:val="24"/>
          <w:szCs w:val="24"/>
        </w:rPr>
        <w:t>9</w:t>
      </w:r>
      <w:r w:rsidRPr="00170B9B">
        <w:rPr>
          <w:rFonts w:ascii="Times New Roman" w:hAnsi="Times New Roman" w:cs="Times New Roman"/>
          <w:sz w:val="24"/>
          <w:szCs w:val="24"/>
        </w:rPr>
        <w:t xml:space="preserve"> млн штук), юбилейных, памятных монет и банкнот – </w:t>
      </w:r>
      <w:r>
        <w:rPr>
          <w:rFonts w:ascii="Times New Roman" w:hAnsi="Times New Roman" w:cs="Times New Roman"/>
          <w:sz w:val="24"/>
          <w:szCs w:val="24"/>
        </w:rPr>
        <w:br/>
      </w:r>
      <w:r w:rsidRPr="00170B9B">
        <w:rPr>
          <w:rFonts w:ascii="Times New Roman" w:hAnsi="Times New Roman" w:cs="Times New Roman"/>
          <w:sz w:val="24"/>
          <w:szCs w:val="24"/>
        </w:rPr>
        <w:t>1</w:t>
      </w:r>
      <w:r>
        <w:rPr>
          <w:rFonts w:ascii="Times New Roman" w:hAnsi="Times New Roman" w:cs="Times New Roman"/>
          <w:sz w:val="24"/>
          <w:szCs w:val="24"/>
        </w:rPr>
        <w:t>4</w:t>
      </w:r>
      <w:r w:rsidRPr="00170B9B">
        <w:rPr>
          <w:rFonts w:ascii="Times New Roman" w:hAnsi="Times New Roman" w:cs="Times New Roman"/>
          <w:sz w:val="24"/>
          <w:szCs w:val="24"/>
        </w:rPr>
        <w:t>,</w:t>
      </w:r>
      <w:r>
        <w:rPr>
          <w:rFonts w:ascii="Times New Roman" w:hAnsi="Times New Roman" w:cs="Times New Roman"/>
          <w:sz w:val="24"/>
          <w:szCs w:val="24"/>
        </w:rPr>
        <w:t>4</w:t>
      </w:r>
      <w:r w:rsidRPr="00170B9B">
        <w:rPr>
          <w:rFonts w:ascii="Times New Roman" w:hAnsi="Times New Roman" w:cs="Times New Roman"/>
          <w:sz w:val="24"/>
          <w:szCs w:val="24"/>
        </w:rPr>
        <w:t xml:space="preserve"> млн руб. (</w:t>
      </w:r>
      <w:r>
        <w:rPr>
          <w:rFonts w:ascii="Times New Roman" w:hAnsi="Times New Roman" w:cs="Times New Roman"/>
          <w:sz w:val="24"/>
          <w:szCs w:val="24"/>
        </w:rPr>
        <w:t>5</w:t>
      </w:r>
      <w:r w:rsidRPr="00170B9B">
        <w:rPr>
          <w:rFonts w:ascii="Times New Roman" w:hAnsi="Times New Roman" w:cs="Times New Roman"/>
          <w:sz w:val="24"/>
          <w:szCs w:val="24"/>
        </w:rPr>
        <w:t>,</w:t>
      </w:r>
      <w:r>
        <w:rPr>
          <w:rFonts w:ascii="Times New Roman" w:hAnsi="Times New Roman" w:cs="Times New Roman"/>
          <w:sz w:val="24"/>
          <w:szCs w:val="24"/>
        </w:rPr>
        <w:t>2</w:t>
      </w:r>
      <w:r w:rsidRPr="00170B9B">
        <w:rPr>
          <w:rFonts w:ascii="Times New Roman" w:hAnsi="Times New Roman" w:cs="Times New Roman"/>
          <w:sz w:val="24"/>
          <w:szCs w:val="24"/>
        </w:rPr>
        <w:t xml:space="preserve"> млн штук), монет из композитных материалов – 8,9 млн руб. </w:t>
      </w:r>
      <w:r w:rsidRPr="00170B9B">
        <w:rPr>
          <w:rFonts w:ascii="Times New Roman" w:hAnsi="Times New Roman" w:cs="Times New Roman"/>
          <w:sz w:val="24"/>
          <w:szCs w:val="24"/>
        </w:rPr>
        <w:br/>
        <w:t>(2,2 млн штук).</w:t>
      </w:r>
      <w:r>
        <w:rPr>
          <w:rFonts w:ascii="Times New Roman" w:hAnsi="Times New Roman" w:cs="Times New Roman"/>
          <w:sz w:val="24"/>
          <w:szCs w:val="24"/>
        </w:rPr>
        <w:t xml:space="preserve"> </w:t>
      </w:r>
    </w:p>
    <w:p w14:paraId="393495AA" w14:textId="77777777" w:rsidR="00EF13D3"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t xml:space="preserve">В общей сумме наличных денег </w:t>
      </w:r>
      <w:r w:rsidRPr="0081788F">
        <w:rPr>
          <w:rFonts w:ascii="Times New Roman" w:hAnsi="Times New Roman" w:cs="Times New Roman"/>
          <w:sz w:val="24"/>
          <w:szCs w:val="24"/>
        </w:rPr>
        <w:t>в обращении</w:t>
      </w:r>
      <w:r>
        <w:rPr>
          <w:rFonts w:ascii="Times New Roman" w:hAnsi="Times New Roman" w:cs="Times New Roman"/>
          <w:sz w:val="24"/>
          <w:szCs w:val="24"/>
        </w:rPr>
        <w:t xml:space="preserve"> </w:t>
      </w:r>
      <w:r w:rsidRPr="00170B9B">
        <w:rPr>
          <w:rFonts w:ascii="Times New Roman" w:hAnsi="Times New Roman" w:cs="Times New Roman"/>
          <w:sz w:val="24"/>
          <w:szCs w:val="24"/>
        </w:rPr>
        <w:t>банкноты составляли 97,</w:t>
      </w:r>
      <w:r>
        <w:rPr>
          <w:rFonts w:ascii="Times New Roman" w:hAnsi="Times New Roman" w:cs="Times New Roman"/>
          <w:sz w:val="24"/>
          <w:szCs w:val="24"/>
        </w:rPr>
        <w:t>5</w:t>
      </w:r>
      <w:r w:rsidRPr="00170B9B">
        <w:rPr>
          <w:rFonts w:ascii="Times New Roman" w:hAnsi="Times New Roman" w:cs="Times New Roman"/>
          <w:sz w:val="24"/>
          <w:szCs w:val="24"/>
        </w:rPr>
        <w:t>%, разменная монета – 1,</w:t>
      </w:r>
      <w:r>
        <w:rPr>
          <w:rFonts w:ascii="Times New Roman" w:hAnsi="Times New Roman" w:cs="Times New Roman"/>
          <w:sz w:val="24"/>
          <w:szCs w:val="24"/>
        </w:rPr>
        <w:t>2</w:t>
      </w:r>
      <w:r w:rsidRPr="00170B9B">
        <w:rPr>
          <w:rFonts w:ascii="Times New Roman" w:hAnsi="Times New Roman" w:cs="Times New Roman"/>
          <w:sz w:val="24"/>
          <w:szCs w:val="24"/>
        </w:rPr>
        <w:t>%, юбилейные, памятные монеты и банкноты – 0,</w:t>
      </w:r>
      <w:r>
        <w:rPr>
          <w:rFonts w:ascii="Times New Roman" w:hAnsi="Times New Roman" w:cs="Times New Roman"/>
          <w:sz w:val="24"/>
          <w:szCs w:val="24"/>
        </w:rPr>
        <w:t>8</w:t>
      </w:r>
      <w:r w:rsidRPr="00170B9B">
        <w:rPr>
          <w:rFonts w:ascii="Times New Roman" w:hAnsi="Times New Roman" w:cs="Times New Roman"/>
          <w:sz w:val="24"/>
          <w:szCs w:val="24"/>
        </w:rPr>
        <w:t>%, монеты из композитных материалов – 0,</w:t>
      </w:r>
      <w:r>
        <w:rPr>
          <w:rFonts w:ascii="Times New Roman" w:hAnsi="Times New Roman" w:cs="Times New Roman"/>
          <w:sz w:val="24"/>
          <w:szCs w:val="24"/>
        </w:rPr>
        <w:t>5</w:t>
      </w:r>
      <w:r w:rsidRPr="00170B9B">
        <w:rPr>
          <w:rFonts w:ascii="Times New Roman" w:hAnsi="Times New Roman" w:cs="Times New Roman"/>
          <w:sz w:val="24"/>
          <w:szCs w:val="24"/>
        </w:rPr>
        <w:t>%. В совокупном количестве выпущенных денежных знаков на банкноты пришлось 16,</w:t>
      </w:r>
      <w:r>
        <w:rPr>
          <w:rFonts w:ascii="Times New Roman" w:hAnsi="Times New Roman" w:cs="Times New Roman"/>
          <w:sz w:val="24"/>
          <w:szCs w:val="24"/>
        </w:rPr>
        <w:t>6</w:t>
      </w:r>
      <w:r w:rsidRPr="00170B9B">
        <w:rPr>
          <w:rFonts w:ascii="Times New Roman" w:hAnsi="Times New Roman" w:cs="Times New Roman"/>
          <w:sz w:val="24"/>
          <w:szCs w:val="24"/>
        </w:rPr>
        <w:t xml:space="preserve">%, разменную монету – 79,1%, юбилейные, памятные монеты и банкноты – </w:t>
      </w:r>
      <w:r>
        <w:rPr>
          <w:rFonts w:ascii="Times New Roman" w:hAnsi="Times New Roman" w:cs="Times New Roman"/>
          <w:sz w:val="24"/>
          <w:szCs w:val="24"/>
        </w:rPr>
        <w:t>3</w:t>
      </w:r>
      <w:r w:rsidRPr="00170B9B">
        <w:rPr>
          <w:rFonts w:ascii="Times New Roman" w:hAnsi="Times New Roman" w:cs="Times New Roman"/>
          <w:sz w:val="24"/>
          <w:szCs w:val="24"/>
        </w:rPr>
        <w:t>,</w:t>
      </w:r>
      <w:r>
        <w:rPr>
          <w:rFonts w:ascii="Times New Roman" w:hAnsi="Times New Roman" w:cs="Times New Roman"/>
          <w:sz w:val="24"/>
          <w:szCs w:val="24"/>
        </w:rPr>
        <w:t>0</w:t>
      </w:r>
      <w:r w:rsidRPr="00170B9B">
        <w:rPr>
          <w:rFonts w:ascii="Times New Roman" w:hAnsi="Times New Roman" w:cs="Times New Roman"/>
          <w:sz w:val="24"/>
          <w:szCs w:val="24"/>
        </w:rPr>
        <w:t>%, монеты из композитных материалов – 1,3%.</w:t>
      </w:r>
    </w:p>
    <w:p w14:paraId="315E71E5" w14:textId="77777777" w:rsidR="00EF13D3" w:rsidRPr="00170B9B"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t>Удовлетворение платёжного оборота банкнотами и разменной монетой Приднестровского республиканского банка производилось своевременно и в полном объёме.</w:t>
      </w:r>
    </w:p>
    <w:p w14:paraId="0F4439E8" w14:textId="0DA9D30E" w:rsidR="00EF13D3" w:rsidRDefault="00EF13D3" w:rsidP="00EF13D3">
      <w:pPr>
        <w:spacing w:before="0" w:after="0" w:line="240" w:lineRule="auto"/>
        <w:ind w:firstLine="425"/>
        <w:jc w:val="both"/>
        <w:rPr>
          <w:rFonts w:ascii="Times New Roman" w:hAnsi="Times New Roman" w:cs="Times New Roman"/>
          <w:sz w:val="24"/>
          <w:szCs w:val="24"/>
        </w:rPr>
      </w:pPr>
      <w:r w:rsidRPr="00170B9B">
        <w:rPr>
          <w:rFonts w:ascii="Times New Roman" w:hAnsi="Times New Roman" w:cs="Times New Roman"/>
          <w:sz w:val="24"/>
          <w:szCs w:val="24"/>
        </w:rPr>
        <w:lastRenderedPageBreak/>
        <w:t>Кроме того, в отчётном году в обращение было выпущено 1</w:t>
      </w:r>
      <w:r>
        <w:rPr>
          <w:rFonts w:ascii="Times New Roman" w:hAnsi="Times New Roman" w:cs="Times New Roman"/>
          <w:sz w:val="24"/>
          <w:szCs w:val="24"/>
        </w:rPr>
        <w:t>6</w:t>
      </w:r>
      <w:r w:rsidRPr="00170B9B">
        <w:rPr>
          <w:rFonts w:ascii="Times New Roman" w:hAnsi="Times New Roman" w:cs="Times New Roman"/>
          <w:sz w:val="24"/>
          <w:szCs w:val="24"/>
        </w:rPr>
        <w:t xml:space="preserve"> видов памятных монет из драгоценных металлов</w:t>
      </w:r>
      <w:r>
        <w:rPr>
          <w:rFonts w:ascii="Times New Roman" w:hAnsi="Times New Roman" w:cs="Times New Roman"/>
          <w:sz w:val="24"/>
          <w:szCs w:val="24"/>
        </w:rPr>
        <w:t xml:space="preserve"> </w:t>
      </w:r>
      <w:r w:rsidRPr="00170B9B">
        <w:rPr>
          <w:rFonts w:ascii="Times New Roman" w:hAnsi="Times New Roman" w:cs="Times New Roman"/>
          <w:sz w:val="24"/>
          <w:szCs w:val="24"/>
        </w:rPr>
        <w:t>и 2</w:t>
      </w:r>
      <w:r>
        <w:rPr>
          <w:rFonts w:ascii="Times New Roman" w:hAnsi="Times New Roman" w:cs="Times New Roman"/>
          <w:sz w:val="24"/>
          <w:szCs w:val="24"/>
        </w:rPr>
        <w:t>9</w:t>
      </w:r>
      <w:r w:rsidRPr="00170B9B">
        <w:rPr>
          <w:rFonts w:ascii="Times New Roman" w:hAnsi="Times New Roman" w:cs="Times New Roman"/>
          <w:sz w:val="24"/>
          <w:szCs w:val="24"/>
        </w:rPr>
        <w:t xml:space="preserve"> вид</w:t>
      </w:r>
      <w:r>
        <w:rPr>
          <w:rFonts w:ascii="Times New Roman" w:hAnsi="Times New Roman" w:cs="Times New Roman"/>
          <w:sz w:val="24"/>
          <w:szCs w:val="24"/>
        </w:rPr>
        <w:t>ов</w:t>
      </w:r>
      <w:r w:rsidRPr="00170B9B">
        <w:rPr>
          <w:rFonts w:ascii="Times New Roman" w:hAnsi="Times New Roman" w:cs="Times New Roman"/>
          <w:sz w:val="24"/>
          <w:szCs w:val="24"/>
        </w:rPr>
        <w:t xml:space="preserve"> памятных монет из недрагоценных металлов различных серий, а также </w:t>
      </w:r>
      <w:r w:rsidR="00802239">
        <w:rPr>
          <w:rFonts w:ascii="Times New Roman" w:hAnsi="Times New Roman" w:cs="Times New Roman"/>
          <w:sz w:val="24"/>
          <w:szCs w:val="24"/>
        </w:rPr>
        <w:t>два</w:t>
      </w:r>
      <w:r w:rsidRPr="00170B9B">
        <w:rPr>
          <w:rFonts w:ascii="Times New Roman" w:hAnsi="Times New Roman" w:cs="Times New Roman"/>
          <w:sz w:val="24"/>
          <w:szCs w:val="24"/>
        </w:rPr>
        <w:t xml:space="preserve"> вида памятных банкнот.</w:t>
      </w:r>
    </w:p>
    <w:p w14:paraId="476E3958" w14:textId="0A7F7FCF" w:rsidR="00EF13D3" w:rsidRDefault="00EF13D3" w:rsidP="00EF13D3">
      <w:pPr>
        <w:spacing w:before="0" w:after="0" w:line="240" w:lineRule="auto"/>
        <w:ind w:firstLine="425"/>
        <w:jc w:val="both"/>
        <w:rPr>
          <w:sz w:val="24"/>
          <w:szCs w:val="24"/>
        </w:rPr>
      </w:pPr>
      <w:r w:rsidRPr="00340B4B">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отчётном</w:t>
      </w:r>
      <w:r w:rsidRPr="00340B4B">
        <w:rPr>
          <w:rFonts w:ascii="Times New Roman" w:eastAsia="Times New Roman" w:hAnsi="Times New Roman" w:cs="Times New Roman"/>
          <w:sz w:val="24"/>
          <w:szCs w:val="24"/>
        </w:rPr>
        <w:t xml:space="preserve"> году проводилась работа по совершенствованию нормативной базы </w:t>
      </w:r>
      <w:r w:rsidRPr="0066425B">
        <w:rPr>
          <w:rFonts w:ascii="Times New Roman" w:hAnsi="Times New Roman" w:cs="Times New Roman"/>
          <w:sz w:val="24"/>
          <w:szCs w:val="24"/>
        </w:rPr>
        <w:t>Приднестровско</w:t>
      </w:r>
      <w:r>
        <w:rPr>
          <w:rFonts w:ascii="Times New Roman" w:hAnsi="Times New Roman" w:cs="Times New Roman"/>
          <w:sz w:val="24"/>
          <w:szCs w:val="24"/>
        </w:rPr>
        <w:t>го республиканского банка</w:t>
      </w:r>
      <w:r w:rsidRPr="00340B4B">
        <w:rPr>
          <w:rFonts w:ascii="Times New Roman" w:eastAsia="Times New Roman" w:hAnsi="Times New Roman" w:cs="Times New Roman"/>
          <w:sz w:val="24"/>
          <w:szCs w:val="24"/>
        </w:rPr>
        <w:t xml:space="preserve"> в области организации наличного денежного обращения</w:t>
      </w:r>
      <w:r>
        <w:rPr>
          <w:rFonts w:ascii="Times New Roman" w:eastAsia="Times New Roman" w:hAnsi="Times New Roman" w:cs="Times New Roman"/>
          <w:sz w:val="24"/>
          <w:szCs w:val="24"/>
        </w:rPr>
        <w:t xml:space="preserve"> и</w:t>
      </w:r>
      <w:r w:rsidRPr="00340B4B">
        <w:rPr>
          <w:rFonts w:ascii="Times New Roman" w:eastAsia="Times New Roman" w:hAnsi="Times New Roman" w:cs="Times New Roman"/>
          <w:sz w:val="24"/>
          <w:szCs w:val="24"/>
        </w:rPr>
        <w:t xml:space="preserve"> ведения кассовых операций, с уч</w:t>
      </w:r>
      <w:r w:rsidRPr="009C19E9">
        <w:rPr>
          <w:rFonts w:ascii="Times New Roman" w:eastAsia="Times New Roman" w:hAnsi="Times New Roman" w:cs="Times New Roman"/>
          <w:sz w:val="24"/>
          <w:szCs w:val="24"/>
        </w:rPr>
        <w:t>ё</w:t>
      </w:r>
      <w:r w:rsidRPr="00340B4B">
        <w:rPr>
          <w:rFonts w:ascii="Times New Roman" w:eastAsia="Times New Roman" w:hAnsi="Times New Roman" w:cs="Times New Roman"/>
          <w:sz w:val="24"/>
          <w:szCs w:val="24"/>
        </w:rPr>
        <w:t>том изменений, произошедших в экономике</w:t>
      </w:r>
      <w:r>
        <w:rPr>
          <w:rFonts w:ascii="Times New Roman" w:eastAsia="Times New Roman" w:hAnsi="Times New Roman" w:cs="Times New Roman"/>
          <w:sz w:val="24"/>
          <w:szCs w:val="24"/>
        </w:rPr>
        <w:t xml:space="preserve"> и</w:t>
      </w:r>
      <w:r w:rsidRPr="00340B4B">
        <w:rPr>
          <w:rFonts w:ascii="Times New Roman" w:eastAsia="Times New Roman" w:hAnsi="Times New Roman" w:cs="Times New Roman"/>
          <w:sz w:val="24"/>
          <w:szCs w:val="24"/>
        </w:rPr>
        <w:t xml:space="preserve"> законодательстве</w:t>
      </w:r>
      <w:r>
        <w:rPr>
          <w:rFonts w:ascii="Times New Roman" w:eastAsia="Times New Roman" w:hAnsi="Times New Roman" w:cs="Times New Roman"/>
          <w:sz w:val="24"/>
          <w:szCs w:val="24"/>
        </w:rPr>
        <w:t xml:space="preserve"> </w:t>
      </w:r>
      <w:r w:rsidR="00AD7716">
        <w:rPr>
          <w:rFonts w:ascii="Times New Roman" w:hAnsi="Times New Roman" w:cs="Times New Roman"/>
          <w:sz w:val="24"/>
          <w:szCs w:val="24"/>
        </w:rPr>
        <w:t>Приднестровской Молдавской Республики</w:t>
      </w:r>
      <w:r>
        <w:rPr>
          <w:rFonts w:ascii="Times New Roman" w:eastAsia="Times New Roman" w:hAnsi="Times New Roman" w:cs="Times New Roman"/>
          <w:sz w:val="24"/>
          <w:szCs w:val="24"/>
        </w:rPr>
        <w:t>.</w:t>
      </w:r>
      <w:r w:rsidRPr="009C19E9">
        <w:rPr>
          <w:rFonts w:ascii="Times New Roman" w:eastAsia="Times New Roman" w:hAnsi="Times New Roman" w:cs="Times New Roman"/>
          <w:sz w:val="24"/>
          <w:szCs w:val="24"/>
        </w:rPr>
        <w:t xml:space="preserve"> В частности, </w:t>
      </w:r>
      <w:r w:rsidRPr="00D95A63">
        <w:rPr>
          <w:rFonts w:ascii="Times New Roman" w:eastAsia="Times New Roman" w:hAnsi="Times New Roman" w:cs="Times New Roman"/>
          <w:sz w:val="24"/>
          <w:szCs w:val="24"/>
        </w:rPr>
        <w:t>внесен</w:t>
      </w:r>
      <w:r>
        <w:rPr>
          <w:rFonts w:ascii="Times New Roman" w:eastAsia="Times New Roman" w:hAnsi="Times New Roman" w:cs="Times New Roman"/>
          <w:sz w:val="24"/>
          <w:szCs w:val="24"/>
        </w:rPr>
        <w:t>ы</w:t>
      </w:r>
      <w:r w:rsidRPr="00D95A63">
        <w:rPr>
          <w:rFonts w:ascii="Times New Roman" w:eastAsia="Times New Roman" w:hAnsi="Times New Roman" w:cs="Times New Roman"/>
          <w:sz w:val="24"/>
          <w:szCs w:val="24"/>
        </w:rPr>
        <w:t xml:space="preserve"> дополнени</w:t>
      </w:r>
      <w:r>
        <w:rPr>
          <w:rFonts w:ascii="Times New Roman" w:eastAsia="Times New Roman" w:hAnsi="Times New Roman" w:cs="Times New Roman"/>
          <w:sz w:val="24"/>
          <w:szCs w:val="24"/>
        </w:rPr>
        <w:t>я,</w:t>
      </w:r>
      <w:r w:rsidRPr="00D95A63">
        <w:rPr>
          <w:rFonts w:ascii="Times New Roman" w:eastAsia="Times New Roman" w:hAnsi="Times New Roman" w:cs="Times New Roman"/>
          <w:sz w:val="24"/>
          <w:szCs w:val="24"/>
        </w:rPr>
        <w:t xml:space="preserve"> связан</w:t>
      </w:r>
      <w:r>
        <w:rPr>
          <w:rFonts w:ascii="Times New Roman" w:eastAsia="Times New Roman" w:hAnsi="Times New Roman" w:cs="Times New Roman"/>
          <w:sz w:val="24"/>
          <w:szCs w:val="24"/>
        </w:rPr>
        <w:t>ные</w:t>
      </w:r>
      <w:r w:rsidRPr="00D95A63">
        <w:rPr>
          <w:rFonts w:ascii="Times New Roman" w:eastAsia="Times New Roman" w:hAnsi="Times New Roman" w:cs="Times New Roman"/>
          <w:sz w:val="24"/>
          <w:szCs w:val="24"/>
        </w:rPr>
        <w:t xml:space="preserve"> с </w:t>
      </w:r>
      <w:r w:rsidRPr="009C19E9">
        <w:rPr>
          <w:rFonts w:ascii="Times New Roman" w:eastAsia="Times New Roman" w:hAnsi="Times New Roman" w:cs="Times New Roman"/>
          <w:sz w:val="24"/>
          <w:szCs w:val="24"/>
        </w:rPr>
        <w:t>наделением</w:t>
      </w:r>
      <w:r w:rsidRPr="00D95A63">
        <w:rPr>
          <w:rFonts w:ascii="Times New Roman" w:eastAsia="Times New Roman" w:hAnsi="Times New Roman" w:cs="Times New Roman"/>
          <w:sz w:val="24"/>
          <w:szCs w:val="24"/>
        </w:rPr>
        <w:t xml:space="preserve"> организаци</w:t>
      </w:r>
      <w:r>
        <w:rPr>
          <w:rFonts w:ascii="Times New Roman" w:eastAsia="Times New Roman" w:hAnsi="Times New Roman" w:cs="Times New Roman"/>
          <w:sz w:val="24"/>
          <w:szCs w:val="24"/>
        </w:rPr>
        <w:t>й</w:t>
      </w:r>
      <w:r w:rsidRPr="00D95A63">
        <w:rPr>
          <w:rFonts w:ascii="Times New Roman" w:eastAsia="Times New Roman" w:hAnsi="Times New Roman" w:cs="Times New Roman"/>
          <w:sz w:val="24"/>
          <w:szCs w:val="24"/>
        </w:rPr>
        <w:t xml:space="preserve"> почтовой связи </w:t>
      </w:r>
      <w:r w:rsidRPr="009C19E9">
        <w:rPr>
          <w:rFonts w:ascii="Times New Roman" w:eastAsia="Times New Roman" w:hAnsi="Times New Roman" w:cs="Times New Roman"/>
          <w:sz w:val="24"/>
          <w:szCs w:val="24"/>
        </w:rPr>
        <w:t>правом совершения</w:t>
      </w:r>
      <w:r>
        <w:rPr>
          <w:rFonts w:ascii="Times New Roman" w:eastAsia="Times New Roman" w:hAnsi="Times New Roman" w:cs="Times New Roman"/>
          <w:sz w:val="24"/>
          <w:szCs w:val="24"/>
        </w:rPr>
        <w:t xml:space="preserve"> </w:t>
      </w:r>
      <w:r w:rsidRPr="00D95A63">
        <w:rPr>
          <w:rFonts w:ascii="Times New Roman" w:eastAsia="Times New Roman" w:hAnsi="Times New Roman" w:cs="Times New Roman"/>
          <w:sz w:val="24"/>
          <w:szCs w:val="24"/>
        </w:rPr>
        <w:t>операций по выдаче физическим лицам наличных денежных средств с использованием банковских карт</w:t>
      </w:r>
      <w:r>
        <w:rPr>
          <w:rFonts w:ascii="Times New Roman" w:eastAsia="Times New Roman" w:hAnsi="Times New Roman" w:cs="Times New Roman"/>
          <w:sz w:val="24"/>
          <w:szCs w:val="24"/>
        </w:rPr>
        <w:t xml:space="preserve">, а также с </w:t>
      </w:r>
      <w:r w:rsidRPr="00126364">
        <w:rPr>
          <w:rFonts w:ascii="Times New Roman" w:eastAsia="Times New Roman" w:hAnsi="Times New Roman" w:cs="Times New Roman"/>
          <w:sz w:val="24"/>
          <w:szCs w:val="24"/>
        </w:rPr>
        <w:t xml:space="preserve">порядком </w:t>
      </w:r>
      <w:r>
        <w:rPr>
          <w:rFonts w:ascii="Times New Roman" w:eastAsia="Times New Roman" w:hAnsi="Times New Roman" w:cs="Times New Roman"/>
          <w:sz w:val="24"/>
          <w:szCs w:val="24"/>
        </w:rPr>
        <w:t xml:space="preserve">работы с наличными денежными средствами при проведении операций по </w:t>
      </w:r>
      <w:r>
        <w:rPr>
          <w:rFonts w:ascii="Times New Roman" w:hAnsi="Times New Roman" w:cs="Times New Roman"/>
          <w:sz w:val="24"/>
          <w:szCs w:val="24"/>
        </w:rPr>
        <w:t>выдаче (возврату) займов</w:t>
      </w:r>
      <w:r>
        <w:rPr>
          <w:sz w:val="24"/>
          <w:szCs w:val="24"/>
        </w:rPr>
        <w:t xml:space="preserve">. </w:t>
      </w:r>
    </w:p>
    <w:p w14:paraId="5856DF58" w14:textId="77777777" w:rsidR="00EC7E6D" w:rsidRDefault="00EC7E6D" w:rsidP="00EF13D3">
      <w:pPr>
        <w:spacing w:before="0" w:after="0" w:line="240" w:lineRule="auto"/>
        <w:ind w:firstLine="425"/>
        <w:jc w:val="both"/>
        <w:rPr>
          <w:sz w:val="24"/>
          <w:szCs w:val="24"/>
        </w:rPr>
      </w:pPr>
    </w:p>
    <w:p w14:paraId="4F5468D3" w14:textId="6AE7D4A7" w:rsidR="00EF13D3" w:rsidRPr="00091CE2" w:rsidRDefault="00EF13D3" w:rsidP="00EC7E6D">
      <w:pPr>
        <w:pStyle w:val="1"/>
        <w:widowControl w:val="0"/>
        <w:spacing w:before="0" w:line="240" w:lineRule="auto"/>
        <w:jc w:val="center"/>
        <w:rPr>
          <w:b/>
          <w:bCs/>
          <w:noProof/>
          <w:sz w:val="24"/>
          <w:szCs w:val="24"/>
        </w:rPr>
      </w:pPr>
      <w:r w:rsidRPr="00665EEA">
        <w:rPr>
          <w:b/>
          <w:bCs/>
          <w:noProof/>
          <w:sz w:val="24"/>
          <w:szCs w:val="24"/>
        </w:rPr>
        <w:t>2.9</w:t>
      </w:r>
      <w:r w:rsidRPr="00CA13E1">
        <w:rPr>
          <w:b/>
          <w:bCs/>
          <w:noProof/>
          <w:sz w:val="24"/>
          <w:szCs w:val="24"/>
        </w:rPr>
        <w:t xml:space="preserve">. СОВЕРШЕНСТВОВАНИЕ БУХГАЛТЕРСКОГО УЧЁТА И ОТЧЁТНОСТИ </w:t>
      </w:r>
      <w:r w:rsidR="00AA735A">
        <w:rPr>
          <w:b/>
          <w:bCs/>
          <w:noProof/>
          <w:sz w:val="24"/>
          <w:szCs w:val="24"/>
        </w:rPr>
        <w:br/>
      </w:r>
      <w:r w:rsidRPr="00CA13E1">
        <w:rPr>
          <w:b/>
          <w:bCs/>
          <w:noProof/>
          <w:sz w:val="24"/>
          <w:szCs w:val="24"/>
        </w:rPr>
        <w:t>КРЕДИТНЫХ И СТРАХОВЫХ ОРГАНИЗАЦИЙ</w:t>
      </w:r>
    </w:p>
    <w:p w14:paraId="74464D73"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48163D12"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В отчётном году при разработке новых нормативных актов приоритетным направлением являлось совершенствование бухгалтерского учёта страховых организаций. Правила ведения бухгалтерского учёта в страховых организациях Приднестровской Молдавской Республики дополнены приложениями, регламентирующими учёт следующих операций:</w:t>
      </w:r>
    </w:p>
    <w:p w14:paraId="1831C4F7"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1) по выдаче (размещению) денежных средств по договорам займа и договорам банковского вклада;</w:t>
      </w:r>
    </w:p>
    <w:p w14:paraId="485E0103"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2) по привлечению денежных средств по договорам займа и кредитным договорам;</w:t>
      </w:r>
    </w:p>
    <w:p w14:paraId="59599C4A"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3) по выпуску и погашению облигаций и векселей;</w:t>
      </w:r>
    </w:p>
    <w:p w14:paraId="5DCDB8AB"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4) аренды;</w:t>
      </w:r>
    </w:p>
    <w:p w14:paraId="383266A4"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5) по приобретению (уступке) прав требования;</w:t>
      </w:r>
    </w:p>
    <w:p w14:paraId="00987859"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6) с ценными бумагами;</w:t>
      </w:r>
    </w:p>
    <w:p w14:paraId="744DAED8"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7) участия и вложения средств в уставные капиталы юридических лиц;</w:t>
      </w:r>
    </w:p>
    <w:p w14:paraId="63397D5E"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8) доходов, расходов и определения финансового результата.</w:t>
      </w:r>
    </w:p>
    <w:p w14:paraId="2F8B6FEB"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Кроме того, в 2020 году осуществлялась работа по совершенствованию действующей методологической базы, регулирующей:</w:t>
      </w:r>
    </w:p>
    <w:p w14:paraId="13514C03"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1) составление кредитными организациями бухгалтерской (финансовой) отчётности, а, именно, более детально регламентированы нормы о составе и порядке составления кредитными организациями квартальной бухгалтерской (финансовой) отчётности, а также расширены требования к пояснительной записке к годовой бухгалтерской (финансовой) отчётности;</w:t>
      </w:r>
    </w:p>
    <w:p w14:paraId="30DDC710"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2) порядок ведения кассовых операций, правила хранения, перевозки и инкассации банкнот и монеты Приднестровского республиканского банка, а также банкнот и монеты иностранного государства (группы иностранных государств) в кредитных организациях в части оптимизации порядка организации кассовой работы по обслуживанию клиентов с учётом опыта работы кредитных организаций Приднестровской Молдавской Республики и сопредельных государств;</w:t>
      </w:r>
    </w:p>
    <w:p w14:paraId="472A7E97"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3) правила учёта и хранения драгоценных металлов в кредитных организациях в части уточнения порядка оформления кассовых документов при осуществлении операций с драгоценными металлами.</w:t>
      </w:r>
    </w:p>
    <w:p w14:paraId="44472F29"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Также в отчётном периоде Приднестровским республиканским банком начата работа по:</w:t>
      </w:r>
    </w:p>
    <w:p w14:paraId="79E91C98" w14:textId="77777777"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 xml:space="preserve">1) подготовке проекта Положения Приднестровского республиканского банка «О плане счетов бухгалтерского учёта в кредитных организациях, расположенных на территории </w:t>
      </w:r>
      <w:r w:rsidRPr="00484AC3">
        <w:rPr>
          <w:rFonts w:ascii="Times New Roman" w:hAnsi="Times New Roman" w:cs="Times New Roman"/>
          <w:sz w:val="24"/>
          <w:szCs w:val="24"/>
        </w:rPr>
        <w:lastRenderedPageBreak/>
        <w:t>Приднестровской Молдавской Республики» с целью гармонизации структуры планов счетов всех финансовых организаций, подотчётных Приднестровскому республиканскому банку;</w:t>
      </w:r>
    </w:p>
    <w:p w14:paraId="7EFAF837" w14:textId="7C9078A3" w:rsidR="00EF13D3" w:rsidRPr="00484AC3" w:rsidRDefault="00EF13D3" w:rsidP="00EF13D3">
      <w:pPr>
        <w:spacing w:before="0" w:after="0" w:line="240" w:lineRule="auto"/>
        <w:ind w:firstLine="425"/>
        <w:jc w:val="both"/>
        <w:rPr>
          <w:rFonts w:ascii="Times New Roman" w:hAnsi="Times New Roman" w:cs="Times New Roman"/>
          <w:sz w:val="24"/>
          <w:szCs w:val="24"/>
        </w:rPr>
      </w:pPr>
      <w:r w:rsidRPr="00484AC3">
        <w:rPr>
          <w:rFonts w:ascii="Times New Roman" w:hAnsi="Times New Roman" w:cs="Times New Roman"/>
          <w:sz w:val="24"/>
          <w:szCs w:val="24"/>
        </w:rPr>
        <w:t xml:space="preserve">2) разработке методологических основ ведения бухгалтерского учёта микрофинансовых организаций в связи с расширением полномочий Приднестровского республиканского банка в части регулирования, контроля и надзора за деятельностью микрофинансовых организаций в соответствии с Законом Приднестровской Молдавской Республики от 5 августа 2020 года </w:t>
      </w:r>
      <w:r w:rsidR="004216F3">
        <w:rPr>
          <w:rFonts w:ascii="Times New Roman" w:hAnsi="Times New Roman" w:cs="Times New Roman"/>
          <w:sz w:val="24"/>
          <w:szCs w:val="24"/>
        </w:rPr>
        <w:br/>
        <w:t>№</w:t>
      </w:r>
      <w:r w:rsidRPr="00484AC3">
        <w:rPr>
          <w:rFonts w:ascii="Times New Roman" w:hAnsi="Times New Roman" w:cs="Times New Roman"/>
          <w:sz w:val="24"/>
          <w:szCs w:val="24"/>
        </w:rPr>
        <w:t xml:space="preserve"> 128-ЗИД-VI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«О микрофинансовой деятельности и микрофинансовых организациях».</w:t>
      </w:r>
    </w:p>
    <w:p w14:paraId="5F6CA101" w14:textId="3207541E" w:rsidR="00AA735A" w:rsidRDefault="00AA735A" w:rsidP="00EF13D3">
      <w:pPr>
        <w:spacing w:before="0" w:after="0" w:line="240" w:lineRule="auto"/>
        <w:ind w:firstLine="425"/>
        <w:jc w:val="both"/>
        <w:rPr>
          <w:rFonts w:ascii="Times New Roman" w:hAnsi="Times New Roman" w:cs="Times New Roman"/>
          <w:sz w:val="24"/>
          <w:szCs w:val="24"/>
          <w:highlight w:val="green"/>
        </w:rPr>
      </w:pPr>
    </w:p>
    <w:p w14:paraId="19C5C19F" w14:textId="68BA673E" w:rsidR="00EF13D3" w:rsidRPr="002B07E7" w:rsidRDefault="00EF13D3" w:rsidP="00EC7E6D">
      <w:pPr>
        <w:pStyle w:val="1"/>
        <w:widowControl w:val="0"/>
        <w:spacing w:before="0" w:line="240" w:lineRule="auto"/>
        <w:jc w:val="center"/>
        <w:rPr>
          <w:b/>
          <w:bCs/>
          <w:noProof/>
          <w:sz w:val="24"/>
          <w:szCs w:val="24"/>
        </w:rPr>
      </w:pPr>
      <w:r>
        <w:rPr>
          <w:b/>
          <w:bCs/>
          <w:noProof/>
          <w:sz w:val="24"/>
          <w:szCs w:val="24"/>
        </w:rPr>
        <w:t xml:space="preserve">2.10. </w:t>
      </w:r>
      <w:r w:rsidRPr="00865B8F">
        <w:rPr>
          <w:b/>
          <w:bCs/>
          <w:noProof/>
          <w:sz w:val="24"/>
          <w:szCs w:val="24"/>
        </w:rPr>
        <w:t xml:space="preserve">ВЗАИМОДЕЙСТВИЕ ПРИДНЕСТРОВСКОГО РЕСПУБЛИКАНСКОГО БАНКА </w:t>
      </w:r>
      <w:r>
        <w:rPr>
          <w:b/>
          <w:bCs/>
          <w:noProof/>
          <w:sz w:val="24"/>
          <w:szCs w:val="24"/>
        </w:rPr>
        <w:br/>
      </w:r>
      <w:r w:rsidRPr="00865B8F">
        <w:rPr>
          <w:b/>
          <w:bCs/>
          <w:noProof/>
          <w:sz w:val="24"/>
          <w:szCs w:val="24"/>
        </w:rPr>
        <w:t>С ОРГАНАМИ ГОСУДАРСТВЕННОЙ ВЛАСТИ</w:t>
      </w:r>
    </w:p>
    <w:p w14:paraId="52A1B386"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2070EF74" w14:textId="77777777" w:rsidR="00EF13D3" w:rsidRPr="00FA53AE" w:rsidRDefault="00EF13D3" w:rsidP="00EF13D3">
      <w:pPr>
        <w:spacing w:before="0" w:after="0" w:line="240" w:lineRule="auto"/>
        <w:ind w:firstLine="425"/>
        <w:jc w:val="both"/>
        <w:rPr>
          <w:rFonts w:ascii="Times New Roman" w:hAnsi="Times New Roman" w:cs="Times New Roman"/>
          <w:sz w:val="24"/>
          <w:szCs w:val="24"/>
        </w:rPr>
      </w:pPr>
      <w:r w:rsidRPr="00FA53AE">
        <w:rPr>
          <w:rFonts w:ascii="Times New Roman" w:hAnsi="Times New Roman" w:cs="Times New Roman"/>
          <w:sz w:val="24"/>
          <w:szCs w:val="24"/>
        </w:rPr>
        <w:t xml:space="preserve">В отчётном году Приднестровский республиканский банк взаимодействовал с органами государственной власти и управления по различным направлениям. </w:t>
      </w:r>
    </w:p>
    <w:p w14:paraId="279EEB77" w14:textId="77777777" w:rsidR="00EF13D3" w:rsidRPr="00FA53AE" w:rsidRDefault="00EF13D3" w:rsidP="00EF13D3">
      <w:pPr>
        <w:spacing w:before="0" w:after="0" w:line="240" w:lineRule="auto"/>
        <w:ind w:firstLine="425"/>
        <w:jc w:val="both"/>
        <w:rPr>
          <w:rFonts w:ascii="Times New Roman" w:hAnsi="Times New Roman" w:cs="Times New Roman"/>
          <w:sz w:val="24"/>
          <w:szCs w:val="24"/>
        </w:rPr>
      </w:pPr>
      <w:r w:rsidRPr="00FA53AE">
        <w:rPr>
          <w:rFonts w:ascii="Times New Roman" w:hAnsi="Times New Roman" w:cs="Times New Roman"/>
          <w:sz w:val="24"/>
          <w:szCs w:val="24"/>
        </w:rPr>
        <w:t>По поручениям Президента Приднестровской Молдавской Республики, по запросам исполнительных органов государственной власти центральный банк предоставлял информацию по единой государственной денежно-кредитной политике, о ситуации в банковском секторе республики. Указанные органы в свою очередь по запросам центрального банка предоставляли информацию по макроэкономическим и финансовым вопросам.</w:t>
      </w:r>
    </w:p>
    <w:p w14:paraId="16BC0229" w14:textId="0F2E9363" w:rsidR="00EF13D3" w:rsidRPr="00613BE1" w:rsidRDefault="00EF13D3" w:rsidP="00EF13D3">
      <w:pPr>
        <w:spacing w:before="0" w:after="0" w:line="240" w:lineRule="auto"/>
        <w:ind w:firstLine="425"/>
        <w:jc w:val="both"/>
        <w:rPr>
          <w:rFonts w:ascii="Times New Roman" w:hAnsi="Times New Roman" w:cs="Times New Roman"/>
          <w:sz w:val="24"/>
          <w:szCs w:val="24"/>
        </w:rPr>
      </w:pPr>
      <w:r w:rsidRPr="00375143">
        <w:rPr>
          <w:rFonts w:ascii="Times New Roman" w:hAnsi="Times New Roman" w:cs="Times New Roman"/>
          <w:sz w:val="24"/>
          <w:szCs w:val="24"/>
        </w:rPr>
        <w:t xml:space="preserve">В соответствии с запросами Правительства </w:t>
      </w:r>
      <w:r w:rsidR="00AD7716">
        <w:rPr>
          <w:rFonts w:ascii="Times New Roman" w:hAnsi="Times New Roman" w:cs="Times New Roman"/>
          <w:sz w:val="24"/>
          <w:szCs w:val="24"/>
        </w:rPr>
        <w:t>Приднестровской Молдавской Республики</w:t>
      </w:r>
      <w:r w:rsidRPr="00375143">
        <w:rPr>
          <w:rFonts w:ascii="Times New Roman" w:hAnsi="Times New Roman" w:cs="Times New Roman"/>
          <w:sz w:val="24"/>
          <w:szCs w:val="24"/>
        </w:rPr>
        <w:t xml:space="preserve">, Прокуратуры </w:t>
      </w:r>
      <w:r w:rsidR="00AD7716">
        <w:rPr>
          <w:rFonts w:ascii="Times New Roman" w:hAnsi="Times New Roman" w:cs="Times New Roman"/>
          <w:sz w:val="24"/>
          <w:szCs w:val="24"/>
        </w:rPr>
        <w:t>Приднестровской Молдавской Республики</w:t>
      </w:r>
      <w:r w:rsidR="00AD7716" w:rsidRPr="00375143">
        <w:rPr>
          <w:rFonts w:ascii="Times New Roman" w:hAnsi="Times New Roman" w:cs="Times New Roman"/>
          <w:sz w:val="24"/>
          <w:szCs w:val="24"/>
        </w:rPr>
        <w:t xml:space="preserve"> </w:t>
      </w:r>
      <w:r w:rsidRPr="00375143">
        <w:rPr>
          <w:rFonts w:ascii="Times New Roman" w:hAnsi="Times New Roman" w:cs="Times New Roman"/>
          <w:sz w:val="24"/>
          <w:szCs w:val="24"/>
        </w:rPr>
        <w:t xml:space="preserve">и Следственного комитета </w:t>
      </w:r>
      <w:r w:rsidR="00AD7716">
        <w:rPr>
          <w:rFonts w:ascii="Times New Roman" w:hAnsi="Times New Roman" w:cs="Times New Roman"/>
          <w:sz w:val="24"/>
          <w:szCs w:val="24"/>
        </w:rPr>
        <w:t>Приднестровской Молдавской Республики</w:t>
      </w:r>
      <w:r w:rsidRPr="00375143">
        <w:rPr>
          <w:rFonts w:ascii="Times New Roman" w:hAnsi="Times New Roman" w:cs="Times New Roman"/>
          <w:sz w:val="24"/>
          <w:szCs w:val="24"/>
        </w:rPr>
        <w:t xml:space="preserve">, а </w:t>
      </w:r>
      <w:r w:rsidRPr="00613BE1">
        <w:rPr>
          <w:rFonts w:ascii="Times New Roman" w:hAnsi="Times New Roman" w:cs="Times New Roman"/>
          <w:sz w:val="24"/>
          <w:szCs w:val="24"/>
        </w:rPr>
        <w:t>также в рамках оказания государственных услуг инвесторам предоставлялись разъяснения по вопросам, касающимся сферы валютного регулирования и валютного контроля.</w:t>
      </w:r>
    </w:p>
    <w:p w14:paraId="45AB8EC6" w14:textId="0097A2AA" w:rsidR="00EF13D3" w:rsidRPr="00474DB6" w:rsidRDefault="00EF13D3" w:rsidP="00EF13D3">
      <w:pPr>
        <w:spacing w:before="0" w:after="0" w:line="240" w:lineRule="auto"/>
        <w:ind w:firstLine="425"/>
        <w:jc w:val="both"/>
        <w:rPr>
          <w:rFonts w:ascii="Times New Roman" w:hAnsi="Times New Roman" w:cs="Times New Roman"/>
          <w:sz w:val="24"/>
          <w:szCs w:val="24"/>
        </w:rPr>
      </w:pPr>
      <w:r w:rsidRPr="00613BE1">
        <w:rPr>
          <w:rFonts w:ascii="Times New Roman" w:hAnsi="Times New Roman" w:cs="Times New Roman"/>
          <w:sz w:val="24"/>
          <w:szCs w:val="24"/>
        </w:rPr>
        <w:t xml:space="preserve">В отчётном периоде в соответствии с Законом </w:t>
      </w:r>
      <w:r w:rsidR="00AD7716">
        <w:rPr>
          <w:rFonts w:ascii="Times New Roman" w:hAnsi="Times New Roman" w:cs="Times New Roman"/>
          <w:sz w:val="24"/>
          <w:szCs w:val="24"/>
        </w:rPr>
        <w:t>Приднестровской Молдавской Республики</w:t>
      </w:r>
      <w:r w:rsidR="00AD7716" w:rsidRPr="00613BE1">
        <w:rPr>
          <w:rFonts w:ascii="Times New Roman" w:hAnsi="Times New Roman" w:cs="Times New Roman"/>
          <w:sz w:val="24"/>
          <w:szCs w:val="24"/>
        </w:rPr>
        <w:t xml:space="preserve"> </w:t>
      </w:r>
      <w:r w:rsidRPr="00613BE1">
        <w:rPr>
          <w:rFonts w:ascii="Times New Roman" w:hAnsi="Times New Roman" w:cs="Times New Roman"/>
          <w:sz w:val="24"/>
          <w:szCs w:val="24"/>
        </w:rPr>
        <w:t xml:space="preserve">от 11 июня 2007 года № 222-З-IV «О государственной регистрации юридических лиц и индивидуальных предпринимателей в </w:t>
      </w:r>
      <w:r w:rsidR="00AD7716">
        <w:rPr>
          <w:rFonts w:ascii="Times New Roman" w:hAnsi="Times New Roman" w:cs="Times New Roman"/>
          <w:sz w:val="24"/>
          <w:szCs w:val="24"/>
        </w:rPr>
        <w:t>Приднестровской Молдавской Республики</w:t>
      </w:r>
      <w:r w:rsidRPr="00613BE1">
        <w:rPr>
          <w:rFonts w:ascii="Times New Roman" w:hAnsi="Times New Roman" w:cs="Times New Roman"/>
          <w:sz w:val="24"/>
          <w:szCs w:val="24"/>
        </w:rPr>
        <w:t xml:space="preserve">» и Постановлением Правительства </w:t>
      </w:r>
      <w:r w:rsidR="00AD7716">
        <w:rPr>
          <w:rFonts w:ascii="Times New Roman" w:hAnsi="Times New Roman" w:cs="Times New Roman"/>
          <w:sz w:val="24"/>
          <w:szCs w:val="24"/>
        </w:rPr>
        <w:t>Приднестровской Молдавской Республики</w:t>
      </w:r>
      <w:r w:rsidR="00AD7716" w:rsidRPr="00613BE1">
        <w:rPr>
          <w:rFonts w:ascii="Times New Roman" w:hAnsi="Times New Roman" w:cs="Times New Roman"/>
          <w:sz w:val="24"/>
          <w:szCs w:val="24"/>
        </w:rPr>
        <w:t xml:space="preserve"> </w:t>
      </w:r>
      <w:r w:rsidRPr="00613BE1">
        <w:rPr>
          <w:rFonts w:ascii="Times New Roman" w:hAnsi="Times New Roman" w:cs="Times New Roman"/>
          <w:sz w:val="24"/>
          <w:szCs w:val="24"/>
        </w:rPr>
        <w:t xml:space="preserve">от 2 августа 2016 года № 209 «Об утверждении Положения о порядке взаимодействия регистрирующего органа и центрального банка </w:t>
      </w:r>
      <w:r w:rsidR="00AD7716">
        <w:rPr>
          <w:rFonts w:ascii="Times New Roman" w:hAnsi="Times New Roman" w:cs="Times New Roman"/>
          <w:sz w:val="24"/>
          <w:szCs w:val="24"/>
        </w:rPr>
        <w:t>Приднестровской Молдавской Республики</w:t>
      </w:r>
      <w:r w:rsidR="00AD7716" w:rsidRPr="00613BE1">
        <w:rPr>
          <w:rFonts w:ascii="Times New Roman" w:hAnsi="Times New Roman" w:cs="Times New Roman"/>
          <w:sz w:val="24"/>
          <w:szCs w:val="24"/>
        </w:rPr>
        <w:t xml:space="preserve"> </w:t>
      </w:r>
      <w:r w:rsidRPr="00613BE1">
        <w:rPr>
          <w:rFonts w:ascii="Times New Roman" w:hAnsi="Times New Roman" w:cs="Times New Roman"/>
          <w:sz w:val="24"/>
          <w:szCs w:val="24"/>
        </w:rPr>
        <w:t xml:space="preserve">по вопросам государственной регистрации кредитных организаций» Приднестровский республиканский банк совместно с Министерством юстиции </w:t>
      </w:r>
      <w:r w:rsidR="00AD7716">
        <w:rPr>
          <w:rFonts w:ascii="Times New Roman" w:hAnsi="Times New Roman" w:cs="Times New Roman"/>
          <w:sz w:val="24"/>
          <w:szCs w:val="24"/>
        </w:rPr>
        <w:t>Приднестровской Молдавской Республики</w:t>
      </w:r>
      <w:r w:rsidR="00AD7716" w:rsidRPr="00613BE1">
        <w:rPr>
          <w:rFonts w:ascii="Times New Roman" w:hAnsi="Times New Roman" w:cs="Times New Roman"/>
          <w:sz w:val="24"/>
          <w:szCs w:val="24"/>
        </w:rPr>
        <w:t xml:space="preserve"> </w:t>
      </w:r>
      <w:r w:rsidRPr="00613BE1">
        <w:rPr>
          <w:rFonts w:ascii="Times New Roman" w:hAnsi="Times New Roman" w:cs="Times New Roman"/>
          <w:sz w:val="24"/>
          <w:szCs w:val="24"/>
        </w:rPr>
        <w:t>продолжили</w:t>
      </w:r>
      <w:r w:rsidRPr="00A16909">
        <w:rPr>
          <w:rFonts w:ascii="Times New Roman" w:hAnsi="Times New Roman" w:cs="Times New Roman"/>
          <w:sz w:val="24"/>
          <w:szCs w:val="24"/>
        </w:rPr>
        <w:t xml:space="preserve"> тесное взаимодействие в части осуществления государственной регистрации и внесения в Государственный реестр юридических лиц сведений</w:t>
      </w:r>
      <w:r w:rsidR="00437AF9">
        <w:rPr>
          <w:rFonts w:ascii="Times New Roman" w:hAnsi="Times New Roman" w:cs="Times New Roman"/>
          <w:sz w:val="24"/>
          <w:szCs w:val="24"/>
        </w:rPr>
        <w:t>, касающихся</w:t>
      </w:r>
      <w:r w:rsidRPr="00A16909">
        <w:rPr>
          <w:rFonts w:ascii="Times New Roman" w:hAnsi="Times New Roman" w:cs="Times New Roman"/>
          <w:sz w:val="24"/>
          <w:szCs w:val="24"/>
        </w:rPr>
        <w:t xml:space="preserve"> </w:t>
      </w:r>
      <w:r w:rsidRPr="00474DB6">
        <w:rPr>
          <w:rFonts w:ascii="Times New Roman" w:hAnsi="Times New Roman" w:cs="Times New Roman"/>
          <w:sz w:val="24"/>
          <w:szCs w:val="24"/>
        </w:rPr>
        <w:t>изменений и дополнений в учредительные документы кредитных организаций.</w:t>
      </w:r>
    </w:p>
    <w:p w14:paraId="61911E64" w14:textId="0074F08B" w:rsidR="00EF13D3" w:rsidRPr="00474DB6" w:rsidRDefault="00EF13D3" w:rsidP="00EF13D3">
      <w:pPr>
        <w:spacing w:before="0" w:after="0" w:line="240" w:lineRule="auto"/>
        <w:ind w:firstLine="425"/>
        <w:jc w:val="both"/>
        <w:rPr>
          <w:rFonts w:ascii="Times New Roman" w:hAnsi="Times New Roman" w:cs="Times New Roman"/>
          <w:sz w:val="24"/>
          <w:szCs w:val="24"/>
        </w:rPr>
      </w:pPr>
      <w:r w:rsidRPr="00474DB6">
        <w:rPr>
          <w:rFonts w:ascii="Times New Roman" w:hAnsi="Times New Roman" w:cs="Times New Roman"/>
          <w:sz w:val="24"/>
          <w:szCs w:val="24"/>
        </w:rPr>
        <w:t xml:space="preserve">Во исполнение положений совместного Приказа Министерства юстиции </w:t>
      </w:r>
      <w:r w:rsidR="00AD7716">
        <w:rPr>
          <w:rFonts w:ascii="Times New Roman" w:hAnsi="Times New Roman" w:cs="Times New Roman"/>
          <w:sz w:val="24"/>
          <w:szCs w:val="24"/>
        </w:rPr>
        <w:t>Приднестровской Молдавской Республики</w:t>
      </w:r>
      <w:r w:rsidR="00AD7716" w:rsidRPr="00474DB6">
        <w:rPr>
          <w:rFonts w:ascii="Times New Roman" w:hAnsi="Times New Roman" w:cs="Times New Roman"/>
          <w:sz w:val="24"/>
          <w:szCs w:val="24"/>
        </w:rPr>
        <w:t xml:space="preserve"> </w:t>
      </w:r>
      <w:r w:rsidRPr="00474DB6">
        <w:rPr>
          <w:rFonts w:ascii="Times New Roman" w:hAnsi="Times New Roman" w:cs="Times New Roman"/>
          <w:sz w:val="24"/>
          <w:szCs w:val="24"/>
        </w:rPr>
        <w:t xml:space="preserve">и Приднестровского республиканского банка от </w:t>
      </w:r>
      <w:r w:rsidR="00AD7716">
        <w:rPr>
          <w:rFonts w:ascii="Times New Roman" w:hAnsi="Times New Roman" w:cs="Times New Roman"/>
          <w:sz w:val="24"/>
          <w:szCs w:val="24"/>
        </w:rPr>
        <w:br/>
      </w:r>
      <w:r w:rsidRPr="00474DB6">
        <w:rPr>
          <w:rFonts w:ascii="Times New Roman" w:hAnsi="Times New Roman" w:cs="Times New Roman"/>
          <w:sz w:val="24"/>
          <w:szCs w:val="24"/>
        </w:rPr>
        <w:t xml:space="preserve">28 июня 2010 года № 147/01-05/59 «О взаимодействии Министерства юстиции </w:t>
      </w:r>
      <w:r w:rsidR="00AD7716">
        <w:rPr>
          <w:rFonts w:ascii="Times New Roman" w:hAnsi="Times New Roman" w:cs="Times New Roman"/>
          <w:sz w:val="24"/>
          <w:szCs w:val="24"/>
        </w:rPr>
        <w:t>Приднестровской Молдавской Республики</w:t>
      </w:r>
      <w:r w:rsidR="00AD7716" w:rsidRPr="00474DB6">
        <w:rPr>
          <w:rFonts w:ascii="Times New Roman" w:hAnsi="Times New Roman" w:cs="Times New Roman"/>
          <w:sz w:val="24"/>
          <w:szCs w:val="24"/>
        </w:rPr>
        <w:t xml:space="preserve"> </w:t>
      </w:r>
      <w:r w:rsidRPr="00474DB6">
        <w:rPr>
          <w:rFonts w:ascii="Times New Roman" w:hAnsi="Times New Roman" w:cs="Times New Roman"/>
          <w:sz w:val="24"/>
          <w:szCs w:val="24"/>
        </w:rPr>
        <w:t xml:space="preserve">и Приднестровского республиканского банка по вопросам выдачи лицензий» направлялись в Министерство юстиции </w:t>
      </w:r>
      <w:r w:rsidR="00AD7716">
        <w:rPr>
          <w:rFonts w:ascii="Times New Roman" w:hAnsi="Times New Roman" w:cs="Times New Roman"/>
          <w:sz w:val="24"/>
          <w:szCs w:val="24"/>
        </w:rPr>
        <w:t>Приднестровской Молдавской Республики</w:t>
      </w:r>
      <w:r w:rsidR="00AD7716" w:rsidRPr="00474DB6">
        <w:rPr>
          <w:rFonts w:ascii="Times New Roman" w:hAnsi="Times New Roman" w:cs="Times New Roman"/>
          <w:sz w:val="24"/>
          <w:szCs w:val="24"/>
        </w:rPr>
        <w:t xml:space="preserve"> </w:t>
      </w:r>
      <w:r w:rsidRPr="00474DB6">
        <w:rPr>
          <w:rFonts w:ascii="Times New Roman" w:hAnsi="Times New Roman" w:cs="Times New Roman"/>
          <w:sz w:val="24"/>
          <w:szCs w:val="24"/>
        </w:rPr>
        <w:t>копии лицензий в связи с их переоформлением.</w:t>
      </w:r>
    </w:p>
    <w:p w14:paraId="1747C1B7" w14:textId="382B689E" w:rsidR="00EF13D3" w:rsidRPr="0017637E" w:rsidRDefault="00EF13D3" w:rsidP="00EF13D3">
      <w:pPr>
        <w:spacing w:before="0" w:after="0" w:line="240" w:lineRule="auto"/>
        <w:ind w:firstLine="425"/>
        <w:contextualSpacing/>
        <w:jc w:val="both"/>
        <w:rPr>
          <w:rFonts w:ascii="Times New Roman" w:hAnsi="Times New Roman" w:cs="Times New Roman"/>
          <w:strike/>
          <w:sz w:val="24"/>
          <w:szCs w:val="24"/>
        </w:rPr>
      </w:pPr>
      <w:r w:rsidRPr="00847DD5">
        <w:rPr>
          <w:rFonts w:ascii="Times New Roman" w:hAnsi="Times New Roman" w:cs="Times New Roman"/>
          <w:sz w:val="24"/>
          <w:szCs w:val="24"/>
        </w:rPr>
        <w:t>В рамках реализации Протокольного решения экспертных (рабочих) групп из Приднестровской Молдавской Республики и Республики Молдова по вопросам развития транспорта и дорожного хозяйства</w:t>
      </w:r>
      <w:r w:rsidR="00437AF9">
        <w:rPr>
          <w:rFonts w:ascii="Times New Roman" w:hAnsi="Times New Roman" w:cs="Times New Roman"/>
          <w:sz w:val="24"/>
          <w:szCs w:val="24"/>
        </w:rPr>
        <w:t>,</w:t>
      </w:r>
      <w:r w:rsidRPr="00847DD5">
        <w:rPr>
          <w:rFonts w:ascii="Times New Roman" w:hAnsi="Times New Roman" w:cs="Times New Roman"/>
          <w:sz w:val="24"/>
          <w:szCs w:val="24"/>
        </w:rPr>
        <w:t xml:space="preserve"> об участии транспортных средств из Приднестровья, не осуществляющих коммерческую деятельность в международном движении, </w:t>
      </w:r>
      <w:r w:rsidR="00437AF9">
        <w:rPr>
          <w:rFonts w:ascii="Times New Roman" w:hAnsi="Times New Roman" w:cs="Times New Roman"/>
          <w:sz w:val="24"/>
          <w:szCs w:val="24"/>
        </w:rPr>
        <w:t>Банк Приднестровья</w:t>
      </w:r>
      <w:r w:rsidRPr="00847DD5">
        <w:rPr>
          <w:rFonts w:ascii="Times New Roman" w:hAnsi="Times New Roman" w:cs="Times New Roman"/>
          <w:sz w:val="24"/>
          <w:szCs w:val="24"/>
        </w:rPr>
        <w:t xml:space="preserve"> продолжает сотрудничество </w:t>
      </w:r>
      <w:r w:rsidR="00437AF9">
        <w:rPr>
          <w:rFonts w:ascii="Times New Roman" w:hAnsi="Times New Roman" w:cs="Times New Roman"/>
          <w:sz w:val="24"/>
          <w:szCs w:val="24"/>
        </w:rPr>
        <w:t xml:space="preserve">в части </w:t>
      </w:r>
      <w:r w:rsidRPr="00847DD5">
        <w:rPr>
          <w:rFonts w:ascii="Times New Roman" w:hAnsi="Times New Roman" w:cs="Times New Roman"/>
          <w:sz w:val="24"/>
          <w:szCs w:val="24"/>
        </w:rPr>
        <w:t>оплат</w:t>
      </w:r>
      <w:r w:rsidR="00437AF9">
        <w:rPr>
          <w:rFonts w:ascii="Times New Roman" w:hAnsi="Times New Roman" w:cs="Times New Roman"/>
          <w:sz w:val="24"/>
          <w:szCs w:val="24"/>
        </w:rPr>
        <w:t>ы</w:t>
      </w:r>
      <w:r w:rsidRPr="00847DD5">
        <w:rPr>
          <w:rFonts w:ascii="Times New Roman" w:hAnsi="Times New Roman" w:cs="Times New Roman"/>
          <w:sz w:val="24"/>
          <w:szCs w:val="24"/>
        </w:rPr>
        <w:t xml:space="preserve"> услуг по регистрации </w:t>
      </w:r>
      <w:r w:rsidRPr="00847DD5">
        <w:rPr>
          <w:rFonts w:ascii="Times New Roman" w:hAnsi="Times New Roman" w:cs="Times New Roman"/>
          <w:sz w:val="24"/>
          <w:szCs w:val="24"/>
        </w:rPr>
        <w:lastRenderedPageBreak/>
        <w:t xml:space="preserve">транспортных средств в </w:t>
      </w:r>
      <w:r w:rsidRPr="00865B8F">
        <w:rPr>
          <w:rFonts w:ascii="Times New Roman" w:hAnsi="Times New Roman" w:cs="Times New Roman"/>
          <w:sz w:val="24"/>
          <w:szCs w:val="24"/>
        </w:rPr>
        <w:t xml:space="preserve">Пунктах регистрации транспортных средств </w:t>
      </w:r>
      <w:r w:rsidRPr="00847DD5">
        <w:rPr>
          <w:rFonts w:ascii="Times New Roman" w:hAnsi="Times New Roman" w:cs="Times New Roman"/>
          <w:sz w:val="24"/>
          <w:szCs w:val="24"/>
        </w:rPr>
        <w:t xml:space="preserve">через </w:t>
      </w:r>
      <w:r w:rsidRPr="0036079E">
        <w:rPr>
          <w:rFonts w:ascii="Times New Roman" w:hAnsi="Times New Roman" w:cs="Times New Roman"/>
          <w:sz w:val="24"/>
          <w:szCs w:val="24"/>
        </w:rPr>
        <w:t>Расчётно-кассовый центр г. Тирасполь, выступая посредником.</w:t>
      </w:r>
    </w:p>
    <w:p w14:paraId="36DF45B9" w14:textId="789C6096" w:rsidR="00EF13D3" w:rsidRPr="00613BE1" w:rsidRDefault="00EF13D3" w:rsidP="00EF13D3">
      <w:pPr>
        <w:spacing w:before="0" w:after="0" w:line="240" w:lineRule="auto"/>
        <w:ind w:firstLine="425"/>
        <w:jc w:val="both"/>
        <w:rPr>
          <w:rFonts w:ascii="Times New Roman" w:hAnsi="Times New Roman" w:cs="Times New Roman"/>
          <w:sz w:val="24"/>
          <w:szCs w:val="24"/>
        </w:rPr>
      </w:pPr>
      <w:r w:rsidRPr="00613BE1">
        <w:rPr>
          <w:rFonts w:ascii="Times New Roman" w:hAnsi="Times New Roman" w:cs="Times New Roman"/>
          <w:sz w:val="24"/>
          <w:szCs w:val="24"/>
        </w:rPr>
        <w:t xml:space="preserve">В процессе правового обеспечения деятельности </w:t>
      </w:r>
      <w:r w:rsidR="00437AF9">
        <w:rPr>
          <w:rFonts w:ascii="Times New Roman" w:hAnsi="Times New Roman" w:cs="Times New Roman"/>
          <w:sz w:val="24"/>
          <w:szCs w:val="24"/>
        </w:rPr>
        <w:t>Банка Приднестровья</w:t>
      </w:r>
      <w:r w:rsidRPr="00613BE1">
        <w:rPr>
          <w:rFonts w:ascii="Times New Roman" w:hAnsi="Times New Roman" w:cs="Times New Roman"/>
          <w:sz w:val="24"/>
          <w:szCs w:val="24"/>
        </w:rPr>
        <w:t xml:space="preserve"> рассматривались и направлялись в различные органы и организации письма разъяснительного характера и правовые заключения по вопросам, связанным с банковским законодательством, законодательством в сфере страхового дела, расчётов наличными денежными средствами, в том числе и по вопросам применения положений нормативных актов центрального банка. </w:t>
      </w:r>
    </w:p>
    <w:p w14:paraId="2E82A58C" w14:textId="77777777" w:rsidR="00EF13D3" w:rsidRPr="00907919" w:rsidRDefault="00EF13D3" w:rsidP="00EF13D3">
      <w:pPr>
        <w:spacing w:before="0" w:after="0" w:line="240" w:lineRule="auto"/>
        <w:ind w:firstLine="425"/>
        <w:jc w:val="both"/>
        <w:rPr>
          <w:rFonts w:ascii="Times New Roman" w:hAnsi="Times New Roman" w:cs="Times New Roman"/>
          <w:sz w:val="24"/>
          <w:szCs w:val="24"/>
        </w:rPr>
      </w:pPr>
      <w:r w:rsidRPr="00907919">
        <w:rPr>
          <w:rFonts w:ascii="Times New Roman" w:hAnsi="Times New Roman" w:cs="Times New Roman"/>
          <w:sz w:val="24"/>
          <w:szCs w:val="24"/>
        </w:rPr>
        <w:t>Сотрудники Приднестровского республиканского банка взаимодействовали с представителями Министерства экономического развития Приднестровской Молдавской Республики, Министерства финансов Приднестровской Молдавской Республики, Министерства юстиции Приднестровской Молдавской Республики, Государственной службы статистики Приднестровской Молдавской Республики, кредитных и страховых организаций по вопросам бухгалтерского учёта, бухгалтерской (финансовой) и статистической отчётности.</w:t>
      </w:r>
    </w:p>
    <w:p w14:paraId="6515AF71" w14:textId="17C459A5" w:rsidR="00EF13D3" w:rsidRDefault="00EF13D3" w:rsidP="00EF13D3">
      <w:pPr>
        <w:spacing w:before="0" w:after="0" w:line="240" w:lineRule="auto"/>
        <w:ind w:firstLine="425"/>
        <w:jc w:val="both"/>
        <w:rPr>
          <w:rFonts w:ascii="Times New Roman" w:hAnsi="Times New Roman" w:cs="Times New Roman"/>
          <w:sz w:val="24"/>
          <w:szCs w:val="24"/>
        </w:rPr>
      </w:pPr>
      <w:r w:rsidRPr="008662E5">
        <w:rPr>
          <w:rFonts w:ascii="Times New Roman" w:hAnsi="Times New Roman" w:cs="Times New Roman"/>
          <w:sz w:val="24"/>
          <w:szCs w:val="24"/>
        </w:rPr>
        <w:t>Кроме того, по поручениям Президента Приднестровской Молдавской Республики проводилась работа с обращениями граждан.</w:t>
      </w:r>
      <w:r w:rsidRPr="00170B9B">
        <w:rPr>
          <w:rFonts w:ascii="Times New Roman" w:hAnsi="Times New Roman" w:cs="Times New Roman"/>
          <w:sz w:val="24"/>
          <w:szCs w:val="24"/>
        </w:rPr>
        <w:t xml:space="preserve"> </w:t>
      </w:r>
    </w:p>
    <w:p w14:paraId="2182E25B" w14:textId="77777777" w:rsidR="004E5D20" w:rsidRDefault="004E5D20" w:rsidP="00EF13D3">
      <w:pPr>
        <w:spacing w:before="0" w:after="0" w:line="240" w:lineRule="auto"/>
        <w:ind w:firstLine="425"/>
        <w:jc w:val="both"/>
        <w:rPr>
          <w:rFonts w:ascii="Times New Roman" w:hAnsi="Times New Roman" w:cs="Times New Roman"/>
          <w:sz w:val="24"/>
          <w:szCs w:val="24"/>
        </w:rPr>
      </w:pPr>
    </w:p>
    <w:p w14:paraId="56BE13E4" w14:textId="77777777" w:rsidR="00EF13D3" w:rsidRPr="00520705" w:rsidRDefault="00EF13D3" w:rsidP="00EC7E6D">
      <w:pPr>
        <w:pStyle w:val="1"/>
        <w:widowControl w:val="0"/>
        <w:spacing w:before="0" w:line="240" w:lineRule="auto"/>
        <w:jc w:val="center"/>
        <w:rPr>
          <w:b/>
          <w:bCs/>
          <w:noProof/>
          <w:sz w:val="24"/>
          <w:szCs w:val="24"/>
        </w:rPr>
      </w:pPr>
      <w:r w:rsidRPr="00520705">
        <w:rPr>
          <w:b/>
          <w:bCs/>
          <w:noProof/>
          <w:sz w:val="24"/>
          <w:szCs w:val="24"/>
        </w:rPr>
        <w:t>2.10. ОРГАНИЗАЦИЯ ВНУТРЕННЕЙ ДЕЯТЕЛЬНОСТИ ПРИДНЕСТРОВСКОГО РЕСПУБЛИКАНСКОГО БАНКА</w:t>
      </w:r>
    </w:p>
    <w:p w14:paraId="550DE3E0" w14:textId="77777777" w:rsidR="00EF13D3" w:rsidRDefault="00EF13D3" w:rsidP="00EF13D3">
      <w:pPr>
        <w:spacing w:before="0" w:after="0" w:line="240" w:lineRule="auto"/>
        <w:ind w:firstLine="425"/>
        <w:jc w:val="both"/>
        <w:rPr>
          <w:rFonts w:ascii="Times New Roman" w:hAnsi="Times New Roman" w:cs="Times New Roman"/>
          <w:i/>
          <w:iCs/>
          <w:sz w:val="24"/>
          <w:szCs w:val="24"/>
        </w:rPr>
      </w:pPr>
    </w:p>
    <w:p w14:paraId="10EBDE3F" w14:textId="77777777" w:rsidR="00EF13D3" w:rsidRPr="00671A29" w:rsidRDefault="00EF13D3" w:rsidP="00EF13D3">
      <w:pPr>
        <w:pStyle w:val="2"/>
        <w:spacing w:before="0" w:line="240" w:lineRule="auto"/>
        <w:rPr>
          <w:b/>
          <w:noProof/>
        </w:rPr>
      </w:pPr>
      <w:r w:rsidRPr="00671A29">
        <w:rPr>
          <w:b/>
          <w:noProof/>
        </w:rPr>
        <w:t>Организационная структура банка, кадровое обеспечение и обучение персонала</w:t>
      </w:r>
    </w:p>
    <w:p w14:paraId="43B9D082"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4A80D8DA"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t xml:space="preserve">Основными задачами в области управления персоналом Приднестровского республиканского банка являются осуществление кадрового обеспечения деятельности банка, организация труда, контроль соблюдения правил внутреннего трудового распорядка, формирование профессионального кадрового состава. </w:t>
      </w:r>
    </w:p>
    <w:p w14:paraId="4C0C03ED"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t xml:space="preserve">В течение 2020 года проводились мероприятия по укомплектованию штата квалифицированными кадрами с целью более рационального выполнения задач и функций, возложенных на Приднестровский республиканский банк, продолжалась работа по совершенствованию организационной структуры банка, планомерному реформированию структурных подразделений. </w:t>
      </w:r>
    </w:p>
    <w:p w14:paraId="03FF880C" w14:textId="34230111"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t xml:space="preserve">На 1 января 2021 года в организационную структуру банка входило 10 управлений и </w:t>
      </w:r>
      <w:r w:rsidR="004216F3">
        <w:rPr>
          <w:rFonts w:ascii="Times New Roman" w:hAnsi="Times New Roman" w:cs="Times New Roman"/>
          <w:sz w:val="24"/>
          <w:szCs w:val="24"/>
        </w:rPr>
        <w:br/>
      </w:r>
      <w:r w:rsidRPr="00435EDF">
        <w:rPr>
          <w:rFonts w:ascii="Times New Roman" w:hAnsi="Times New Roman" w:cs="Times New Roman"/>
          <w:sz w:val="24"/>
          <w:szCs w:val="24"/>
        </w:rPr>
        <w:t xml:space="preserve">5 отделов прямого подчинения: </w:t>
      </w:r>
    </w:p>
    <w:p w14:paraId="7D12EBE1"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Управление макроэкономического анализа и регулирования денежного обращения;</w:t>
      </w:r>
    </w:p>
    <w:p w14:paraId="59F0076E" w14:textId="77777777" w:rsidR="00EF13D3" w:rsidRPr="00435EDF" w:rsidRDefault="00EF13D3" w:rsidP="00EF13D3">
      <w:pPr>
        <w:tabs>
          <w:tab w:val="left" w:pos="567"/>
        </w:tabs>
        <w:spacing w:before="0" w:after="0" w:line="240" w:lineRule="auto"/>
        <w:ind w:firstLine="426"/>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Управление банковского надзора и регулирования деятельности финансовых организаций; </w:t>
      </w:r>
    </w:p>
    <w:p w14:paraId="6859E7FE" w14:textId="77777777" w:rsidR="00EF13D3" w:rsidRPr="00435EDF" w:rsidRDefault="00EF13D3" w:rsidP="00EF13D3">
      <w:pPr>
        <w:spacing w:before="0" w:after="0" w:line="240" w:lineRule="auto"/>
        <w:ind w:firstLine="426"/>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Управление валютного регулирования и контроля; </w:t>
      </w:r>
    </w:p>
    <w:p w14:paraId="5C25DDBA"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Управление операций на финансовых рынках; </w:t>
      </w:r>
    </w:p>
    <w:p w14:paraId="33B81C56"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Управление информационных технологий; </w:t>
      </w:r>
    </w:p>
    <w:p w14:paraId="3923DB12"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Управление методологии бухгалтерского учёта контроля и отчётности; </w:t>
      </w:r>
    </w:p>
    <w:p w14:paraId="2F98147C"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Правовое управление; </w:t>
      </w:r>
    </w:p>
    <w:p w14:paraId="7856B5CE"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Управление бухгалтерского учёта; </w:t>
      </w:r>
    </w:p>
    <w:p w14:paraId="31899B18"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Операционное управление; </w:t>
      </w:r>
    </w:p>
    <w:p w14:paraId="070FB9EB"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Управление безопасности; </w:t>
      </w:r>
    </w:p>
    <w:p w14:paraId="015C29D1"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Отдел обеспечения производства денежных знаков; </w:t>
      </w:r>
    </w:p>
    <w:p w14:paraId="47BCE84E"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Отдел контроля и внутрибанковского аудита; </w:t>
      </w:r>
    </w:p>
    <w:p w14:paraId="3528C6B7"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Отдел оценки рисков; </w:t>
      </w:r>
    </w:p>
    <w:p w14:paraId="785C1944"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Отдел финансового мониторинга; </w:t>
      </w:r>
    </w:p>
    <w:p w14:paraId="00424E27"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lastRenderedPageBreak/>
        <w:sym w:font="Symbol" w:char="F02D"/>
      </w:r>
      <w:r w:rsidRPr="00435EDF">
        <w:rPr>
          <w:rFonts w:ascii="Times New Roman" w:hAnsi="Times New Roman" w:cs="Times New Roman"/>
          <w:sz w:val="24"/>
          <w:szCs w:val="24"/>
        </w:rPr>
        <w:t xml:space="preserve"> Отдел управления персоналом и документационного обеспечения. </w:t>
      </w:r>
    </w:p>
    <w:p w14:paraId="0ABCD8CE" w14:textId="77777777" w:rsidR="00EF13D3" w:rsidRPr="00613BE1"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t xml:space="preserve">Согласно решениям Оперативного штаба по предотвращению распространения коронавирусной инфекции, сначала треть персонала, а затем и половина сотрудников Банка была переведена на работу в удалённом режиме. При </w:t>
      </w:r>
      <w:r w:rsidRPr="00613BE1">
        <w:rPr>
          <w:rFonts w:ascii="Times New Roman" w:hAnsi="Times New Roman" w:cs="Times New Roman"/>
          <w:sz w:val="24"/>
          <w:szCs w:val="24"/>
        </w:rPr>
        <w:t>этом рабочий процесс был организован в дистанционном формате таким образом, чтобы работники Банка исполняли свои должностные обязанности в полном объёме.</w:t>
      </w:r>
    </w:p>
    <w:p w14:paraId="09D617E1" w14:textId="77777777" w:rsidR="00EF13D3" w:rsidRPr="00613BE1" w:rsidRDefault="00EF13D3" w:rsidP="00EF13D3">
      <w:pPr>
        <w:spacing w:before="0" w:after="0" w:line="240" w:lineRule="auto"/>
        <w:ind w:firstLine="425"/>
        <w:jc w:val="both"/>
        <w:rPr>
          <w:rFonts w:ascii="Times New Roman" w:hAnsi="Times New Roman" w:cs="Times New Roman"/>
          <w:sz w:val="24"/>
          <w:szCs w:val="24"/>
        </w:rPr>
      </w:pPr>
      <w:r w:rsidRPr="00613BE1">
        <w:rPr>
          <w:rFonts w:ascii="Times New Roman" w:hAnsi="Times New Roman" w:cs="Times New Roman"/>
          <w:sz w:val="24"/>
          <w:szCs w:val="24"/>
        </w:rPr>
        <w:t xml:space="preserve">В 2020 году приоритетными направлениями в работе с персоналом были: </w:t>
      </w:r>
    </w:p>
    <w:p w14:paraId="755EC7B3" w14:textId="77777777" w:rsidR="00EF13D3" w:rsidRPr="00613BE1" w:rsidRDefault="00EF13D3" w:rsidP="00EF13D3">
      <w:pPr>
        <w:spacing w:before="0" w:after="0" w:line="240" w:lineRule="auto"/>
        <w:ind w:firstLine="425"/>
        <w:jc w:val="both"/>
        <w:rPr>
          <w:rFonts w:ascii="Times New Roman" w:hAnsi="Times New Roman" w:cs="Times New Roman"/>
          <w:sz w:val="24"/>
          <w:szCs w:val="24"/>
        </w:rPr>
      </w:pPr>
      <w:r w:rsidRPr="00613BE1">
        <w:rPr>
          <w:rFonts w:ascii="Times New Roman" w:hAnsi="Times New Roman" w:cs="Times New Roman"/>
          <w:sz w:val="24"/>
          <w:szCs w:val="24"/>
        </w:rPr>
        <w:sym w:font="Symbol" w:char="F02D"/>
      </w:r>
      <w:r w:rsidRPr="00613BE1">
        <w:rPr>
          <w:rFonts w:ascii="Times New Roman" w:hAnsi="Times New Roman" w:cs="Times New Roman"/>
          <w:sz w:val="24"/>
          <w:szCs w:val="24"/>
        </w:rPr>
        <w:t xml:space="preserve"> оптимизация работы с кадровым составом структурных подразделений банка в условиях дистанционной работы; </w:t>
      </w:r>
    </w:p>
    <w:p w14:paraId="50201F15" w14:textId="492827FC" w:rsidR="00EF13D3" w:rsidRPr="00435EDF" w:rsidRDefault="00EF13D3" w:rsidP="00EF13D3">
      <w:pPr>
        <w:spacing w:before="0" w:after="0" w:line="240" w:lineRule="auto"/>
        <w:ind w:firstLine="425"/>
        <w:jc w:val="both"/>
        <w:rPr>
          <w:rFonts w:ascii="Times New Roman" w:hAnsi="Times New Roman" w:cs="Times New Roman"/>
          <w:sz w:val="24"/>
          <w:szCs w:val="24"/>
        </w:rPr>
      </w:pPr>
      <w:r w:rsidRPr="00613BE1">
        <w:rPr>
          <w:rFonts w:ascii="Times New Roman" w:hAnsi="Times New Roman" w:cs="Times New Roman"/>
          <w:sz w:val="24"/>
          <w:szCs w:val="24"/>
        </w:rPr>
        <w:sym w:font="Symbol" w:char="F02D"/>
      </w:r>
      <w:r w:rsidRPr="00613BE1">
        <w:rPr>
          <w:rFonts w:ascii="Times New Roman" w:hAnsi="Times New Roman" w:cs="Times New Roman"/>
          <w:sz w:val="24"/>
          <w:szCs w:val="24"/>
        </w:rPr>
        <w:t xml:space="preserve"> расстановка персонала с учётом профессионализма и личностного</w:t>
      </w:r>
      <w:r>
        <w:rPr>
          <w:rFonts w:ascii="Times New Roman" w:hAnsi="Times New Roman" w:cs="Times New Roman"/>
          <w:sz w:val="24"/>
          <w:szCs w:val="24"/>
        </w:rPr>
        <w:t xml:space="preserve"> </w:t>
      </w:r>
      <w:r w:rsidRPr="00613BE1">
        <w:rPr>
          <w:rFonts w:ascii="Times New Roman" w:hAnsi="Times New Roman" w:cs="Times New Roman"/>
          <w:sz w:val="24"/>
          <w:szCs w:val="24"/>
        </w:rPr>
        <w:t xml:space="preserve">потенциала работников для решения целей и задач, поставленных перед </w:t>
      </w:r>
      <w:r w:rsidR="00293C22">
        <w:rPr>
          <w:rFonts w:ascii="Times New Roman" w:hAnsi="Times New Roman" w:cs="Times New Roman"/>
          <w:sz w:val="24"/>
          <w:szCs w:val="24"/>
        </w:rPr>
        <w:t>ц</w:t>
      </w:r>
      <w:r w:rsidRPr="00613BE1">
        <w:rPr>
          <w:rFonts w:ascii="Times New Roman" w:hAnsi="Times New Roman" w:cs="Times New Roman"/>
          <w:sz w:val="24"/>
          <w:szCs w:val="24"/>
        </w:rPr>
        <w:t>ентральным банком в условиях</w:t>
      </w:r>
      <w:r w:rsidRPr="00435EDF">
        <w:rPr>
          <w:rFonts w:ascii="Times New Roman" w:hAnsi="Times New Roman" w:cs="Times New Roman"/>
          <w:sz w:val="24"/>
          <w:szCs w:val="24"/>
        </w:rPr>
        <w:t xml:space="preserve"> глобальной мировой пандемии; </w:t>
      </w:r>
    </w:p>
    <w:p w14:paraId="7B5541B7"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поддержание высокого уровня организационно-управленческой деятельности в подразделениях; </w:t>
      </w:r>
    </w:p>
    <w:p w14:paraId="10C70890" w14:textId="77777777" w:rsidR="00EF13D3" w:rsidRPr="00435EDF"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sym w:font="Symbol" w:char="F02D"/>
      </w:r>
      <w:r w:rsidRPr="00435EDF">
        <w:rPr>
          <w:rFonts w:ascii="Times New Roman" w:hAnsi="Times New Roman" w:cs="Times New Roman"/>
          <w:sz w:val="24"/>
          <w:szCs w:val="24"/>
        </w:rPr>
        <w:t xml:space="preserve"> сохранение эффективности труда в условиях дистанционной работы. </w:t>
      </w:r>
    </w:p>
    <w:p w14:paraId="3EA03230" w14:textId="6BB2057F" w:rsidR="00EF13D3" w:rsidRPr="00170B9B" w:rsidRDefault="00EF13D3" w:rsidP="00EF13D3">
      <w:pPr>
        <w:spacing w:before="0" w:after="0" w:line="240" w:lineRule="auto"/>
        <w:ind w:firstLine="425"/>
        <w:jc w:val="both"/>
        <w:rPr>
          <w:rFonts w:ascii="Times New Roman" w:hAnsi="Times New Roman" w:cs="Times New Roman"/>
          <w:sz w:val="24"/>
          <w:szCs w:val="24"/>
        </w:rPr>
      </w:pPr>
      <w:r w:rsidRPr="00435EDF">
        <w:rPr>
          <w:rFonts w:ascii="Times New Roman" w:hAnsi="Times New Roman" w:cs="Times New Roman"/>
          <w:sz w:val="24"/>
          <w:szCs w:val="24"/>
        </w:rPr>
        <w:t xml:space="preserve">Общая численность работающих в Приднестровском республиканском банке на 1 января 2021 года </w:t>
      </w:r>
      <w:r w:rsidRPr="00102C6E">
        <w:rPr>
          <w:rFonts w:ascii="Times New Roman" w:hAnsi="Times New Roman" w:cs="Times New Roman"/>
          <w:sz w:val="24"/>
          <w:szCs w:val="24"/>
        </w:rPr>
        <w:t xml:space="preserve">составила 185 человек. У 19% сотрудников стаж работы в банке составляет более </w:t>
      </w:r>
      <w:r w:rsidR="004216F3">
        <w:rPr>
          <w:rFonts w:ascii="Times New Roman" w:hAnsi="Times New Roman" w:cs="Times New Roman"/>
          <w:sz w:val="24"/>
          <w:szCs w:val="24"/>
        </w:rPr>
        <w:br/>
      </w:r>
      <w:r w:rsidRPr="00102C6E">
        <w:rPr>
          <w:rFonts w:ascii="Times New Roman" w:hAnsi="Times New Roman" w:cs="Times New Roman"/>
          <w:sz w:val="24"/>
          <w:szCs w:val="24"/>
        </w:rPr>
        <w:t>20 лет, у 14% – от 15 до 20 лет, у 22% – от 10 до 15 лет, у 15% – от 5 до 10 лет и у 30% – менее 5 лет.</w:t>
      </w:r>
    </w:p>
    <w:p w14:paraId="22B225EB" w14:textId="66C5ACA9" w:rsidR="00EF13D3" w:rsidRDefault="00EF13D3" w:rsidP="00EF13D3">
      <w:pPr>
        <w:spacing w:before="0" w:after="0" w:line="240" w:lineRule="auto"/>
        <w:ind w:firstLine="425"/>
        <w:jc w:val="both"/>
        <w:rPr>
          <w:rFonts w:ascii="Times New Roman" w:hAnsi="Times New Roman" w:cs="Times New Roman"/>
          <w:sz w:val="24"/>
          <w:szCs w:val="24"/>
        </w:rPr>
      </w:pPr>
    </w:p>
    <w:p w14:paraId="276570FA" w14:textId="77777777" w:rsidR="00EF13D3" w:rsidRPr="00671A29" w:rsidRDefault="00EF13D3" w:rsidP="00822F2A">
      <w:pPr>
        <w:pStyle w:val="2"/>
        <w:spacing w:before="0" w:line="240" w:lineRule="auto"/>
        <w:jc w:val="center"/>
        <w:rPr>
          <w:b/>
          <w:noProof/>
        </w:rPr>
      </w:pPr>
      <w:r w:rsidRPr="00671A29">
        <w:rPr>
          <w:b/>
          <w:noProof/>
        </w:rPr>
        <w:t>Техническое обеспечение</w:t>
      </w:r>
    </w:p>
    <w:p w14:paraId="79AC0108" w14:textId="77777777" w:rsidR="00EF13D3" w:rsidRDefault="00EF13D3" w:rsidP="00822F2A">
      <w:pPr>
        <w:pStyle w:val="8f4506aa708e2a26msolistparagraph"/>
        <w:spacing w:before="0" w:beforeAutospacing="0" w:after="0" w:afterAutospacing="0"/>
        <w:ind w:firstLine="357"/>
        <w:jc w:val="center"/>
        <w:rPr>
          <w:rFonts w:eastAsiaTheme="minorEastAsia"/>
        </w:rPr>
      </w:pPr>
    </w:p>
    <w:p w14:paraId="56B0846B" w14:textId="77777777" w:rsidR="00EF13D3" w:rsidRPr="00CE162B" w:rsidRDefault="00EF13D3" w:rsidP="00EF13D3">
      <w:pPr>
        <w:pStyle w:val="8f4506aa708e2a26msolistparagraph"/>
        <w:spacing w:before="0" w:beforeAutospacing="0" w:after="0" w:afterAutospacing="0"/>
        <w:ind w:firstLine="357"/>
        <w:jc w:val="both"/>
        <w:rPr>
          <w:rFonts w:eastAsiaTheme="minorEastAsia"/>
        </w:rPr>
      </w:pPr>
      <w:r w:rsidRPr="00CE162B">
        <w:rPr>
          <w:rFonts w:eastAsiaTheme="minorEastAsia"/>
        </w:rPr>
        <w:t>В 2020 году специалистами Приднестровского республиканского банка был проведён ряд мероприятий, направленных на повышение уровня технического обеспечения банка</w:t>
      </w:r>
      <w:r>
        <w:rPr>
          <w:rFonts w:eastAsiaTheme="minorEastAsia"/>
        </w:rPr>
        <w:t>:</w:t>
      </w:r>
    </w:p>
    <w:p w14:paraId="4CD4E818" w14:textId="77777777" w:rsidR="00EF13D3" w:rsidRPr="00CE162B" w:rsidRDefault="00EF13D3" w:rsidP="00EF13D3">
      <w:pPr>
        <w:pStyle w:val="8f4506aa708e2a26msolistparagraph"/>
        <w:tabs>
          <w:tab w:val="left" w:pos="567"/>
        </w:tabs>
        <w:spacing w:before="120" w:beforeAutospacing="0" w:after="0" w:afterAutospacing="0"/>
        <w:ind w:firstLine="357"/>
        <w:rPr>
          <w:rFonts w:eastAsiaTheme="minorEastAsia"/>
        </w:rPr>
      </w:pPr>
      <w:r w:rsidRPr="00CE162B">
        <w:rPr>
          <w:rFonts w:eastAsiaTheme="minorEastAsia"/>
        </w:rPr>
        <w:t>1.</w:t>
      </w:r>
      <w:r>
        <w:rPr>
          <w:rFonts w:eastAsiaTheme="minorEastAsia"/>
        </w:rPr>
        <w:t xml:space="preserve"> о</w:t>
      </w:r>
      <w:r w:rsidRPr="00CE162B">
        <w:rPr>
          <w:rFonts w:eastAsiaTheme="minorEastAsia"/>
        </w:rPr>
        <w:t>птимизация и модернизация сетевой инфраструктуры ПРБ</w:t>
      </w:r>
      <w:r>
        <w:rPr>
          <w:rFonts w:eastAsiaTheme="minorEastAsia"/>
        </w:rPr>
        <w:t>;</w:t>
      </w:r>
    </w:p>
    <w:p w14:paraId="1ED8B7CA" w14:textId="77777777" w:rsidR="00EF13D3" w:rsidRPr="00CE162B" w:rsidRDefault="00EF13D3" w:rsidP="00EF13D3">
      <w:pPr>
        <w:pStyle w:val="8f4506aa708e2a26msolistparagraph"/>
        <w:tabs>
          <w:tab w:val="left" w:pos="567"/>
        </w:tabs>
        <w:spacing w:before="0" w:beforeAutospacing="0" w:after="0" w:afterAutospacing="0"/>
        <w:ind w:left="567" w:hanging="210"/>
        <w:jc w:val="both"/>
        <w:rPr>
          <w:rFonts w:eastAsiaTheme="minorEastAsia"/>
        </w:rPr>
      </w:pPr>
      <w:r w:rsidRPr="00CE162B">
        <w:rPr>
          <w:rFonts w:eastAsiaTheme="minorEastAsia"/>
        </w:rPr>
        <w:t>2.</w:t>
      </w:r>
      <w:r>
        <w:rPr>
          <w:rFonts w:eastAsiaTheme="minorEastAsia"/>
        </w:rPr>
        <w:t> м</w:t>
      </w:r>
      <w:r w:rsidRPr="00CE162B">
        <w:rPr>
          <w:rFonts w:eastAsiaTheme="minorEastAsia"/>
        </w:rPr>
        <w:t>одернизация и автоматизация систем резервного копирования и хранения данных ПРБ</w:t>
      </w:r>
      <w:r>
        <w:rPr>
          <w:rFonts w:eastAsiaTheme="minorEastAsia"/>
        </w:rPr>
        <w:t>;</w:t>
      </w:r>
    </w:p>
    <w:p w14:paraId="7B0F7667" w14:textId="77777777" w:rsidR="00EF13D3" w:rsidRPr="00CE162B" w:rsidRDefault="00EF13D3" w:rsidP="00EF13D3">
      <w:pPr>
        <w:pStyle w:val="8f4506aa708e2a26msolistparagraph"/>
        <w:tabs>
          <w:tab w:val="left" w:pos="567"/>
        </w:tabs>
        <w:spacing w:before="0" w:beforeAutospacing="0" w:after="0" w:afterAutospacing="0"/>
        <w:ind w:firstLine="357"/>
        <w:rPr>
          <w:rFonts w:eastAsiaTheme="minorEastAsia"/>
        </w:rPr>
      </w:pPr>
      <w:r w:rsidRPr="00CE162B">
        <w:rPr>
          <w:rFonts w:eastAsiaTheme="minorEastAsia"/>
        </w:rPr>
        <w:t>3.</w:t>
      </w:r>
      <w:r>
        <w:rPr>
          <w:rFonts w:eastAsiaTheme="minorEastAsia"/>
        </w:rPr>
        <w:t> в</w:t>
      </w:r>
      <w:r w:rsidRPr="00CE162B">
        <w:rPr>
          <w:rFonts w:eastAsiaTheme="minorEastAsia"/>
        </w:rPr>
        <w:t>недрение технологий контроля доступа к локальной вычислительной сети ПРБ</w:t>
      </w:r>
      <w:r>
        <w:rPr>
          <w:rFonts w:eastAsiaTheme="minorEastAsia"/>
        </w:rPr>
        <w:t>;</w:t>
      </w:r>
    </w:p>
    <w:p w14:paraId="1B3E4C33" w14:textId="77777777" w:rsidR="00EF13D3" w:rsidRPr="00CE162B" w:rsidRDefault="00EF13D3" w:rsidP="00EF13D3">
      <w:pPr>
        <w:pStyle w:val="8f4506aa708e2a26msolistparagraph"/>
        <w:tabs>
          <w:tab w:val="left" w:pos="567"/>
        </w:tabs>
        <w:spacing w:before="0" w:beforeAutospacing="0" w:after="0" w:afterAutospacing="0"/>
        <w:ind w:firstLine="357"/>
        <w:rPr>
          <w:rFonts w:eastAsiaTheme="minorEastAsia"/>
        </w:rPr>
      </w:pPr>
      <w:r w:rsidRPr="00CE162B">
        <w:rPr>
          <w:rFonts w:eastAsiaTheme="minorEastAsia"/>
        </w:rPr>
        <w:t>4.</w:t>
      </w:r>
      <w:r>
        <w:rPr>
          <w:rFonts w:eastAsiaTheme="minorEastAsia"/>
        </w:rPr>
        <w:t> м</w:t>
      </w:r>
      <w:r w:rsidRPr="00CE162B">
        <w:rPr>
          <w:rFonts w:eastAsiaTheme="minorEastAsia"/>
        </w:rPr>
        <w:t>одернизация системы внутреннего эл</w:t>
      </w:r>
      <w:r>
        <w:rPr>
          <w:rFonts w:eastAsiaTheme="minorEastAsia"/>
        </w:rPr>
        <w:t>ектронного документооборота ПРБ;</w:t>
      </w:r>
    </w:p>
    <w:p w14:paraId="3FFE00E4" w14:textId="77777777" w:rsidR="00EF13D3" w:rsidRPr="00CE162B" w:rsidRDefault="00EF13D3" w:rsidP="00EF13D3">
      <w:pPr>
        <w:pStyle w:val="8f4506aa708e2a26msolistparagraph"/>
        <w:tabs>
          <w:tab w:val="left" w:pos="567"/>
        </w:tabs>
        <w:spacing w:before="0" w:beforeAutospacing="0" w:after="0" w:afterAutospacing="0"/>
        <w:ind w:firstLine="357"/>
        <w:rPr>
          <w:rFonts w:eastAsiaTheme="minorEastAsia"/>
        </w:rPr>
      </w:pPr>
      <w:r w:rsidRPr="00CE162B">
        <w:rPr>
          <w:rFonts w:eastAsiaTheme="minorEastAsia"/>
        </w:rPr>
        <w:t>5.</w:t>
      </w:r>
      <w:r>
        <w:rPr>
          <w:rFonts w:eastAsiaTheme="minorEastAsia"/>
        </w:rPr>
        <w:t> в</w:t>
      </w:r>
      <w:r w:rsidRPr="00CE162B">
        <w:rPr>
          <w:rFonts w:eastAsiaTheme="minorEastAsia"/>
        </w:rPr>
        <w:t>недрение систем</w:t>
      </w:r>
      <w:r>
        <w:rPr>
          <w:rFonts w:eastAsiaTheme="minorEastAsia"/>
        </w:rPr>
        <w:t>ы двухфакторной авторизации ПРБ;</w:t>
      </w:r>
    </w:p>
    <w:p w14:paraId="0E7505CB" w14:textId="77777777" w:rsidR="00EF13D3" w:rsidRPr="00CE162B" w:rsidRDefault="00EF13D3" w:rsidP="00EF13D3">
      <w:pPr>
        <w:pStyle w:val="8f4506aa708e2a26msolistparagraph"/>
        <w:tabs>
          <w:tab w:val="left" w:pos="567"/>
        </w:tabs>
        <w:spacing w:before="0" w:beforeAutospacing="0" w:after="0" w:afterAutospacing="0"/>
        <w:ind w:firstLine="357"/>
        <w:rPr>
          <w:rFonts w:eastAsiaTheme="minorEastAsia"/>
        </w:rPr>
      </w:pPr>
      <w:r w:rsidRPr="00CE162B">
        <w:rPr>
          <w:rFonts w:eastAsiaTheme="minorEastAsia"/>
        </w:rPr>
        <w:t>6.</w:t>
      </w:r>
      <w:r>
        <w:rPr>
          <w:rFonts w:eastAsiaTheme="minorEastAsia"/>
        </w:rPr>
        <w:t> о</w:t>
      </w:r>
      <w:r w:rsidRPr="00CE162B">
        <w:rPr>
          <w:rFonts w:eastAsiaTheme="minorEastAsia"/>
        </w:rPr>
        <w:t>птимизация использования ресурсов и расходных матер</w:t>
      </w:r>
      <w:r>
        <w:rPr>
          <w:rFonts w:eastAsiaTheme="minorEastAsia"/>
        </w:rPr>
        <w:t>иалов;</w:t>
      </w:r>
    </w:p>
    <w:p w14:paraId="3A6C03DB" w14:textId="77777777" w:rsidR="00EF13D3" w:rsidRPr="00CE162B" w:rsidRDefault="00EF13D3" w:rsidP="00EF13D3">
      <w:pPr>
        <w:pStyle w:val="8f4506aa708e2a26msolistparagraph"/>
        <w:tabs>
          <w:tab w:val="left" w:pos="567"/>
        </w:tabs>
        <w:spacing w:before="0" w:beforeAutospacing="0" w:after="0" w:afterAutospacing="0"/>
        <w:ind w:firstLine="357"/>
        <w:rPr>
          <w:rFonts w:eastAsiaTheme="minorEastAsia"/>
        </w:rPr>
      </w:pPr>
      <w:r w:rsidRPr="00CE162B">
        <w:rPr>
          <w:rFonts w:eastAsiaTheme="minorEastAsia"/>
        </w:rPr>
        <w:t>7.</w:t>
      </w:r>
      <w:r>
        <w:rPr>
          <w:rFonts w:eastAsiaTheme="minorEastAsia"/>
        </w:rPr>
        <w:t> в</w:t>
      </w:r>
      <w:r w:rsidRPr="00CE162B">
        <w:rPr>
          <w:rFonts w:eastAsiaTheme="minorEastAsia"/>
        </w:rPr>
        <w:t>недрение и оптимизация систем корпоративных коммуникаций</w:t>
      </w:r>
      <w:r>
        <w:rPr>
          <w:rFonts w:eastAsiaTheme="minorEastAsia"/>
        </w:rPr>
        <w:t>;</w:t>
      </w:r>
    </w:p>
    <w:p w14:paraId="5CDCAA7E" w14:textId="77777777" w:rsidR="00EF13D3" w:rsidRPr="00CE162B" w:rsidRDefault="00EF13D3" w:rsidP="00EF13D3">
      <w:pPr>
        <w:pStyle w:val="8f4506aa708e2a26msolistparagraph"/>
        <w:tabs>
          <w:tab w:val="left" w:pos="567"/>
        </w:tabs>
        <w:spacing w:before="0" w:beforeAutospacing="0" w:after="0" w:afterAutospacing="0"/>
        <w:ind w:firstLine="357"/>
        <w:rPr>
          <w:rFonts w:eastAsiaTheme="minorEastAsia"/>
        </w:rPr>
      </w:pPr>
      <w:r w:rsidRPr="00CE162B">
        <w:rPr>
          <w:rFonts w:eastAsiaTheme="minorEastAsia"/>
        </w:rPr>
        <w:t>8.</w:t>
      </w:r>
      <w:r>
        <w:rPr>
          <w:rFonts w:eastAsiaTheme="minorEastAsia"/>
        </w:rPr>
        <w:t> о</w:t>
      </w:r>
      <w:r w:rsidRPr="00CE162B">
        <w:rPr>
          <w:rFonts w:eastAsiaTheme="minorEastAsia"/>
        </w:rPr>
        <w:t>бновление парка компьютерной техники.</w:t>
      </w:r>
    </w:p>
    <w:p w14:paraId="18859DFC" w14:textId="77777777" w:rsidR="00EF13D3" w:rsidRDefault="00EF13D3" w:rsidP="00EF13D3">
      <w:pPr>
        <w:spacing w:before="0"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Данные мероприятия позволили не только повысить техническую оснащённость и продуктивность работы, но и обеспечить более высокий уровень безопасности информационной системы банка.</w:t>
      </w:r>
    </w:p>
    <w:p w14:paraId="590A89D6" w14:textId="77777777" w:rsidR="00EF13D3" w:rsidRPr="007D1E7F" w:rsidRDefault="00EF13D3" w:rsidP="00EF13D3">
      <w:pPr>
        <w:spacing w:before="0" w:after="0" w:line="240" w:lineRule="auto"/>
        <w:ind w:firstLine="425"/>
        <w:jc w:val="both"/>
        <w:rPr>
          <w:rFonts w:ascii="Times New Roman" w:hAnsi="Times New Roman" w:cs="Times New Roman"/>
          <w:sz w:val="24"/>
          <w:szCs w:val="24"/>
        </w:rPr>
      </w:pPr>
    </w:p>
    <w:p w14:paraId="0456C6EA" w14:textId="77777777" w:rsidR="00EF13D3" w:rsidRPr="00300048" w:rsidRDefault="00EF13D3" w:rsidP="00822F2A">
      <w:pPr>
        <w:pStyle w:val="2"/>
        <w:spacing w:before="0" w:line="240" w:lineRule="auto"/>
        <w:jc w:val="center"/>
        <w:rPr>
          <w:b/>
          <w:noProof/>
        </w:rPr>
      </w:pPr>
      <w:r w:rsidRPr="00300048">
        <w:rPr>
          <w:b/>
          <w:noProof/>
        </w:rPr>
        <w:t>Совершенствование законодательства. Претензионно-исковая работа</w:t>
      </w:r>
    </w:p>
    <w:p w14:paraId="1019AF44" w14:textId="77777777" w:rsidR="00EF13D3" w:rsidRDefault="00EF13D3" w:rsidP="00EF13D3">
      <w:pPr>
        <w:spacing w:before="0" w:after="0" w:line="240" w:lineRule="auto"/>
        <w:ind w:firstLine="425"/>
        <w:jc w:val="both"/>
        <w:rPr>
          <w:rFonts w:ascii="Times New Roman" w:hAnsi="Times New Roman" w:cs="Times New Roman"/>
          <w:bCs/>
          <w:sz w:val="24"/>
          <w:szCs w:val="24"/>
        </w:rPr>
      </w:pPr>
    </w:p>
    <w:p w14:paraId="44657648" w14:textId="77777777" w:rsidR="00EF13D3" w:rsidRPr="00CE162B" w:rsidRDefault="00EF13D3" w:rsidP="00EF13D3">
      <w:pPr>
        <w:spacing w:before="0" w:after="0" w:line="240" w:lineRule="auto"/>
        <w:ind w:firstLine="425"/>
        <w:jc w:val="both"/>
        <w:rPr>
          <w:rFonts w:ascii="Times New Roman" w:hAnsi="Times New Roman" w:cs="Times New Roman"/>
          <w:bCs/>
          <w:sz w:val="24"/>
          <w:szCs w:val="24"/>
        </w:rPr>
      </w:pPr>
      <w:r w:rsidRPr="00CE162B">
        <w:rPr>
          <w:rFonts w:ascii="Times New Roman" w:hAnsi="Times New Roman" w:cs="Times New Roman"/>
          <w:bCs/>
          <w:sz w:val="24"/>
          <w:szCs w:val="24"/>
        </w:rPr>
        <w:t xml:space="preserve">В целях правового обеспечения деятельности в 2020 году Приднестровским республиканским банком проводилась работа по совершенствованию банковского, валютного, страхового законодательства, законодательства в сфере противодействия легализации (отмыванию) доходов, полученных незаконным путем, а также правовое урегулирование микрофинансовой деятельности.  </w:t>
      </w:r>
    </w:p>
    <w:p w14:paraId="037772F0"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Приоритетными направлениями нормативного регулирования в 2020 году были:</w:t>
      </w:r>
    </w:p>
    <w:p w14:paraId="18811F4E"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 поддержка и укрепление финансового сектора </w:t>
      </w:r>
      <w:r>
        <w:rPr>
          <w:rFonts w:ascii="Times New Roman" w:hAnsi="Times New Roman" w:cs="Times New Roman"/>
          <w:sz w:val="24"/>
          <w:szCs w:val="24"/>
        </w:rPr>
        <w:t xml:space="preserve">и экономики </w:t>
      </w:r>
      <w:r w:rsidRPr="00CE162B">
        <w:rPr>
          <w:rFonts w:ascii="Times New Roman" w:hAnsi="Times New Roman" w:cs="Times New Roman"/>
          <w:sz w:val="24"/>
          <w:szCs w:val="24"/>
        </w:rPr>
        <w:t xml:space="preserve">в целях предотвращения кризисных явлений, в том числе обусловленных влиянием ограничительных мер, </w:t>
      </w:r>
      <w:r w:rsidRPr="00CE162B">
        <w:rPr>
          <w:rFonts w:ascii="Times New Roman" w:hAnsi="Times New Roman" w:cs="Times New Roman"/>
          <w:sz w:val="24"/>
          <w:szCs w:val="24"/>
        </w:rPr>
        <w:lastRenderedPageBreak/>
        <w:t>направленных на предотвращение распространения коронавирусной инфекции, вызванной новым типом вируса COVID-19, в 2020 году;</w:t>
      </w:r>
    </w:p>
    <w:p w14:paraId="2C9ABD11"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адаптация законодательных и нормативных актов, касающихся страховой деятельности, к локальным потребностям и существующим условиям;</w:t>
      </w:r>
    </w:p>
    <w:p w14:paraId="475404D3"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разработка и принятие нормативной базы в целях обеспечения регулирования и контроля за микрофинансовой деятельностью и микрофинансовыми организациями;</w:t>
      </w:r>
    </w:p>
    <w:p w14:paraId="7D49EFB6"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продолжение реализации общегосударственной стратегии увеличения доли безналичных платежей в республике.</w:t>
      </w:r>
    </w:p>
    <w:p w14:paraId="187E09E3" w14:textId="7C7E4765" w:rsidR="00EF13D3" w:rsidRPr="00CE162B" w:rsidRDefault="00EF13D3" w:rsidP="00EF13D3">
      <w:pPr>
        <w:spacing w:before="0" w:after="0" w:line="240" w:lineRule="auto"/>
        <w:ind w:firstLine="425"/>
        <w:jc w:val="both"/>
        <w:rPr>
          <w:rFonts w:ascii="Times New Roman" w:hAnsi="Times New Roman" w:cs="Times New Roman"/>
          <w:bCs/>
          <w:sz w:val="24"/>
          <w:szCs w:val="24"/>
        </w:rPr>
      </w:pPr>
      <w:r w:rsidRPr="00CE162B">
        <w:rPr>
          <w:rFonts w:ascii="Times New Roman" w:hAnsi="Times New Roman" w:cs="Times New Roman"/>
          <w:bCs/>
          <w:sz w:val="24"/>
          <w:szCs w:val="24"/>
        </w:rPr>
        <w:t xml:space="preserve">В 2020 году работа по совершенствованию валютного законодательства осуществлялась посредством участия в разработке законодательных актов, а также нормативных актов Приднестровского республиканского банка. В целях устранения противоречия части первой пункта 1 Статьи 2 Закона Приднестровской Молдавской Республики от 6 июня 1995 года </w:t>
      </w:r>
      <w:r w:rsidR="004216F3">
        <w:rPr>
          <w:rFonts w:ascii="Times New Roman" w:hAnsi="Times New Roman" w:cs="Times New Roman"/>
          <w:bCs/>
          <w:sz w:val="24"/>
          <w:szCs w:val="24"/>
        </w:rPr>
        <w:br/>
      </w:r>
      <w:r w:rsidRPr="00CE162B">
        <w:rPr>
          <w:rFonts w:ascii="Times New Roman" w:hAnsi="Times New Roman" w:cs="Times New Roman"/>
          <w:bCs/>
          <w:sz w:val="24"/>
          <w:szCs w:val="24"/>
        </w:rPr>
        <w:t xml:space="preserve">«О валютном регулировании и валютном контроле» (СЗМР 95-2) нормами Закона Приднестровской Молдавской Республики от 2 ноября 2020 года № 180-ЗИД-VI «О внесении изменений 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коронавирусной инфекции, вызванной новым типом вируса COVID-19, в 2020 году» хозяйствующим субъектам было предоставлено право приобретать иностранную валюту на внутреннем валютном рынке Приднестровской Молдавской Республики в порядке, установленном действующим законодательством Приднестровской Молдавской Республики, для погашения беспроцентных займов, предоставленных Фондом государственного резерва Приднестровской Молдавской Республики в рамках указанного Закона для выплаты заработной платы. </w:t>
      </w:r>
    </w:p>
    <w:p w14:paraId="364E0B2E" w14:textId="77777777" w:rsidR="00EF13D3" w:rsidRPr="00CE162B" w:rsidRDefault="00EF13D3" w:rsidP="00EF13D3">
      <w:pPr>
        <w:spacing w:before="0" w:after="0" w:line="240" w:lineRule="auto"/>
        <w:ind w:firstLine="425"/>
        <w:jc w:val="both"/>
        <w:rPr>
          <w:rFonts w:ascii="Times New Roman" w:hAnsi="Times New Roman" w:cs="Times New Roman"/>
          <w:bCs/>
          <w:sz w:val="24"/>
          <w:szCs w:val="24"/>
        </w:rPr>
      </w:pPr>
      <w:r w:rsidRPr="00CE162B">
        <w:rPr>
          <w:rFonts w:ascii="Times New Roman" w:hAnsi="Times New Roman" w:cs="Times New Roman"/>
          <w:bCs/>
          <w:sz w:val="24"/>
          <w:szCs w:val="24"/>
        </w:rPr>
        <w:t>В отчётном году также осуществлялась работа по совершенствованию методологической базы по бухгалтерскому учёту и финансовой отчётности как кредитных организаций, так и Приднестровского республиканского банка. Сотрудники Приднестровского республиканского банка по вопросам бухгалтерского учёта и финансовой отчётности взаимодействовали с представителями Министерства экономического развития Приднестровской Молдавской Республики, Министерства финансов Приднестровской Молдавской Республики, Министерства юстиции Приднестровской Молдавской Республики, кредитных и страховых организаций.</w:t>
      </w:r>
    </w:p>
    <w:p w14:paraId="6B0FA2A6" w14:textId="7940E8BA"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В связи с </w:t>
      </w:r>
      <w:r w:rsidRPr="00707371">
        <w:rPr>
          <w:rFonts w:ascii="Times New Roman" w:hAnsi="Times New Roman" w:cs="Times New Roman"/>
          <w:sz w:val="24"/>
          <w:szCs w:val="24"/>
        </w:rPr>
        <w:t xml:space="preserve">введением </w:t>
      </w:r>
      <w:r w:rsidRPr="00102C6E">
        <w:rPr>
          <w:rFonts w:ascii="Times New Roman" w:hAnsi="Times New Roman" w:cs="Times New Roman"/>
          <w:sz w:val="24"/>
          <w:szCs w:val="24"/>
        </w:rPr>
        <w:t xml:space="preserve">чрезвычайного положения на территории Приднестровской Молдавской Республики (Указ Президента Приднестровской Молдавской Республики от </w:t>
      </w:r>
      <w:r w:rsidR="004216F3">
        <w:rPr>
          <w:rFonts w:ascii="Times New Roman" w:hAnsi="Times New Roman" w:cs="Times New Roman"/>
          <w:sz w:val="24"/>
          <w:szCs w:val="24"/>
        </w:rPr>
        <w:br/>
      </w:r>
      <w:r w:rsidRPr="00102C6E">
        <w:rPr>
          <w:rFonts w:ascii="Times New Roman" w:hAnsi="Times New Roman" w:cs="Times New Roman"/>
          <w:sz w:val="24"/>
          <w:szCs w:val="24"/>
        </w:rPr>
        <w:t>16 марта 2020 года № 98)</w:t>
      </w:r>
      <w:r>
        <w:rPr>
          <w:rFonts w:ascii="Times New Roman" w:hAnsi="Times New Roman" w:cs="Times New Roman"/>
          <w:sz w:val="24"/>
          <w:szCs w:val="24"/>
        </w:rPr>
        <w:t xml:space="preserve"> </w:t>
      </w:r>
      <w:r w:rsidRPr="00CE162B">
        <w:rPr>
          <w:rFonts w:ascii="Times New Roman" w:hAnsi="Times New Roman" w:cs="Times New Roman"/>
          <w:sz w:val="24"/>
          <w:szCs w:val="24"/>
        </w:rPr>
        <w:t xml:space="preserve">нормотворческая деятельность Приднестровского республиканского банка  была скорректирована  и дополнена мероприятиями по разработке, согласованию и сопровождению </w:t>
      </w:r>
      <w:r w:rsidR="00826D60">
        <w:rPr>
          <w:rFonts w:ascii="Times New Roman" w:hAnsi="Times New Roman" w:cs="Times New Roman"/>
          <w:sz w:val="24"/>
          <w:szCs w:val="24"/>
        </w:rPr>
        <w:t xml:space="preserve">целого ряда нормативных актов, </w:t>
      </w:r>
      <w:r w:rsidRPr="00CE162B">
        <w:rPr>
          <w:rFonts w:ascii="Times New Roman" w:hAnsi="Times New Roman" w:cs="Times New Roman"/>
          <w:sz w:val="24"/>
          <w:szCs w:val="24"/>
        </w:rPr>
        <w:t>связанных с реализацией комплекса мер</w:t>
      </w:r>
      <w:r w:rsidRPr="00102C6E">
        <w:rPr>
          <w:rFonts w:ascii="Times New Roman" w:hAnsi="Times New Roman" w:cs="Times New Roman"/>
          <w:sz w:val="24"/>
          <w:szCs w:val="24"/>
        </w:rPr>
        <w:t>,</w:t>
      </w:r>
      <w:r w:rsidRPr="00CE162B">
        <w:rPr>
          <w:rFonts w:ascii="Times New Roman" w:hAnsi="Times New Roman" w:cs="Times New Roman"/>
          <w:sz w:val="24"/>
          <w:szCs w:val="24"/>
        </w:rPr>
        <w:t xml:space="preserve"> </w:t>
      </w:r>
      <w:r w:rsidR="00826D60">
        <w:rPr>
          <w:rFonts w:ascii="Times New Roman" w:hAnsi="Times New Roman" w:cs="Times New Roman"/>
          <w:sz w:val="24"/>
          <w:szCs w:val="24"/>
        </w:rPr>
        <w:t>о</w:t>
      </w:r>
      <w:r w:rsidR="00826D60" w:rsidRPr="00826D60">
        <w:rPr>
          <w:rFonts w:ascii="Times New Roman" w:hAnsi="Times New Roman" w:cs="Times New Roman"/>
          <w:sz w:val="24"/>
          <w:szCs w:val="24"/>
        </w:rPr>
        <w:t xml:space="preserve">существляемых </w:t>
      </w:r>
      <w:r w:rsidRPr="00CE162B">
        <w:rPr>
          <w:rFonts w:ascii="Times New Roman" w:hAnsi="Times New Roman" w:cs="Times New Roman"/>
          <w:sz w:val="24"/>
          <w:szCs w:val="24"/>
        </w:rPr>
        <w:t xml:space="preserve">государством </w:t>
      </w:r>
      <w:r w:rsidRPr="00102C6E">
        <w:rPr>
          <w:rFonts w:ascii="Times New Roman" w:hAnsi="Times New Roman" w:cs="Times New Roman"/>
          <w:sz w:val="24"/>
          <w:szCs w:val="24"/>
        </w:rPr>
        <w:t>в целях предотвращения</w:t>
      </w:r>
      <w:r w:rsidRPr="00CE162B">
        <w:rPr>
          <w:rFonts w:ascii="Times New Roman" w:hAnsi="Times New Roman" w:cs="Times New Roman"/>
          <w:sz w:val="24"/>
          <w:szCs w:val="24"/>
        </w:rPr>
        <w:t xml:space="preserve"> угрозы распространения на территории Приднестровской Молдавской Республики коронавирусной инфекции, вызванной новым типом вируса COVID-19</w:t>
      </w:r>
      <w:r w:rsidR="00826D60">
        <w:rPr>
          <w:rFonts w:ascii="Times New Roman" w:hAnsi="Times New Roman" w:cs="Times New Roman"/>
          <w:sz w:val="24"/>
          <w:szCs w:val="24"/>
        </w:rPr>
        <w:t>,</w:t>
      </w:r>
      <w:r w:rsidRPr="00CE162B">
        <w:rPr>
          <w:rFonts w:ascii="Times New Roman" w:hAnsi="Times New Roman" w:cs="Times New Roman"/>
          <w:sz w:val="24"/>
          <w:szCs w:val="24"/>
        </w:rPr>
        <w:t xml:space="preserve"> и по поддержанию хозяйствующих субъектов Республики и граждан в условиях чрезвычайного положения.</w:t>
      </w:r>
    </w:p>
    <w:p w14:paraId="51DFAA52" w14:textId="3776D5E4" w:rsidR="00EF13D3" w:rsidRPr="00CE162B" w:rsidRDefault="00826D60" w:rsidP="00EF13D3">
      <w:pPr>
        <w:spacing w:before="0" w:after="0" w:line="240" w:lineRule="auto"/>
        <w:ind w:firstLine="425"/>
        <w:jc w:val="both"/>
        <w:rPr>
          <w:rFonts w:ascii="Times New Roman" w:hAnsi="Times New Roman" w:cs="Times New Roman"/>
          <w:sz w:val="24"/>
          <w:szCs w:val="24"/>
        </w:rPr>
      </w:pPr>
      <w:r w:rsidRPr="00826D60">
        <w:rPr>
          <w:rFonts w:ascii="Times New Roman" w:hAnsi="Times New Roman" w:cs="Times New Roman"/>
          <w:sz w:val="24"/>
          <w:szCs w:val="24"/>
        </w:rPr>
        <w:t>Всего за отчётный год Приднестровским республиканским банком было разработано и (или) согласовано 7 проектов Законов Приднестровской Молдавской Республики, 18 проектов Постановлений Правительства Приднестровской Молдавской Республики, 2 проекта Распоряжения Президента Приднестровской Молдавской Республики, 26 проектов Распоряжений Правительства Приднестровской Молдавской Республики.</w:t>
      </w:r>
    </w:p>
    <w:p w14:paraId="0C95FAE9"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В 2020 году Приднестровский республиканский банк принимал участие в двух судебных процессах. </w:t>
      </w:r>
    </w:p>
    <w:p w14:paraId="70C77E6E"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p>
    <w:p w14:paraId="304A2E3C" w14:textId="77777777" w:rsidR="00EF13D3" w:rsidRPr="00CE162B" w:rsidRDefault="00EF13D3" w:rsidP="00822F2A">
      <w:pPr>
        <w:pStyle w:val="2"/>
        <w:spacing w:before="0" w:line="240" w:lineRule="auto"/>
        <w:jc w:val="center"/>
        <w:rPr>
          <w:b/>
          <w:noProof/>
        </w:rPr>
      </w:pPr>
      <w:r w:rsidRPr="00CE162B">
        <w:rPr>
          <w:b/>
          <w:noProof/>
        </w:rPr>
        <w:lastRenderedPageBreak/>
        <w:t>Управление рисками банковских операций</w:t>
      </w:r>
    </w:p>
    <w:p w14:paraId="28DC7968"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p>
    <w:p w14:paraId="2D2A5ACE" w14:textId="77777777" w:rsidR="00EF13D3" w:rsidRPr="00954C4A"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В 2020 году Приднестровским республиканским банком проводилась работа по подготовке к внедрению </w:t>
      </w:r>
      <w:r w:rsidRPr="00954C4A">
        <w:rPr>
          <w:rFonts w:ascii="Times New Roman" w:hAnsi="Times New Roman" w:cs="Times New Roman"/>
          <w:sz w:val="24"/>
          <w:szCs w:val="24"/>
        </w:rPr>
        <w:t xml:space="preserve">процессного подхода в части финансирования риска по операциям Приднестровского республиканского банка, в соответствии с нормативным актом, регламентирующим порядок формирования (восстановления) и использования Приднестровским республиканским банком резервов на возможные потери. </w:t>
      </w:r>
    </w:p>
    <w:p w14:paraId="4CEA6A60" w14:textId="0AEE9F58" w:rsidR="00EF13D3" w:rsidRDefault="00EF13D3" w:rsidP="00EF13D3">
      <w:pPr>
        <w:spacing w:before="0" w:after="0" w:line="240" w:lineRule="auto"/>
        <w:ind w:firstLine="425"/>
        <w:jc w:val="both"/>
        <w:rPr>
          <w:rFonts w:ascii="Times New Roman" w:hAnsi="Times New Roman" w:cs="Times New Roman"/>
          <w:sz w:val="24"/>
          <w:szCs w:val="24"/>
        </w:rPr>
      </w:pPr>
      <w:r w:rsidRPr="00954C4A">
        <w:rPr>
          <w:rFonts w:ascii="Times New Roman" w:hAnsi="Times New Roman" w:cs="Times New Roman"/>
          <w:sz w:val="24"/>
          <w:szCs w:val="24"/>
        </w:rPr>
        <w:t xml:space="preserve">Банк также </w:t>
      </w:r>
      <w:r>
        <w:rPr>
          <w:rFonts w:ascii="Times New Roman" w:hAnsi="Times New Roman" w:cs="Times New Roman"/>
          <w:sz w:val="24"/>
          <w:szCs w:val="24"/>
        </w:rPr>
        <w:t>успешно</w:t>
      </w:r>
      <w:r w:rsidRPr="00954C4A">
        <w:rPr>
          <w:rFonts w:ascii="Times New Roman" w:hAnsi="Times New Roman" w:cs="Times New Roman"/>
          <w:sz w:val="24"/>
          <w:szCs w:val="24"/>
        </w:rPr>
        <w:t xml:space="preserve"> использова</w:t>
      </w:r>
      <w:r>
        <w:rPr>
          <w:rFonts w:ascii="Times New Roman" w:hAnsi="Times New Roman" w:cs="Times New Roman"/>
          <w:sz w:val="24"/>
          <w:szCs w:val="24"/>
        </w:rPr>
        <w:t>л</w:t>
      </w:r>
      <w:r w:rsidRPr="00954C4A">
        <w:rPr>
          <w:rFonts w:ascii="Times New Roman" w:hAnsi="Times New Roman" w:cs="Times New Roman"/>
          <w:sz w:val="24"/>
          <w:szCs w:val="24"/>
        </w:rPr>
        <w:t xml:space="preserve"> методик</w:t>
      </w:r>
      <w:r>
        <w:rPr>
          <w:rFonts w:ascii="Times New Roman" w:hAnsi="Times New Roman" w:cs="Times New Roman"/>
          <w:sz w:val="24"/>
          <w:szCs w:val="24"/>
        </w:rPr>
        <w:t>и</w:t>
      </w:r>
      <w:r w:rsidRPr="00CE162B">
        <w:rPr>
          <w:rFonts w:ascii="Times New Roman" w:hAnsi="Times New Roman" w:cs="Times New Roman"/>
          <w:sz w:val="24"/>
          <w:szCs w:val="24"/>
        </w:rPr>
        <w:t xml:space="preserve"> определения и установления лимитов на межбанковские операции в качестве инструмента ограничения (снижения) уровня риска. </w:t>
      </w:r>
    </w:p>
    <w:p w14:paraId="7F63A983" w14:textId="77777777" w:rsidR="00EC7E6D" w:rsidRPr="00CE162B" w:rsidRDefault="00EC7E6D" w:rsidP="00EF13D3">
      <w:pPr>
        <w:spacing w:before="0" w:after="0" w:line="240" w:lineRule="auto"/>
        <w:ind w:firstLine="425"/>
        <w:jc w:val="both"/>
        <w:rPr>
          <w:rFonts w:ascii="Times New Roman" w:hAnsi="Times New Roman" w:cs="Times New Roman"/>
          <w:sz w:val="24"/>
          <w:szCs w:val="24"/>
        </w:rPr>
      </w:pPr>
    </w:p>
    <w:p w14:paraId="757E382A" w14:textId="77777777" w:rsidR="00EF13D3" w:rsidRPr="00CE162B" w:rsidRDefault="00EF13D3" w:rsidP="00822F2A">
      <w:pPr>
        <w:pStyle w:val="2"/>
        <w:spacing w:before="0" w:line="240" w:lineRule="auto"/>
        <w:jc w:val="center"/>
        <w:rPr>
          <w:b/>
          <w:noProof/>
        </w:rPr>
      </w:pPr>
      <w:r w:rsidRPr="00CE162B">
        <w:rPr>
          <w:b/>
          <w:noProof/>
        </w:rPr>
        <w:t>Контроль и внутренний аудит</w:t>
      </w:r>
    </w:p>
    <w:p w14:paraId="063DA377"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p>
    <w:p w14:paraId="05B4B79E"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В 2020 году система внутреннего контроля и аудита была ориентирована на содействие эффективной реализации целей и выполнение функций Приднестровского республиканского банка посредством предоставления руководству банка независимой и объективной информации о деятельности банка и рекомендаций по результатам осуществления аудиторских проверок.</w:t>
      </w:r>
    </w:p>
    <w:p w14:paraId="00F4E266"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В 2020 году был проведен аудит основных направлений деятельности Приднестровского республиканского банка. В ходе проведения внутреннего аудита акцентировалось внимание на выявлении потенциальных рисков и системных проблем в работе банка.</w:t>
      </w:r>
    </w:p>
    <w:p w14:paraId="4D9E06CC"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За отчётный год отделом контроля и внутрибанковского аудита было проведено </w:t>
      </w:r>
      <w:r w:rsidRPr="00CE162B">
        <w:rPr>
          <w:rFonts w:ascii="Times New Roman" w:hAnsi="Times New Roman" w:cs="Times New Roman"/>
          <w:sz w:val="24"/>
          <w:szCs w:val="24"/>
        </w:rPr>
        <w:br/>
        <w:t xml:space="preserve">12 плановых тематических проверок по различным направлениям деятельности Приднестровского республиканского банка. </w:t>
      </w:r>
    </w:p>
    <w:p w14:paraId="42778C3D" w14:textId="77777777" w:rsidR="00EF13D3" w:rsidRPr="0036079E"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Объектом аудита в отчётном году стала деятельность отдельных структурных подразделений, а также коллегиальных органов Приднестровского республиканского банка</w:t>
      </w:r>
      <w:r>
        <w:rPr>
          <w:rFonts w:ascii="Times New Roman" w:hAnsi="Times New Roman" w:cs="Times New Roman"/>
          <w:sz w:val="24"/>
          <w:szCs w:val="24"/>
        </w:rPr>
        <w:t>.</w:t>
      </w:r>
    </w:p>
    <w:p w14:paraId="7F4BD414"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Внутреннему аудиту подверглись вопросы реализации функций Приднестровского республиканского банка в сфере валютного регулирования и контроля, регулирования и контроля (надзора) в сфере страховой деятельности (страхового дела), обслуживания счетов республиканского бюджета и внебюджетных фондов, а также обеспечения функционирования Приднестровского республиканского банка в части организации бухгалтерского учёта, правильности составления отчётности, организации кадрового делопроизводства, оформления материальной ответственности, исполнения гражданско-правовых договоров.</w:t>
      </w:r>
    </w:p>
    <w:p w14:paraId="1B13EDE4"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Целью аудиторских проверок являлось </w:t>
      </w:r>
      <w:r w:rsidRPr="00954C4A">
        <w:rPr>
          <w:rFonts w:ascii="Times New Roman" w:hAnsi="Times New Roman" w:cs="Times New Roman"/>
          <w:sz w:val="24"/>
          <w:szCs w:val="24"/>
        </w:rPr>
        <w:t>определение норм законодательства, наиболее подверженных риску несоблюдения, а также устранение недочётов в оформлении образующихся в работе банка документов.</w:t>
      </w:r>
      <w:r w:rsidRPr="00CE162B">
        <w:rPr>
          <w:rFonts w:ascii="Times New Roman" w:hAnsi="Times New Roman" w:cs="Times New Roman"/>
          <w:sz w:val="24"/>
          <w:szCs w:val="24"/>
        </w:rPr>
        <w:t xml:space="preserve"> </w:t>
      </w:r>
    </w:p>
    <w:p w14:paraId="669A0996"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С учётом результатов аудиторских проверок и рекомендаций отдела контроля и внутрибанковского аудита в целях минимизации рисков в деятельности Приднестровского республиканского банка вносились изменения в нормативные акты, дорабатывалось программное обеспечение, оптимизировалась работа структурных подразделений, система внутреннего контроля и управления рисками. </w:t>
      </w:r>
    </w:p>
    <w:p w14:paraId="3E6E9D74" w14:textId="77777777" w:rsidR="00EF13D3" w:rsidRPr="006A17C5"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Результаты внутреннего аудита в целом подтверждают выполнение объектами аудита возложенных на них функций и соблюдение требований законодательства Приднестровской Молдавской Республики, нормативных и иных актов Приднестровского республиканского банка, соответствие системы внутреннего контроля и управления рисками характеру совершаемых операций.</w:t>
      </w:r>
    </w:p>
    <w:p w14:paraId="349B3C70" w14:textId="71AE0F73" w:rsidR="00EF13D3" w:rsidRDefault="00EF13D3" w:rsidP="00EF13D3">
      <w:pPr>
        <w:spacing w:before="0" w:after="0" w:line="240" w:lineRule="auto"/>
        <w:ind w:firstLine="425"/>
        <w:jc w:val="both"/>
        <w:rPr>
          <w:rFonts w:ascii="Times New Roman" w:hAnsi="Times New Roman" w:cs="Times New Roman"/>
          <w:sz w:val="24"/>
          <w:szCs w:val="24"/>
        </w:rPr>
      </w:pPr>
    </w:p>
    <w:p w14:paraId="3D93AC48" w14:textId="027B5512" w:rsidR="007829B4" w:rsidRDefault="007829B4" w:rsidP="00EF13D3">
      <w:pPr>
        <w:spacing w:before="0" w:after="0" w:line="240" w:lineRule="auto"/>
        <w:ind w:firstLine="425"/>
        <w:jc w:val="both"/>
        <w:rPr>
          <w:rFonts w:ascii="Times New Roman" w:hAnsi="Times New Roman" w:cs="Times New Roman"/>
          <w:sz w:val="24"/>
          <w:szCs w:val="24"/>
        </w:rPr>
      </w:pPr>
    </w:p>
    <w:p w14:paraId="507B35EE" w14:textId="77777777" w:rsidR="007829B4" w:rsidRPr="00170B9B" w:rsidRDefault="007829B4" w:rsidP="00EF13D3">
      <w:pPr>
        <w:spacing w:before="0" w:after="0" w:line="240" w:lineRule="auto"/>
        <w:ind w:firstLine="425"/>
        <w:jc w:val="both"/>
        <w:rPr>
          <w:rFonts w:ascii="Times New Roman" w:hAnsi="Times New Roman" w:cs="Times New Roman"/>
          <w:sz w:val="24"/>
          <w:szCs w:val="24"/>
        </w:rPr>
      </w:pPr>
    </w:p>
    <w:p w14:paraId="426A7199" w14:textId="77777777" w:rsidR="00EF13D3" w:rsidRPr="00671A29" w:rsidRDefault="00EF13D3" w:rsidP="00822F2A">
      <w:pPr>
        <w:pStyle w:val="2"/>
        <w:spacing w:before="0" w:line="240" w:lineRule="auto"/>
        <w:jc w:val="center"/>
        <w:rPr>
          <w:b/>
          <w:noProof/>
        </w:rPr>
      </w:pPr>
      <w:r w:rsidRPr="00671A29">
        <w:rPr>
          <w:b/>
          <w:noProof/>
        </w:rPr>
        <w:lastRenderedPageBreak/>
        <w:t>Информационно-разъяснительная деятельность</w:t>
      </w:r>
    </w:p>
    <w:p w14:paraId="0894DD6B" w14:textId="77777777" w:rsidR="00EF13D3" w:rsidRDefault="00EF13D3" w:rsidP="00EF13D3">
      <w:pPr>
        <w:spacing w:before="0" w:after="0" w:line="240" w:lineRule="auto"/>
        <w:ind w:firstLine="425"/>
        <w:jc w:val="both"/>
        <w:rPr>
          <w:rFonts w:ascii="Times New Roman" w:hAnsi="Times New Roman" w:cs="Times New Roman"/>
          <w:sz w:val="24"/>
          <w:szCs w:val="24"/>
        </w:rPr>
      </w:pPr>
    </w:p>
    <w:p w14:paraId="51FEF563"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Для освещения деятельности Приднестровского республиканского банка в части реализации основных задач и функций в течение отчётного года проводилась большая информационно-разъяснительная работа, прежде всего, посредством размещения информации на официальном сайте банка. За год количество пресс-релизов и новост</w:t>
      </w:r>
      <w:r>
        <w:rPr>
          <w:rFonts w:ascii="Times New Roman" w:hAnsi="Times New Roman" w:cs="Times New Roman"/>
          <w:sz w:val="24"/>
          <w:szCs w:val="24"/>
        </w:rPr>
        <w:t>ных сообщений</w:t>
      </w:r>
      <w:r w:rsidRPr="00CE162B">
        <w:rPr>
          <w:rFonts w:ascii="Times New Roman" w:hAnsi="Times New Roman" w:cs="Times New Roman"/>
          <w:sz w:val="24"/>
          <w:szCs w:val="24"/>
        </w:rPr>
        <w:t xml:space="preserve"> превысило 250 публикаций.</w:t>
      </w:r>
    </w:p>
    <w:p w14:paraId="3D18B48D" w14:textId="666CD37C"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Отдельно проводилась активная работа совместно со средствами массовой информации по информированию общественности о деятельности </w:t>
      </w:r>
      <w:r w:rsidR="00D645E6">
        <w:rPr>
          <w:rFonts w:ascii="Times New Roman" w:hAnsi="Times New Roman" w:cs="Times New Roman"/>
          <w:sz w:val="24"/>
          <w:szCs w:val="24"/>
        </w:rPr>
        <w:t>ц</w:t>
      </w:r>
      <w:r w:rsidRPr="00CE162B">
        <w:rPr>
          <w:rFonts w:ascii="Times New Roman" w:hAnsi="Times New Roman" w:cs="Times New Roman"/>
          <w:sz w:val="24"/>
          <w:szCs w:val="24"/>
        </w:rPr>
        <w:t>ентрального банка. За отчётный период в газете «Приднестровье» были размещены более 20 пресс-релизов и информационных статей различной тематики, более 10 – на сайте информационного агентства «Новости Приднестровья». Руководство и представители Приднестровского республиканского банка неоднократно принимали участие в качестве экспертов в передачах экономической тематики на «Первом Приднестровском телеканале» и «Телевидении свободного выбора», а также на «Радио 1».</w:t>
      </w:r>
    </w:p>
    <w:p w14:paraId="77D35A0A"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В 2020 году Приднестровским республиканским банком освещались в средствах массовой информации вопросы развития безналичных расчётов путём публикаций информационных сообщений. Данная деятельность направлена на популяризацию использования в расчётах современных электронных платёжных инструментов и средств платежа, систем дистанционного банковского обслуживания.</w:t>
      </w:r>
    </w:p>
    <w:p w14:paraId="02322327"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Большая работа проводилась в сфере информирования как в печатных и электронных изданиях, так и на приднестровском телевидении о выпускаемых банком памятных монетах и банкнотах. Кроме того, для их популяризации на российском рынке продолжено сотрудничество с журналом «Водяной знак», выпускаемом при информационной поддержке Министерства финансов Российской Федерации, Банка России и ФГУП «Гознак», а также с российским нумизматическим порталом «Золотой червонец». </w:t>
      </w:r>
    </w:p>
    <w:p w14:paraId="587B49D6" w14:textId="3926B181"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Также в отчётном периоде продолжилось многолетнее сотрудничество </w:t>
      </w:r>
      <w:r w:rsidR="00293C22">
        <w:rPr>
          <w:rFonts w:ascii="Times New Roman" w:hAnsi="Times New Roman" w:cs="Times New Roman"/>
          <w:sz w:val="24"/>
          <w:szCs w:val="24"/>
        </w:rPr>
        <w:t>ц</w:t>
      </w:r>
      <w:r w:rsidRPr="00CE162B">
        <w:rPr>
          <w:rFonts w:ascii="Times New Roman" w:hAnsi="Times New Roman" w:cs="Times New Roman"/>
          <w:sz w:val="24"/>
          <w:szCs w:val="24"/>
        </w:rPr>
        <w:t>ентрального банка с Каталогом «MRI Bankers`</w:t>
      </w:r>
      <w:r>
        <w:rPr>
          <w:rFonts w:ascii="Times New Roman" w:hAnsi="Times New Roman" w:cs="Times New Roman"/>
          <w:sz w:val="24"/>
          <w:szCs w:val="24"/>
        </w:rPr>
        <w:t xml:space="preserve"> </w:t>
      </w:r>
      <w:r w:rsidRPr="00CE162B">
        <w:rPr>
          <w:rFonts w:ascii="Times New Roman" w:hAnsi="Times New Roman" w:cs="Times New Roman"/>
          <w:sz w:val="24"/>
          <w:szCs w:val="24"/>
        </w:rPr>
        <w:t>Guide to Foreign Currency Edition» (Института исследования денежных отношений и иностранных валют) г. Хьюстон (США). На его страницах в прошедшем году регулярно публиковалась актуальная информация о монетах и банкнотах Приднестровской Молдавской Республики.</w:t>
      </w:r>
    </w:p>
    <w:p w14:paraId="0CCC7934" w14:textId="54CC7B4E"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Традиционно </w:t>
      </w:r>
      <w:r w:rsidR="00293C22">
        <w:rPr>
          <w:rFonts w:ascii="Times New Roman" w:hAnsi="Times New Roman" w:cs="Times New Roman"/>
          <w:sz w:val="24"/>
          <w:szCs w:val="24"/>
        </w:rPr>
        <w:t>ц</w:t>
      </w:r>
      <w:r w:rsidRPr="00CE162B">
        <w:rPr>
          <w:rFonts w:ascii="Times New Roman" w:hAnsi="Times New Roman" w:cs="Times New Roman"/>
          <w:sz w:val="24"/>
          <w:szCs w:val="24"/>
        </w:rPr>
        <w:t xml:space="preserve">ентральным банком проводился конкурс на лучшие эскизные проекты памятных монет. Для получения необходимых консультаций при разработке эскизов памятных монет и буклетов было инициировано сотрудничество с </w:t>
      </w:r>
      <w:r w:rsidR="00826D60">
        <w:rPr>
          <w:rFonts w:ascii="Times New Roman" w:hAnsi="Times New Roman" w:cs="Times New Roman"/>
          <w:sz w:val="24"/>
          <w:szCs w:val="24"/>
        </w:rPr>
        <w:t>м</w:t>
      </w:r>
      <w:r w:rsidRPr="00CE162B">
        <w:rPr>
          <w:rFonts w:ascii="Times New Roman" w:hAnsi="Times New Roman" w:cs="Times New Roman"/>
          <w:sz w:val="24"/>
          <w:szCs w:val="24"/>
        </w:rPr>
        <w:t xml:space="preserve">инистерствами и ведомствами Приднестровской Молдавской Республики, </w:t>
      </w:r>
      <w:r w:rsidR="00826D60">
        <w:rPr>
          <w:rFonts w:ascii="Times New Roman" w:hAnsi="Times New Roman" w:cs="Times New Roman"/>
          <w:sz w:val="24"/>
          <w:szCs w:val="24"/>
        </w:rPr>
        <w:t>г</w:t>
      </w:r>
      <w:r w:rsidRPr="00CE162B">
        <w:rPr>
          <w:rFonts w:ascii="Times New Roman" w:hAnsi="Times New Roman" w:cs="Times New Roman"/>
          <w:sz w:val="24"/>
          <w:szCs w:val="24"/>
        </w:rPr>
        <w:t xml:space="preserve">лавами государственных администраций городов и районов, а также с общественными организациями республики и Тираспольско-Дубоссарской епархией. </w:t>
      </w:r>
    </w:p>
    <w:p w14:paraId="1B527DEF" w14:textId="77777777" w:rsidR="00EF13D3" w:rsidRPr="00CE162B"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В 2020 году продолжилась публикация информационно-аналитического журнала «Вестник Приднестровского республиканского банка», в котором размещались наиболее актуальные и подробные аналитические материалы о состоянии и развитии банковской системы Приднестровской Молдавской Республики, </w:t>
      </w:r>
      <w:r w:rsidRPr="004F5D29">
        <w:rPr>
          <w:rFonts w:ascii="Times New Roman" w:hAnsi="Times New Roman" w:cs="Times New Roman"/>
          <w:sz w:val="24"/>
          <w:szCs w:val="24"/>
        </w:rPr>
        <w:t>финансовой</w:t>
      </w:r>
      <w:r w:rsidRPr="00CE162B">
        <w:rPr>
          <w:rFonts w:ascii="Times New Roman" w:hAnsi="Times New Roman" w:cs="Times New Roman"/>
          <w:sz w:val="24"/>
          <w:szCs w:val="24"/>
        </w:rPr>
        <w:t xml:space="preserve"> сферы, отражалась ситуация в основных секторах экономики, публиковались результаты макроэкономических исследований, мониторинга предприятий республики, данные платёжного баланса, банковская статистика и другая обзорная информация.</w:t>
      </w:r>
    </w:p>
    <w:p w14:paraId="46B5FC96" w14:textId="28829FE3" w:rsidR="004E5D20" w:rsidRDefault="00EF13D3" w:rsidP="00EF13D3">
      <w:pPr>
        <w:spacing w:before="0" w:after="0" w:line="240" w:lineRule="auto"/>
        <w:ind w:firstLine="425"/>
        <w:jc w:val="both"/>
        <w:rPr>
          <w:rFonts w:ascii="Times New Roman" w:hAnsi="Times New Roman" w:cs="Times New Roman"/>
          <w:sz w:val="24"/>
          <w:szCs w:val="24"/>
        </w:rPr>
      </w:pPr>
      <w:r w:rsidRPr="00CE162B">
        <w:rPr>
          <w:rFonts w:ascii="Times New Roman" w:hAnsi="Times New Roman" w:cs="Times New Roman"/>
          <w:sz w:val="24"/>
          <w:szCs w:val="24"/>
        </w:rPr>
        <w:t xml:space="preserve">С целью анализа доступности финансовых услуг, предоставляемых в банковском секторе, а также страховыми компаниями Приднестровья, </w:t>
      </w:r>
      <w:r w:rsidR="00293C22">
        <w:rPr>
          <w:rFonts w:ascii="Times New Roman" w:hAnsi="Times New Roman" w:cs="Times New Roman"/>
          <w:sz w:val="24"/>
          <w:szCs w:val="24"/>
        </w:rPr>
        <w:t>ц</w:t>
      </w:r>
      <w:r w:rsidRPr="00CE162B">
        <w:rPr>
          <w:rFonts w:ascii="Times New Roman" w:hAnsi="Times New Roman" w:cs="Times New Roman"/>
          <w:sz w:val="24"/>
          <w:szCs w:val="24"/>
        </w:rPr>
        <w:t xml:space="preserve">ентральный банк Приднестровской Молдавской Республики продолжал активную работу по линии дополнительного канала обратной связи. В случае возникновения необходимости получения консультации либо </w:t>
      </w:r>
      <w:r w:rsidRPr="00CE162B">
        <w:rPr>
          <w:rFonts w:ascii="Times New Roman" w:hAnsi="Times New Roman" w:cs="Times New Roman"/>
          <w:sz w:val="24"/>
          <w:szCs w:val="24"/>
        </w:rPr>
        <w:lastRenderedPageBreak/>
        <w:t>подачи жалобы о предоставленной некачественной услуги банками или страховыми компаниями, навязывании дополнительных услуг, а также для пожеланий и рекомендаций, пользователи финансовых услуг для более оперативной обратной связи могут обращаться в Банк Приднестровья через мессенджеры Viber, Telegram, WhatsApp.</w:t>
      </w:r>
    </w:p>
    <w:p w14:paraId="363C8D13" w14:textId="77777777" w:rsidR="004E5D20" w:rsidRDefault="004E5D20">
      <w:pPr>
        <w:rPr>
          <w:rFonts w:ascii="Times New Roman" w:hAnsi="Times New Roman" w:cs="Times New Roman"/>
          <w:sz w:val="24"/>
          <w:szCs w:val="24"/>
        </w:rPr>
      </w:pPr>
      <w:r>
        <w:rPr>
          <w:rFonts w:ascii="Times New Roman" w:hAnsi="Times New Roman" w:cs="Times New Roman"/>
          <w:sz w:val="24"/>
          <w:szCs w:val="24"/>
        </w:rPr>
        <w:br w:type="page"/>
      </w:r>
    </w:p>
    <w:p w14:paraId="2F27F426" w14:textId="7FE3BC5E" w:rsidR="00EF13D3" w:rsidRDefault="00EF13D3" w:rsidP="00EF13D3">
      <w:pPr>
        <w:widowControl w:val="0"/>
        <w:jc w:val="center"/>
        <w:rPr>
          <w:b/>
          <w:bCs/>
          <w:noProof/>
          <w:sz w:val="28"/>
          <w:szCs w:val="28"/>
        </w:rPr>
      </w:pPr>
      <w:r w:rsidRPr="008138DF">
        <w:rPr>
          <w:b/>
          <w:bCs/>
          <w:noProof/>
          <w:sz w:val="28"/>
          <w:szCs w:val="28"/>
        </w:rPr>
        <w:lastRenderedPageBreak/>
        <w:t>РАЗДЕЛ 3. ОСНОВНЫЕ НОРМАТИВНО-ПРАВОВЫЕ АКТЫ ПРИДНЕСТРОВСКОГО РЕСПУБЛИКАНСКОГО БАНКА, ПРИНЯТЫЕ В 20</w:t>
      </w:r>
      <w:r>
        <w:rPr>
          <w:b/>
          <w:bCs/>
          <w:noProof/>
          <w:sz w:val="28"/>
          <w:szCs w:val="28"/>
        </w:rPr>
        <w:t>20</w:t>
      </w:r>
      <w:r w:rsidRPr="008138DF">
        <w:rPr>
          <w:b/>
          <w:bCs/>
          <w:noProof/>
          <w:sz w:val="28"/>
          <w:szCs w:val="28"/>
        </w:rPr>
        <w:t xml:space="preserve"> ГОДУ</w:t>
      </w:r>
    </w:p>
    <w:p w14:paraId="2ACE1A4A" w14:textId="77777777" w:rsidR="00EF13D3" w:rsidRDefault="00EF13D3" w:rsidP="00822F2A">
      <w:pPr>
        <w:pStyle w:val="2"/>
        <w:spacing w:before="0" w:after="120" w:line="240" w:lineRule="auto"/>
        <w:jc w:val="center"/>
        <w:rPr>
          <w:b/>
          <w:noProof/>
        </w:rPr>
      </w:pPr>
      <w:r w:rsidRPr="001E028B">
        <w:rPr>
          <w:b/>
          <w:noProof/>
        </w:rPr>
        <w:t>В области валютного регулирования и валютного контроля:</w:t>
      </w:r>
    </w:p>
    <w:p w14:paraId="3FD36379" w14:textId="77777777" w:rsidR="00EF13D3" w:rsidRPr="00FA3B1A" w:rsidRDefault="00EF13D3" w:rsidP="00EF13D3">
      <w:pPr>
        <w:widowControl w:val="0"/>
        <w:spacing w:before="0" w:after="0" w:line="240" w:lineRule="auto"/>
        <w:ind w:firstLine="425"/>
        <w:jc w:val="both"/>
        <w:rPr>
          <w:rFonts w:ascii="Times New Roman" w:hAnsi="Times New Roman" w:cs="Times New Roman"/>
          <w:snapToGrid w:val="0"/>
          <w:color w:val="000000" w:themeColor="text1"/>
          <w:sz w:val="24"/>
          <w:szCs w:val="24"/>
        </w:rPr>
      </w:pPr>
      <w:r w:rsidRPr="00FA3B1A">
        <w:rPr>
          <w:rFonts w:ascii="Times New Roman" w:hAnsi="Times New Roman" w:cs="Times New Roman"/>
          <w:snapToGrid w:val="0"/>
          <w:color w:val="000000" w:themeColor="text1"/>
          <w:sz w:val="24"/>
          <w:szCs w:val="24"/>
        </w:rPr>
        <w:t>1.</w:t>
      </w:r>
      <w:r w:rsidRPr="00FA3B1A">
        <w:rPr>
          <w:rFonts w:ascii="Times New Roman" w:hAnsi="Times New Roman" w:cs="Times New Roman"/>
          <w:snapToGrid w:val="0"/>
          <w:color w:val="000000" w:themeColor="text1"/>
          <w:sz w:val="24"/>
          <w:szCs w:val="24"/>
        </w:rPr>
        <w:tab/>
        <w:t xml:space="preserve">Указание Приднестровского республиканского банка от 16 января 2020 года № 1233-У «О регулировании отдельных операций с иностранной валютой при осуществлении юридическими лицами-резидентами расчётов через счета, открытые за пределами территории Приднестровской Молдавской Республики» (Регистрационный № 9286 от 17 января </w:t>
      </w:r>
      <w:r w:rsidRPr="00FA3B1A">
        <w:rPr>
          <w:rFonts w:ascii="Times New Roman" w:hAnsi="Times New Roman" w:cs="Times New Roman"/>
          <w:snapToGrid w:val="0"/>
          <w:color w:val="000000" w:themeColor="text1"/>
          <w:sz w:val="24"/>
          <w:szCs w:val="24"/>
        </w:rPr>
        <w:br/>
        <w:t>2020 года) (САЗ 20-3);</w:t>
      </w:r>
    </w:p>
    <w:p w14:paraId="2B9BE396" w14:textId="77777777" w:rsidR="00EF13D3" w:rsidRPr="00FA3B1A" w:rsidRDefault="00EF13D3" w:rsidP="00EF13D3">
      <w:pPr>
        <w:widowControl w:val="0"/>
        <w:spacing w:before="0" w:after="0" w:line="240" w:lineRule="auto"/>
        <w:ind w:firstLine="425"/>
        <w:jc w:val="both"/>
        <w:rPr>
          <w:rFonts w:ascii="Times New Roman" w:hAnsi="Times New Roman" w:cs="Times New Roman"/>
          <w:snapToGrid w:val="0"/>
          <w:color w:val="000000" w:themeColor="text1"/>
          <w:sz w:val="24"/>
          <w:szCs w:val="24"/>
        </w:rPr>
      </w:pPr>
      <w:r w:rsidRPr="00FA3B1A">
        <w:rPr>
          <w:rFonts w:ascii="Times New Roman" w:hAnsi="Times New Roman" w:cs="Times New Roman"/>
          <w:snapToGrid w:val="0"/>
          <w:color w:val="000000" w:themeColor="text1"/>
          <w:sz w:val="24"/>
          <w:szCs w:val="24"/>
        </w:rPr>
        <w:t>2.</w:t>
      </w:r>
      <w:r w:rsidRPr="00FA3B1A">
        <w:rPr>
          <w:rFonts w:ascii="Times New Roman" w:hAnsi="Times New Roman" w:cs="Times New Roman"/>
          <w:snapToGrid w:val="0"/>
          <w:color w:val="000000" w:themeColor="text1"/>
          <w:sz w:val="24"/>
          <w:szCs w:val="24"/>
        </w:rPr>
        <w:tab/>
        <w:t>Указание Приднестровского республиканского банка от 16 января 2020 года № 1234-У «О внесении изменений и дополнений в Положение Приднестровского республиканского банка от 23 апреля 2002 года № 23-П «О порядке совершения хозяйствующими субъектами Приднестровской Молдавской Республики операций покупки и обязательной обратной продажи иностранной валюты на внутреннем валютном рынке Приднестровской Молдавской Республики» (регистрационный № 1774 от 25 сентября 2002 года) (САЗ 02-39)» (Регистрационный № 9285 от 17 января 2020 года) (САЗ 20-3);</w:t>
      </w:r>
    </w:p>
    <w:p w14:paraId="1676C80A" w14:textId="77777777" w:rsidR="00EF13D3" w:rsidRPr="00FA3B1A" w:rsidRDefault="00EF13D3" w:rsidP="00EF13D3">
      <w:pPr>
        <w:widowControl w:val="0"/>
        <w:spacing w:before="0" w:after="0" w:line="240" w:lineRule="auto"/>
        <w:ind w:firstLine="425"/>
        <w:jc w:val="both"/>
        <w:rPr>
          <w:rFonts w:ascii="Times New Roman" w:hAnsi="Times New Roman" w:cs="Times New Roman"/>
          <w:snapToGrid w:val="0"/>
          <w:color w:val="000000" w:themeColor="text1"/>
          <w:sz w:val="24"/>
          <w:szCs w:val="24"/>
        </w:rPr>
      </w:pPr>
      <w:r w:rsidRPr="00FA3B1A">
        <w:rPr>
          <w:rFonts w:ascii="Times New Roman" w:hAnsi="Times New Roman" w:cs="Times New Roman"/>
          <w:snapToGrid w:val="0"/>
          <w:color w:val="000000" w:themeColor="text1"/>
          <w:sz w:val="24"/>
          <w:szCs w:val="24"/>
        </w:rPr>
        <w:t>3.</w:t>
      </w:r>
      <w:r w:rsidRPr="00FA3B1A">
        <w:rPr>
          <w:rFonts w:ascii="Times New Roman" w:hAnsi="Times New Roman" w:cs="Times New Roman"/>
          <w:snapToGrid w:val="0"/>
          <w:color w:val="000000" w:themeColor="text1"/>
          <w:sz w:val="24"/>
          <w:szCs w:val="24"/>
        </w:rPr>
        <w:tab/>
        <w:t xml:space="preserve">Указание Приднестровского республиканского банка от 16 января 2020 года № 1235-У «О внесении дополнения в Инструкцию Приднестровского республиканского банка от </w:t>
      </w:r>
      <w:r w:rsidRPr="00FA3B1A">
        <w:rPr>
          <w:rFonts w:ascii="Times New Roman" w:hAnsi="Times New Roman" w:cs="Times New Roman"/>
          <w:snapToGrid w:val="0"/>
          <w:color w:val="000000" w:themeColor="text1"/>
          <w:sz w:val="24"/>
          <w:szCs w:val="24"/>
        </w:rPr>
        <w:br/>
        <w:t xml:space="preserve">26 июня 2007 года № 21-И «О порядке выдачи Приднестровским республиканским банком разрешений на открытие счетов в банках за пределами территории Приднестровской Молдавской Республики и проведение операций по ним» (регистрационный № 4029 от </w:t>
      </w:r>
      <w:r w:rsidRPr="00FA3B1A">
        <w:rPr>
          <w:rFonts w:ascii="Times New Roman" w:hAnsi="Times New Roman" w:cs="Times New Roman"/>
          <w:snapToGrid w:val="0"/>
          <w:color w:val="000000" w:themeColor="text1"/>
          <w:sz w:val="24"/>
          <w:szCs w:val="24"/>
        </w:rPr>
        <w:br/>
        <w:t xml:space="preserve">6 августа 2007 года) (САЗ 07-33)» (Регистрационный № 9284 от 17 января 2020 года) </w:t>
      </w:r>
      <w:r w:rsidRPr="00FA3B1A">
        <w:rPr>
          <w:rFonts w:ascii="Times New Roman" w:hAnsi="Times New Roman" w:cs="Times New Roman"/>
          <w:snapToGrid w:val="0"/>
          <w:color w:val="000000" w:themeColor="text1"/>
          <w:sz w:val="24"/>
          <w:szCs w:val="24"/>
        </w:rPr>
        <w:br/>
        <w:t>(САЗ 20-3);</w:t>
      </w:r>
    </w:p>
    <w:p w14:paraId="65E4D33D" w14:textId="77777777" w:rsidR="00EF13D3" w:rsidRPr="00FA3B1A" w:rsidRDefault="00EF13D3" w:rsidP="00EF13D3">
      <w:pPr>
        <w:widowControl w:val="0"/>
        <w:spacing w:before="0" w:after="0" w:line="240" w:lineRule="auto"/>
        <w:ind w:firstLine="425"/>
        <w:jc w:val="both"/>
        <w:rPr>
          <w:rFonts w:ascii="Times New Roman" w:hAnsi="Times New Roman" w:cs="Times New Roman"/>
          <w:snapToGrid w:val="0"/>
          <w:color w:val="000000" w:themeColor="text1"/>
          <w:sz w:val="24"/>
          <w:szCs w:val="24"/>
        </w:rPr>
      </w:pPr>
      <w:r w:rsidRPr="00FA3B1A">
        <w:rPr>
          <w:rFonts w:ascii="Times New Roman" w:hAnsi="Times New Roman" w:cs="Times New Roman"/>
          <w:snapToGrid w:val="0"/>
          <w:color w:val="000000" w:themeColor="text1"/>
          <w:sz w:val="24"/>
          <w:szCs w:val="24"/>
        </w:rPr>
        <w:t>4.</w:t>
      </w:r>
      <w:r w:rsidRPr="00FA3B1A">
        <w:rPr>
          <w:rFonts w:ascii="Times New Roman" w:hAnsi="Times New Roman" w:cs="Times New Roman"/>
          <w:snapToGrid w:val="0"/>
          <w:color w:val="000000" w:themeColor="text1"/>
          <w:sz w:val="24"/>
          <w:szCs w:val="24"/>
        </w:rPr>
        <w:tab/>
        <w:t>Указание Приднестровского республиканского банка от 28 января 2020 года № 1236-У «Об установлении срока репатриации для договоров по экспортным операциям резидентов с зерновыми, масличными и техническими культурами» (Регистрационный № 9320 от 28 января 2020 года) (САЗ 20-5);</w:t>
      </w:r>
    </w:p>
    <w:p w14:paraId="1688C06D" w14:textId="77777777" w:rsidR="00EF13D3" w:rsidRPr="001E028B"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5. </w:t>
      </w:r>
      <w:r w:rsidRPr="00BF4F02">
        <w:rPr>
          <w:rFonts w:ascii="Times New Roman" w:eastAsia="Times New Roman" w:hAnsi="Times New Roman" w:cs="Times New Roman"/>
          <w:sz w:val="24"/>
          <w:szCs w:val="24"/>
        </w:rPr>
        <w:t>Указание Приднестровского республиканского банка от 31 марта 2020 года №</w:t>
      </w:r>
      <w:r>
        <w:rPr>
          <w:rFonts w:ascii="Times New Roman" w:eastAsia="Times New Roman" w:hAnsi="Times New Roman" w:cs="Times New Roman"/>
          <w:sz w:val="24"/>
          <w:szCs w:val="24"/>
        </w:rPr>
        <w:t xml:space="preserve"> </w:t>
      </w:r>
      <w:r w:rsidRPr="00BF4F02">
        <w:rPr>
          <w:rFonts w:ascii="Times New Roman" w:eastAsia="Times New Roman" w:hAnsi="Times New Roman" w:cs="Times New Roman"/>
          <w:sz w:val="24"/>
          <w:szCs w:val="24"/>
        </w:rPr>
        <w:t>1253-У «О внесении изменения в Положение Приднестровского республиканского банка от 20 ноября 2019</w:t>
      </w:r>
      <w:r w:rsidRPr="00BF4F02">
        <w:rPr>
          <w:rFonts w:ascii="Times New Roman" w:eastAsia="Times New Roman" w:hAnsi="Times New Roman" w:cs="Times New Roman"/>
          <w:b/>
          <w:sz w:val="24"/>
          <w:szCs w:val="24"/>
        </w:rPr>
        <w:t> </w:t>
      </w:r>
      <w:r w:rsidRPr="00BF4F02">
        <w:rPr>
          <w:rFonts w:ascii="Times New Roman" w:eastAsia="Times New Roman" w:hAnsi="Times New Roman" w:cs="Times New Roman"/>
          <w:sz w:val="24"/>
          <w:szCs w:val="24"/>
        </w:rPr>
        <w:t>года №</w:t>
      </w:r>
      <w:r w:rsidRPr="00BF4F02">
        <w:rPr>
          <w:rFonts w:ascii="Times New Roman" w:eastAsia="Times New Roman" w:hAnsi="Times New Roman" w:cs="Times New Roman"/>
          <w:b/>
          <w:sz w:val="24"/>
          <w:szCs w:val="24"/>
        </w:rPr>
        <w:t> </w:t>
      </w:r>
      <w:r w:rsidRPr="00BF4F02">
        <w:rPr>
          <w:rFonts w:ascii="Times New Roman" w:eastAsia="Times New Roman" w:hAnsi="Times New Roman" w:cs="Times New Roman"/>
          <w:sz w:val="24"/>
          <w:szCs w:val="24"/>
        </w:rPr>
        <w:t>132-П «</w:t>
      </w:r>
      <w:r w:rsidRPr="00BF4F02">
        <w:rPr>
          <w:rFonts w:ascii="Times New Roman" w:eastAsia="Times New Roman" w:hAnsi="Times New Roman" w:cs="Times New Roman"/>
          <w:bCs/>
          <w:snapToGrid w:val="0"/>
          <w:sz w:val="24"/>
          <w:szCs w:val="24"/>
        </w:rPr>
        <w:t>О порядке осуществления кредитными организациями (филиалами) отдельных видов банковских операций с наличной иностранной валютой с участием физических лиц</w:t>
      </w:r>
      <w:r w:rsidRPr="00BF4F02">
        <w:rPr>
          <w:rFonts w:ascii="Times New Roman" w:eastAsia="Times New Roman" w:hAnsi="Times New Roman" w:cs="Times New Roman"/>
          <w:sz w:val="24"/>
          <w:szCs w:val="24"/>
        </w:rPr>
        <w:t>» (Регистрационный № 9221 от 18 декабря 2019</w:t>
      </w:r>
      <w:r w:rsidRPr="00BF4F02">
        <w:rPr>
          <w:rFonts w:ascii="Times New Roman" w:eastAsia="Times New Roman" w:hAnsi="Times New Roman" w:cs="Times New Roman"/>
          <w:b/>
          <w:sz w:val="24"/>
          <w:szCs w:val="24"/>
        </w:rPr>
        <w:t> </w:t>
      </w:r>
      <w:r w:rsidRPr="00BF4F02">
        <w:rPr>
          <w:rFonts w:ascii="Times New Roman" w:eastAsia="Times New Roman" w:hAnsi="Times New Roman" w:cs="Times New Roman"/>
          <w:sz w:val="24"/>
          <w:szCs w:val="24"/>
        </w:rPr>
        <w:t>года) (САЗ 19-49)» (Регистрационный № 9485 от 5 мая 2020 года) (САЗ 20-19);</w:t>
      </w:r>
    </w:p>
    <w:p w14:paraId="174AD357" w14:textId="77777777" w:rsidR="00EF13D3" w:rsidRPr="001E028B"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6</w:t>
      </w:r>
      <w:r w:rsidRPr="001E028B">
        <w:rPr>
          <w:rFonts w:ascii="Times New Roman" w:hAnsi="Times New Roman" w:cs="Times New Roman"/>
          <w:snapToGrid w:val="0"/>
          <w:sz w:val="24"/>
          <w:szCs w:val="24"/>
        </w:rPr>
        <w:t xml:space="preserve">. </w:t>
      </w:r>
      <w:r w:rsidRPr="00BF4F02">
        <w:rPr>
          <w:rFonts w:ascii="Times New Roman" w:eastAsia="Times New Roman" w:hAnsi="Times New Roman" w:cs="Times New Roman"/>
          <w:sz w:val="24"/>
          <w:szCs w:val="24"/>
        </w:rPr>
        <w:t>Указание Приднестровского республиканского банка от 9 апреля 2020 года №</w:t>
      </w:r>
      <w:r>
        <w:rPr>
          <w:rFonts w:ascii="Times New Roman" w:eastAsia="Times New Roman" w:hAnsi="Times New Roman" w:cs="Times New Roman"/>
          <w:sz w:val="24"/>
          <w:szCs w:val="24"/>
        </w:rPr>
        <w:t xml:space="preserve"> </w:t>
      </w:r>
      <w:r w:rsidRPr="00BF4F02">
        <w:rPr>
          <w:rFonts w:ascii="Times New Roman" w:eastAsia="Times New Roman" w:hAnsi="Times New Roman" w:cs="Times New Roman"/>
          <w:sz w:val="24"/>
          <w:szCs w:val="24"/>
        </w:rPr>
        <w:t xml:space="preserve">1255-У «О внесении дополнения в Инструкцию Приднестровского республиканского банка от </w:t>
      </w:r>
      <w:r>
        <w:rPr>
          <w:rFonts w:ascii="Times New Roman" w:eastAsia="Times New Roman" w:hAnsi="Times New Roman" w:cs="Times New Roman"/>
          <w:sz w:val="24"/>
          <w:szCs w:val="24"/>
        </w:rPr>
        <w:br/>
      </w:r>
      <w:r w:rsidRPr="00BF4F02">
        <w:rPr>
          <w:rFonts w:ascii="Times New Roman" w:eastAsia="Times New Roman" w:hAnsi="Times New Roman" w:cs="Times New Roman"/>
          <w:sz w:val="24"/>
          <w:szCs w:val="24"/>
        </w:rPr>
        <w:t>11 июня 2018 г. № 35-И «О порядке присвоения субъекту хозяйственной деятельности идентификационного номера, присвоения банковского кода контракта и представления в центральный банк информации о реквизитах открытых счетов субъектов хозяйственной деятельности для целей валютного контроля» (Регистрационный № 8340 от 13 июля 2018 года) (САЗ 18-28)»</w:t>
      </w:r>
      <w:r>
        <w:rPr>
          <w:rFonts w:ascii="Times New Roman" w:eastAsia="Times New Roman" w:hAnsi="Times New Roman" w:cs="Times New Roman"/>
          <w:sz w:val="24"/>
          <w:szCs w:val="24"/>
        </w:rPr>
        <w:t xml:space="preserve"> </w:t>
      </w:r>
      <w:r w:rsidRPr="00BF4F02">
        <w:rPr>
          <w:rFonts w:ascii="Times New Roman" w:eastAsia="Times New Roman" w:hAnsi="Times New Roman" w:cs="Times New Roman"/>
          <w:sz w:val="24"/>
          <w:szCs w:val="24"/>
        </w:rPr>
        <w:t xml:space="preserve">(Регистрационный № </w:t>
      </w:r>
      <w:r w:rsidRPr="00BF4F02">
        <w:rPr>
          <w:rFonts w:ascii="Times New Roman" w:hAnsi="Times New Roman" w:cs="Times New Roman"/>
          <w:sz w:val="24"/>
          <w:szCs w:val="24"/>
        </w:rPr>
        <w:t>9496</w:t>
      </w:r>
      <w:r>
        <w:rPr>
          <w:rFonts w:ascii="Times New Roman" w:hAnsi="Times New Roman" w:cs="Times New Roman"/>
          <w:sz w:val="24"/>
          <w:szCs w:val="24"/>
        </w:rPr>
        <w:t xml:space="preserve"> </w:t>
      </w:r>
      <w:r w:rsidRPr="00BF4F02">
        <w:rPr>
          <w:rFonts w:ascii="Times New Roman" w:eastAsia="Times New Roman" w:hAnsi="Times New Roman" w:cs="Times New Roman"/>
          <w:sz w:val="24"/>
          <w:szCs w:val="24"/>
        </w:rPr>
        <w:t>от 13 мая 2020 года) (САЗ 20-20);</w:t>
      </w:r>
    </w:p>
    <w:p w14:paraId="2C9A7DDC" w14:textId="77777777" w:rsidR="00EF13D3" w:rsidRPr="001E028B"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7</w:t>
      </w:r>
      <w:r w:rsidRPr="001E028B">
        <w:rPr>
          <w:rFonts w:ascii="Times New Roman" w:hAnsi="Times New Roman" w:cs="Times New Roman"/>
          <w:snapToGrid w:val="0"/>
          <w:sz w:val="24"/>
          <w:szCs w:val="24"/>
        </w:rPr>
        <w:t xml:space="preserve">. </w:t>
      </w:r>
      <w:r w:rsidRPr="00BF4F02">
        <w:rPr>
          <w:rFonts w:ascii="Times New Roman" w:eastAsia="Times New Roman" w:hAnsi="Times New Roman" w:cs="Times New Roman"/>
          <w:sz w:val="24"/>
          <w:szCs w:val="24"/>
        </w:rPr>
        <w:t>Указание Приднестровского республиканского банка от 9 апреля 2020 года №</w:t>
      </w:r>
      <w:r>
        <w:rPr>
          <w:rFonts w:ascii="Times New Roman" w:eastAsia="Times New Roman" w:hAnsi="Times New Roman" w:cs="Times New Roman"/>
          <w:sz w:val="24"/>
          <w:szCs w:val="24"/>
        </w:rPr>
        <w:t xml:space="preserve"> </w:t>
      </w:r>
      <w:r w:rsidRPr="00BF4F02">
        <w:rPr>
          <w:rFonts w:ascii="Times New Roman" w:eastAsia="Times New Roman" w:hAnsi="Times New Roman" w:cs="Times New Roman"/>
          <w:sz w:val="24"/>
          <w:szCs w:val="24"/>
        </w:rPr>
        <w:t xml:space="preserve">1256-У «О внесении дополнения и изменения в Инструкцию Приднестровского республиканского банка от 9 июля 2010 г. № 31-И «О порядке осуществления валютного контроля за платежами в иностранной валюте в пользу нерезидентов» (Регистрационный № 5385 от 15 сентября </w:t>
      </w:r>
      <w:r>
        <w:rPr>
          <w:rFonts w:ascii="Times New Roman" w:eastAsia="Times New Roman" w:hAnsi="Times New Roman" w:cs="Times New Roman"/>
          <w:sz w:val="24"/>
          <w:szCs w:val="24"/>
        </w:rPr>
        <w:br/>
      </w:r>
      <w:r w:rsidRPr="00BF4F02">
        <w:rPr>
          <w:rFonts w:ascii="Times New Roman" w:eastAsia="Times New Roman" w:hAnsi="Times New Roman" w:cs="Times New Roman"/>
          <w:sz w:val="24"/>
          <w:szCs w:val="24"/>
        </w:rPr>
        <w:t xml:space="preserve">2010 года) (САЗ 10-37)» (Регистрационный № </w:t>
      </w:r>
      <w:r w:rsidRPr="00BF4F02">
        <w:rPr>
          <w:rFonts w:ascii="Times New Roman" w:hAnsi="Times New Roman" w:cs="Times New Roman"/>
          <w:sz w:val="24"/>
          <w:szCs w:val="24"/>
        </w:rPr>
        <w:t>9497</w:t>
      </w:r>
      <w:r w:rsidRPr="00BF4F02">
        <w:rPr>
          <w:rFonts w:ascii="Times New Roman" w:eastAsia="Times New Roman" w:hAnsi="Times New Roman" w:cs="Times New Roman"/>
          <w:sz w:val="24"/>
          <w:szCs w:val="24"/>
        </w:rPr>
        <w:t xml:space="preserve"> от 13 мая 2020 года) (САЗ 20-20);</w:t>
      </w:r>
    </w:p>
    <w:p w14:paraId="3DDB1ED0" w14:textId="74FA491F"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8.</w:t>
      </w:r>
      <w:r w:rsidRPr="0006343E">
        <w:rPr>
          <w:rFonts w:ascii="Times New Roman" w:hAnsi="Times New Roman" w:cs="Times New Roman"/>
          <w:snapToGrid w:val="0"/>
          <w:sz w:val="24"/>
          <w:szCs w:val="24"/>
        </w:rPr>
        <w:t xml:space="preserve"> Указание Приднестровского республиканского банка от 18 мая 2020 года №</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xml:space="preserve">1261-У </w:t>
      </w:r>
      <w:r w:rsidR="004216F3">
        <w:rPr>
          <w:rFonts w:ascii="Times New Roman" w:hAnsi="Times New Roman" w:cs="Times New Roman"/>
          <w:snapToGrid w:val="0"/>
          <w:sz w:val="24"/>
          <w:szCs w:val="24"/>
        </w:rPr>
        <w:br/>
      </w:r>
      <w:r w:rsidRPr="0006343E">
        <w:rPr>
          <w:rFonts w:ascii="Times New Roman" w:hAnsi="Times New Roman" w:cs="Times New Roman"/>
          <w:snapToGrid w:val="0"/>
          <w:sz w:val="24"/>
          <w:szCs w:val="24"/>
        </w:rPr>
        <w:t xml:space="preserve">«О внесении изменений в Инструкцию Приднестровского республиканского банка от 9 июля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lastRenderedPageBreak/>
        <w:t xml:space="preserve">2010 года № 31-И «О порядке осуществления валютного контроля за платежами в иностранной валюте в пользу нерезидентов» (Регистрационный № 5385 от 15 сентября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2010 года) (САЗ 10-37)» (Регистрационный № 9508 от 21 мая 2020 года) (САЗ 20-21);</w:t>
      </w:r>
    </w:p>
    <w:p w14:paraId="1A39ECC1" w14:textId="77777777"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9.</w:t>
      </w:r>
      <w:r w:rsidRPr="0006343E">
        <w:rPr>
          <w:rFonts w:ascii="Times New Roman" w:hAnsi="Times New Roman" w:cs="Times New Roman"/>
          <w:snapToGrid w:val="0"/>
          <w:sz w:val="24"/>
          <w:szCs w:val="24"/>
        </w:rPr>
        <w:t xml:space="preserve"> Указание Приднестровского республиканского банка от 18 июня 2020 года №</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1269-У «О внесении дополнений и изменений в Положение Приднестровского республиканского банка от 23 апреля 2002 года № 23-П «О порядке совершения хозяйствующими субъектами Приднестровской Молдавской Республики операций покупки и обязательной обратной продажи иностранной валюты на внутреннем валютном рынке Приднестровской Молдавской Республики» (Регистрационный № 1774 от 25 сентября 2002 года) (САЗ 02-39)»</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(Регистрационный № 9597 от 15 июля 2020 года) (САЗ 20-29);</w:t>
      </w:r>
    </w:p>
    <w:p w14:paraId="3B3C5DC3" w14:textId="77777777"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10.</w:t>
      </w:r>
      <w:r w:rsidRPr="0006343E">
        <w:rPr>
          <w:rFonts w:ascii="Times New Roman" w:hAnsi="Times New Roman" w:cs="Times New Roman"/>
          <w:snapToGrid w:val="0"/>
          <w:sz w:val="24"/>
          <w:szCs w:val="24"/>
        </w:rPr>
        <w:t xml:space="preserve"> Указание Приднестровского республиканского банка от 18 июня 2020 года №</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xml:space="preserve">1270-У «О внесении изменений и дополнений в Положение Приднестровского республиканского банка от 17 августа 2006 года № 65-П «О порядке проведения операций с иностранной валютой в Приднестровской Молдавской Республике» (регистрационный № 3661 от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 xml:space="preserve">29 августа 2006 года) (САЗ 06-36)» (Регистрационный № 9595 от 15 июля 2020 года)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(САЗ 20-29);</w:t>
      </w:r>
    </w:p>
    <w:p w14:paraId="15E5DDC8" w14:textId="77777777"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11.</w:t>
      </w:r>
      <w:r w:rsidRPr="0006343E">
        <w:rPr>
          <w:rFonts w:ascii="Times New Roman" w:hAnsi="Times New Roman" w:cs="Times New Roman"/>
          <w:snapToGrid w:val="0"/>
          <w:sz w:val="24"/>
          <w:szCs w:val="24"/>
        </w:rPr>
        <w:t xml:space="preserve"> Указание Приднестровского республиканского банка от 13 июля 2020 года №</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xml:space="preserve">1283-У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 xml:space="preserve">«О внесении изменений в Инструкцию Приднестровского республиканского банка от 9 июля 2010 года № 31-И «О порядке осуществления валютного контроля за платежами в иностранной валюте в пользу нерезидентов» (Регистрационный № 5385 от 15 сентября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2010 года) (САЗ 10-37)» (Регистрационный № 9631 от 11 августа 2020 года) (САЗ 20-33);</w:t>
      </w:r>
    </w:p>
    <w:p w14:paraId="2E79F043" w14:textId="77777777"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12.</w:t>
      </w:r>
      <w:r w:rsidRPr="0006343E">
        <w:rPr>
          <w:rFonts w:ascii="Times New Roman" w:hAnsi="Times New Roman" w:cs="Times New Roman"/>
          <w:snapToGrid w:val="0"/>
          <w:sz w:val="24"/>
          <w:szCs w:val="24"/>
        </w:rPr>
        <w:t xml:space="preserve"> Указание Приднестровского республиканского банка от 13 июля 2020 года №</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1294-У</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«О внесении изменений в некоторые нормативные акты Приднестровского республиканского банка» (Регистрационный № 9756 от 21 октября 2020 года) (САЗ 20-43);</w:t>
      </w:r>
    </w:p>
    <w:p w14:paraId="1703136F" w14:textId="77777777"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13. </w:t>
      </w:r>
      <w:r w:rsidRPr="0006343E">
        <w:rPr>
          <w:rFonts w:ascii="Times New Roman" w:hAnsi="Times New Roman" w:cs="Times New Roman"/>
          <w:snapToGrid w:val="0"/>
          <w:sz w:val="24"/>
          <w:szCs w:val="24"/>
        </w:rPr>
        <w:t>Указание Приднестровского республиканского банка от 13 июля 2020 года №</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xml:space="preserve">1295-У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«О внесении изменения и дополнения в Инструкцию Приднестровского республиканского банка от 11 июня 2018 года № 35-И «О порядке присвоения субъекту хозяйственной деятельности идентификационного номера, присвоения банковского кода контракта и представления в центральный банк информации о реквизитах открытых счетов субъектов хозяйственной деятельности для целей валютного контроля» (Регистрационный</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xml:space="preserve">№ 8340 от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13 июля 2018 года) (САЗ 18-28)» (Регистрационный</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xml:space="preserve">№ 9759 от 22 октября 2020 года)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(САЗ 20-43);</w:t>
      </w:r>
    </w:p>
    <w:p w14:paraId="6C0D3BAC" w14:textId="77777777"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14.</w:t>
      </w:r>
      <w:r w:rsidRPr="0006343E">
        <w:rPr>
          <w:rFonts w:ascii="Times New Roman" w:hAnsi="Times New Roman" w:cs="Times New Roman"/>
          <w:snapToGrid w:val="0"/>
          <w:sz w:val="24"/>
          <w:szCs w:val="24"/>
        </w:rPr>
        <w:t xml:space="preserve"> Указание Приднестровского республиканского банка от 12 октября 2020 года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xml:space="preserve">1296-У «О внесении изменений в Указание Приднестровского республиканского банка от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9 февраля 2018 года № 1043-У «О регулировании отдельных операций с наличной иностранной валютой, при расч</w:t>
      </w:r>
      <w:r>
        <w:rPr>
          <w:rFonts w:ascii="Times New Roman" w:hAnsi="Times New Roman" w:cs="Times New Roman"/>
          <w:snapToGrid w:val="0"/>
          <w:sz w:val="24"/>
          <w:szCs w:val="24"/>
        </w:rPr>
        <w:t>ё</w:t>
      </w:r>
      <w:r w:rsidRPr="0006343E">
        <w:rPr>
          <w:rFonts w:ascii="Times New Roman" w:hAnsi="Times New Roman" w:cs="Times New Roman"/>
          <w:snapToGrid w:val="0"/>
          <w:sz w:val="24"/>
          <w:szCs w:val="24"/>
        </w:rPr>
        <w:t xml:space="preserve">тах по внешнеэкономическим сделкам без заключения внешнеэкономических контрактов» (регистрационный № 8137 от 12 февраля 2018 года)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(САЗ 18-7)» (регистрационный</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9782 от 2 ноября 2020 года) (САЗ 20-45);</w:t>
      </w:r>
    </w:p>
    <w:p w14:paraId="52B73815" w14:textId="77777777"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06343E">
        <w:rPr>
          <w:rFonts w:ascii="Times New Roman" w:hAnsi="Times New Roman" w:cs="Times New Roman"/>
          <w:snapToGrid w:val="0"/>
          <w:sz w:val="24"/>
          <w:szCs w:val="24"/>
        </w:rPr>
        <w:t>1</w:t>
      </w:r>
      <w:r>
        <w:rPr>
          <w:rFonts w:ascii="Times New Roman" w:hAnsi="Times New Roman" w:cs="Times New Roman"/>
          <w:snapToGrid w:val="0"/>
          <w:sz w:val="24"/>
          <w:szCs w:val="24"/>
        </w:rPr>
        <w:t>5.</w:t>
      </w:r>
      <w:r w:rsidRPr="0006343E">
        <w:rPr>
          <w:rFonts w:ascii="Times New Roman" w:hAnsi="Times New Roman" w:cs="Times New Roman"/>
          <w:snapToGrid w:val="0"/>
          <w:sz w:val="24"/>
          <w:szCs w:val="24"/>
        </w:rPr>
        <w:t xml:space="preserve"> Указание Приднестровского республиканского банка от 22 октября 2020 года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№1301-У «О внесении дополнения и изменений в некоторые нормативные акты Приднестровского республиканского банка» (регистрационный</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9830 от 19 ноября</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2020 года) (САЗ 20-47);</w:t>
      </w:r>
    </w:p>
    <w:p w14:paraId="59EF6E8B" w14:textId="77777777" w:rsidR="00EF13D3"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06343E">
        <w:rPr>
          <w:rFonts w:ascii="Times New Roman" w:hAnsi="Times New Roman" w:cs="Times New Roman"/>
          <w:snapToGrid w:val="0"/>
          <w:sz w:val="24"/>
          <w:szCs w:val="24"/>
        </w:rPr>
        <w:t>1</w:t>
      </w:r>
      <w:r>
        <w:rPr>
          <w:rFonts w:ascii="Times New Roman" w:hAnsi="Times New Roman" w:cs="Times New Roman"/>
          <w:snapToGrid w:val="0"/>
          <w:sz w:val="24"/>
          <w:szCs w:val="24"/>
        </w:rPr>
        <w:t>6.</w:t>
      </w:r>
      <w:r w:rsidRPr="0006343E">
        <w:rPr>
          <w:rFonts w:ascii="Times New Roman" w:hAnsi="Times New Roman" w:cs="Times New Roman"/>
          <w:snapToGrid w:val="0"/>
          <w:sz w:val="24"/>
          <w:szCs w:val="24"/>
        </w:rPr>
        <w:t xml:space="preserve"> Указание Приднестровского республиканского банка от 16 декабря 2020 года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1315-У «О внесении изменений в некоторые нормативные акты Приднестровского республиканского банка» (регистрационный</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 9969 от 27</w:t>
      </w:r>
      <w:r>
        <w:rPr>
          <w:rFonts w:ascii="Times New Roman" w:hAnsi="Times New Roman" w:cs="Times New Roman"/>
          <w:snapToGrid w:val="0"/>
          <w:sz w:val="24"/>
          <w:szCs w:val="24"/>
        </w:rPr>
        <w:t xml:space="preserve"> января 2021 года) (САЗ 21-4);</w:t>
      </w:r>
    </w:p>
    <w:p w14:paraId="5170C06F" w14:textId="77777777" w:rsidR="00EF13D3" w:rsidRPr="0006343E"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17. </w:t>
      </w:r>
      <w:r w:rsidRPr="0006343E">
        <w:rPr>
          <w:rFonts w:ascii="Times New Roman" w:hAnsi="Times New Roman" w:cs="Times New Roman"/>
          <w:snapToGrid w:val="0"/>
          <w:sz w:val="24"/>
          <w:szCs w:val="24"/>
        </w:rPr>
        <w:t xml:space="preserve">Указание Приднестровского республиканского банка от 16 декабря 2020 года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06343E">
        <w:rPr>
          <w:rFonts w:ascii="Times New Roman" w:hAnsi="Times New Roman" w:cs="Times New Roman"/>
          <w:snapToGrid w:val="0"/>
          <w:sz w:val="24"/>
          <w:szCs w:val="24"/>
        </w:rPr>
        <w:t>1316-У «О внесении изменений и дополнений в Положение Приднестровского республиканского банка от 19 июня 2007 года № 75-П «Об осуществлении обязательной продажи части валютной выручки» (Регистрационный № 4016 от 26 июля 2007 года)</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br/>
      </w:r>
      <w:r w:rsidRPr="0006343E">
        <w:rPr>
          <w:rFonts w:ascii="Times New Roman" w:hAnsi="Times New Roman" w:cs="Times New Roman"/>
          <w:snapToGrid w:val="0"/>
          <w:sz w:val="24"/>
          <w:szCs w:val="24"/>
        </w:rPr>
        <w:lastRenderedPageBreak/>
        <w:t>(САЗ 07-31)» (регистрационный</w:t>
      </w:r>
      <w:r>
        <w:rPr>
          <w:rFonts w:ascii="Times New Roman" w:hAnsi="Times New Roman" w:cs="Times New Roman"/>
          <w:snapToGrid w:val="0"/>
          <w:sz w:val="24"/>
          <w:szCs w:val="24"/>
        </w:rPr>
        <w:t xml:space="preserve"> № 9978 от 29</w:t>
      </w:r>
      <w:r w:rsidRPr="0006343E">
        <w:rPr>
          <w:rFonts w:ascii="Times New Roman" w:hAnsi="Times New Roman" w:cs="Times New Roman"/>
          <w:snapToGrid w:val="0"/>
          <w:sz w:val="24"/>
          <w:szCs w:val="24"/>
        </w:rPr>
        <w:t xml:space="preserve"> </w:t>
      </w:r>
      <w:r w:rsidRPr="00B50A5A">
        <w:rPr>
          <w:rFonts w:ascii="Times New Roman" w:hAnsi="Times New Roman" w:cs="Times New Roman"/>
          <w:snapToGrid w:val="0"/>
          <w:sz w:val="24"/>
          <w:szCs w:val="24"/>
        </w:rPr>
        <w:t>января</w:t>
      </w:r>
      <w:r>
        <w:rPr>
          <w:rFonts w:ascii="Times New Roman" w:hAnsi="Times New Roman" w:cs="Times New Roman"/>
          <w:snapToGrid w:val="0"/>
          <w:sz w:val="24"/>
          <w:szCs w:val="24"/>
        </w:rPr>
        <w:t xml:space="preserve"> 2021</w:t>
      </w:r>
      <w:r w:rsidRPr="0006343E">
        <w:rPr>
          <w:rFonts w:ascii="Times New Roman" w:hAnsi="Times New Roman" w:cs="Times New Roman"/>
          <w:snapToGrid w:val="0"/>
          <w:sz w:val="24"/>
          <w:szCs w:val="24"/>
        </w:rPr>
        <w:t xml:space="preserve"> года) (САЗ </w:t>
      </w:r>
      <w:r>
        <w:rPr>
          <w:rFonts w:ascii="Times New Roman" w:hAnsi="Times New Roman" w:cs="Times New Roman"/>
          <w:snapToGrid w:val="0"/>
          <w:sz w:val="24"/>
          <w:szCs w:val="24"/>
        </w:rPr>
        <w:t>21-4</w:t>
      </w:r>
      <w:r w:rsidRPr="0006343E">
        <w:rPr>
          <w:rFonts w:ascii="Times New Roman" w:hAnsi="Times New Roman" w:cs="Times New Roman"/>
          <w:snapToGrid w:val="0"/>
          <w:sz w:val="24"/>
          <w:szCs w:val="24"/>
        </w:rPr>
        <w:t>)</w:t>
      </w:r>
      <w:r>
        <w:rPr>
          <w:rFonts w:ascii="Times New Roman" w:hAnsi="Times New Roman" w:cs="Times New Roman"/>
          <w:snapToGrid w:val="0"/>
          <w:sz w:val="24"/>
          <w:szCs w:val="24"/>
        </w:rPr>
        <w:t>.</w:t>
      </w:r>
    </w:p>
    <w:p w14:paraId="6D93386A" w14:textId="77777777" w:rsidR="00EF13D3" w:rsidRDefault="00EF13D3" w:rsidP="00822F2A">
      <w:pPr>
        <w:pStyle w:val="2"/>
        <w:spacing w:before="120" w:after="120" w:line="240" w:lineRule="auto"/>
        <w:jc w:val="center"/>
        <w:rPr>
          <w:b/>
          <w:noProof/>
        </w:rPr>
      </w:pPr>
      <w:r w:rsidRPr="001E028B">
        <w:rPr>
          <w:b/>
          <w:noProof/>
        </w:rPr>
        <w:t>В сфере регулирования и надзора кредитных организаций:</w:t>
      </w:r>
    </w:p>
    <w:p w14:paraId="43E82F65" w14:textId="77777777" w:rsidR="00EF13D3" w:rsidRPr="000078BC" w:rsidRDefault="00EF13D3" w:rsidP="00EF13D3">
      <w:pPr>
        <w:pStyle w:val="aff4"/>
        <w:numPr>
          <w:ilvl w:val="0"/>
          <w:numId w:val="21"/>
        </w:numPr>
        <w:spacing w:before="0" w:after="0" w:line="240" w:lineRule="auto"/>
        <w:ind w:left="0" w:firstLine="425"/>
        <w:jc w:val="both"/>
        <w:outlineLvl w:val="0"/>
        <w:rPr>
          <w:rFonts w:ascii="Times New Roman" w:hAnsi="Times New Roman" w:cs="Times New Roman"/>
          <w:sz w:val="24"/>
          <w:szCs w:val="24"/>
        </w:rPr>
      </w:pPr>
      <w:r w:rsidRPr="00297EFE">
        <w:rPr>
          <w:rFonts w:ascii="Times New Roman" w:hAnsi="Times New Roman" w:cs="Times New Roman"/>
          <w:sz w:val="24"/>
          <w:szCs w:val="24"/>
        </w:rPr>
        <w:t xml:space="preserve">Указание Приднестровского республиканского банка от 31 января 2020 года </w:t>
      </w:r>
      <w:r>
        <w:rPr>
          <w:rFonts w:ascii="Times New Roman" w:hAnsi="Times New Roman" w:cs="Times New Roman"/>
          <w:sz w:val="24"/>
          <w:szCs w:val="24"/>
        </w:rPr>
        <w:br/>
      </w:r>
      <w:r w:rsidRPr="00297EFE">
        <w:rPr>
          <w:rFonts w:ascii="Times New Roman" w:hAnsi="Times New Roman" w:cs="Times New Roman"/>
          <w:sz w:val="24"/>
          <w:szCs w:val="24"/>
        </w:rPr>
        <w:t>№ 1239-У «</w:t>
      </w:r>
      <w:r w:rsidRPr="00297EFE">
        <w:rPr>
          <w:rFonts w:ascii="Times New Roman" w:hAnsi="Times New Roman" w:cs="Times New Roman"/>
          <w:color w:val="000000"/>
          <w:sz w:val="24"/>
          <w:szCs w:val="24"/>
        </w:rPr>
        <w:t xml:space="preserve">О внесении изменений в Положение Приднестровского республиканского банка от 10 ноября 2009 года </w:t>
      </w:r>
      <w:r>
        <w:rPr>
          <w:rFonts w:ascii="Times New Roman" w:hAnsi="Times New Roman" w:cs="Times New Roman"/>
          <w:color w:val="000000"/>
          <w:sz w:val="24"/>
          <w:szCs w:val="24"/>
        </w:rPr>
        <w:t>№</w:t>
      </w:r>
      <w:r w:rsidRPr="00297EFE">
        <w:rPr>
          <w:rFonts w:ascii="Times New Roman" w:hAnsi="Times New Roman" w:cs="Times New Roman"/>
          <w:color w:val="000000"/>
          <w:sz w:val="24"/>
          <w:szCs w:val="24"/>
        </w:rPr>
        <w:t xml:space="preserve"> 91-П «О порядке формирования и использования кредитными организациями фонда риска</w:t>
      </w:r>
      <w:r w:rsidRPr="00297EFE">
        <w:rPr>
          <w:rFonts w:ascii="Times New Roman" w:hAnsi="Times New Roman" w:cs="Times New Roman"/>
          <w:sz w:val="24"/>
          <w:szCs w:val="24"/>
        </w:rPr>
        <w:t xml:space="preserve">» (Регистрационный </w:t>
      </w:r>
      <w:r w:rsidRPr="000078BC">
        <w:rPr>
          <w:rFonts w:ascii="Times New Roman" w:hAnsi="Times New Roman" w:cs="Times New Roman"/>
          <w:sz w:val="24"/>
          <w:szCs w:val="24"/>
        </w:rPr>
        <w:t xml:space="preserve">№ 5089 от 17 декабря 2009 года) </w:t>
      </w:r>
      <w:r>
        <w:rPr>
          <w:rFonts w:ascii="Times New Roman" w:hAnsi="Times New Roman" w:cs="Times New Roman"/>
          <w:sz w:val="24"/>
          <w:szCs w:val="24"/>
        </w:rPr>
        <w:br/>
      </w:r>
      <w:r w:rsidRPr="000078BC">
        <w:rPr>
          <w:rFonts w:ascii="Times New Roman" w:hAnsi="Times New Roman" w:cs="Times New Roman"/>
          <w:sz w:val="24"/>
          <w:szCs w:val="24"/>
        </w:rPr>
        <w:t>(САЗ 09-51)» (Регистрационный № 9385 от 3 марта 2020 года) (САЗ 20-10);</w:t>
      </w:r>
    </w:p>
    <w:p w14:paraId="3D6F1D51" w14:textId="77777777" w:rsidR="00EF13D3" w:rsidRPr="000078BC" w:rsidRDefault="00EF13D3" w:rsidP="00EF13D3">
      <w:pPr>
        <w:pStyle w:val="aff4"/>
        <w:numPr>
          <w:ilvl w:val="0"/>
          <w:numId w:val="21"/>
        </w:numPr>
        <w:spacing w:before="0" w:after="0" w:line="240" w:lineRule="auto"/>
        <w:ind w:left="0" w:firstLine="425"/>
        <w:jc w:val="both"/>
        <w:outlineLvl w:val="0"/>
        <w:rPr>
          <w:rFonts w:ascii="Times New Roman" w:hAnsi="Times New Roman" w:cs="Times New Roman"/>
          <w:sz w:val="24"/>
          <w:szCs w:val="24"/>
        </w:rPr>
      </w:pPr>
      <w:r w:rsidRPr="000078BC">
        <w:rPr>
          <w:rFonts w:ascii="Times New Roman" w:hAnsi="Times New Roman" w:cs="Times New Roman"/>
          <w:sz w:val="24"/>
          <w:szCs w:val="24"/>
        </w:rPr>
        <w:t xml:space="preserve">Указание Приднестровского республиканского банка от 16 марта 2020 года </w:t>
      </w:r>
      <w:r>
        <w:rPr>
          <w:rFonts w:ascii="Times New Roman" w:hAnsi="Times New Roman" w:cs="Times New Roman"/>
          <w:sz w:val="24"/>
          <w:szCs w:val="24"/>
        </w:rPr>
        <w:br/>
      </w:r>
      <w:r w:rsidRPr="000078BC">
        <w:rPr>
          <w:rFonts w:ascii="Times New Roman" w:hAnsi="Times New Roman" w:cs="Times New Roman"/>
          <w:sz w:val="24"/>
          <w:szCs w:val="24"/>
        </w:rPr>
        <w:t xml:space="preserve">№ 1244-У «О внесении изменений в Положение Приднестровского республиканского банка от 10 ноября 2009 года </w:t>
      </w:r>
      <w:r>
        <w:rPr>
          <w:rFonts w:ascii="Times New Roman" w:hAnsi="Times New Roman" w:cs="Times New Roman"/>
          <w:sz w:val="24"/>
          <w:szCs w:val="24"/>
        </w:rPr>
        <w:t>№</w:t>
      </w:r>
      <w:r w:rsidRPr="000078BC">
        <w:rPr>
          <w:rFonts w:ascii="Times New Roman" w:hAnsi="Times New Roman" w:cs="Times New Roman"/>
          <w:sz w:val="24"/>
          <w:szCs w:val="24"/>
        </w:rPr>
        <w:t xml:space="preserve"> 91-П «О порядке формирования и использования кредитными организациями фонда риска» (Регистрационный № 5089 от 17 декабря 2009 года) </w:t>
      </w:r>
      <w:r>
        <w:rPr>
          <w:rFonts w:ascii="Times New Roman" w:hAnsi="Times New Roman" w:cs="Times New Roman"/>
          <w:sz w:val="24"/>
          <w:szCs w:val="24"/>
        </w:rPr>
        <w:br/>
      </w:r>
      <w:r w:rsidRPr="000078BC">
        <w:rPr>
          <w:rFonts w:ascii="Times New Roman" w:hAnsi="Times New Roman" w:cs="Times New Roman"/>
          <w:sz w:val="24"/>
          <w:szCs w:val="24"/>
        </w:rPr>
        <w:t>(САЗ 09-51)» (Регистрационный № 9450 от 8 апреля 2020 года) (САЗ 20-15);</w:t>
      </w:r>
    </w:p>
    <w:p w14:paraId="6AC48E48" w14:textId="77777777" w:rsidR="00EF13D3" w:rsidRDefault="00EF13D3" w:rsidP="00EF13D3">
      <w:pPr>
        <w:pStyle w:val="aff4"/>
        <w:numPr>
          <w:ilvl w:val="0"/>
          <w:numId w:val="21"/>
        </w:numPr>
        <w:spacing w:before="0" w:after="0" w:line="240" w:lineRule="auto"/>
        <w:ind w:left="0" w:firstLine="425"/>
        <w:jc w:val="both"/>
        <w:outlineLvl w:val="0"/>
        <w:rPr>
          <w:rFonts w:ascii="Times New Roman" w:hAnsi="Times New Roman" w:cs="Times New Roman"/>
          <w:sz w:val="24"/>
          <w:szCs w:val="24"/>
        </w:rPr>
      </w:pPr>
      <w:r w:rsidRPr="000078BC">
        <w:rPr>
          <w:rFonts w:ascii="Times New Roman" w:hAnsi="Times New Roman" w:cs="Times New Roman"/>
          <w:sz w:val="24"/>
          <w:szCs w:val="24"/>
        </w:rPr>
        <w:t xml:space="preserve">Указание Приднестровского республиканского банка от 24 марта 2020 года </w:t>
      </w:r>
      <w:r>
        <w:rPr>
          <w:rFonts w:ascii="Times New Roman" w:hAnsi="Times New Roman" w:cs="Times New Roman"/>
          <w:sz w:val="24"/>
          <w:szCs w:val="24"/>
        </w:rPr>
        <w:br/>
      </w:r>
      <w:r w:rsidRPr="000078BC">
        <w:rPr>
          <w:rFonts w:ascii="Times New Roman" w:hAnsi="Times New Roman" w:cs="Times New Roman"/>
          <w:sz w:val="24"/>
          <w:szCs w:val="24"/>
        </w:rPr>
        <w:t>№ 1252-У «О внесении изменений и дополнения в Указание Приднестровского республиканского банка от 23 января 2016 года № 889-У «О временном порядке применения некоторых нормативных актов Приднестровского республиканского банка» (Регистрационный № 7354 от 16 февраля 2016 года</w:t>
      </w:r>
      <w:r>
        <w:rPr>
          <w:rFonts w:ascii="Times New Roman" w:hAnsi="Times New Roman" w:cs="Times New Roman"/>
          <w:sz w:val="24"/>
          <w:szCs w:val="24"/>
        </w:rPr>
        <w:t xml:space="preserve">) (САЗ 16-7)» (Регистрационный </w:t>
      </w:r>
      <w:r w:rsidRPr="000078BC">
        <w:rPr>
          <w:rFonts w:ascii="Times New Roman" w:hAnsi="Times New Roman" w:cs="Times New Roman"/>
          <w:sz w:val="24"/>
          <w:szCs w:val="24"/>
        </w:rPr>
        <w:t>№ 9437 от 1 апреля 2020 года) (САЗ 20-14);</w:t>
      </w:r>
    </w:p>
    <w:p w14:paraId="1193428A" w14:textId="77777777" w:rsidR="00EF13D3" w:rsidRPr="00BF4F02" w:rsidRDefault="00EF13D3" w:rsidP="00EF13D3">
      <w:pPr>
        <w:pStyle w:val="aff4"/>
        <w:numPr>
          <w:ilvl w:val="0"/>
          <w:numId w:val="21"/>
        </w:numPr>
        <w:autoSpaceDE w:val="0"/>
        <w:autoSpaceDN w:val="0"/>
        <w:adjustRightInd w:val="0"/>
        <w:spacing w:before="0" w:after="0" w:line="240" w:lineRule="auto"/>
        <w:ind w:left="0" w:firstLine="425"/>
        <w:jc w:val="both"/>
        <w:rPr>
          <w:rFonts w:ascii="Times New Roman" w:hAnsi="Times New Roman" w:cs="Times New Roman"/>
          <w:sz w:val="24"/>
          <w:szCs w:val="24"/>
        </w:rPr>
      </w:pPr>
      <w:r w:rsidRPr="00BF4F02">
        <w:rPr>
          <w:rFonts w:ascii="Times New Roman" w:eastAsia="Times New Roman" w:hAnsi="Times New Roman" w:cs="Times New Roman"/>
          <w:sz w:val="24"/>
          <w:szCs w:val="24"/>
        </w:rPr>
        <w:t>Указание Приднестровского республиканского банка от 16 марта 2020 года №</w:t>
      </w:r>
      <w:r>
        <w:rPr>
          <w:rFonts w:ascii="Times New Roman" w:eastAsia="Times New Roman" w:hAnsi="Times New Roman" w:cs="Times New Roman"/>
          <w:sz w:val="24"/>
          <w:szCs w:val="24"/>
        </w:rPr>
        <w:t xml:space="preserve"> </w:t>
      </w:r>
      <w:r w:rsidRPr="00BF4F02">
        <w:rPr>
          <w:rFonts w:ascii="Times New Roman" w:eastAsia="Times New Roman" w:hAnsi="Times New Roman" w:cs="Times New Roman"/>
          <w:sz w:val="24"/>
          <w:szCs w:val="24"/>
        </w:rPr>
        <w:t>1245-У «О внесении изменений и дополнений в Инструкцию Приднестровского республиканского банка от 9 ноября 2007 года № 22-И «О порядке регулирования деятельности кредитных организаций» (Регистрационный № 4198 от 19 декабря 2007 года) (САЗ 07-52)»</w:t>
      </w:r>
      <w:r w:rsidRPr="00BF4F02">
        <w:rPr>
          <w:rFonts w:ascii="Times New Roman" w:hAnsi="Times New Roman" w:cs="Times New Roman"/>
          <w:sz w:val="24"/>
          <w:szCs w:val="24"/>
        </w:rPr>
        <w:t xml:space="preserve"> (Регистрационный № 9452 от 9 апреля 2020 года) (САЗ 20-15);</w:t>
      </w:r>
    </w:p>
    <w:p w14:paraId="596C6EA4" w14:textId="77777777" w:rsidR="00EF13D3" w:rsidRPr="00374A98" w:rsidRDefault="00EF13D3" w:rsidP="00EF13D3">
      <w:pPr>
        <w:pStyle w:val="31"/>
        <w:numPr>
          <w:ilvl w:val="0"/>
          <w:numId w:val="21"/>
        </w:numPr>
        <w:spacing w:before="0" w:after="0" w:line="240" w:lineRule="auto"/>
        <w:ind w:left="0" w:firstLine="425"/>
        <w:jc w:val="both"/>
        <w:rPr>
          <w:rFonts w:ascii="Times New Roman" w:hAnsi="Times New Roman" w:cs="Times New Roman"/>
          <w:sz w:val="24"/>
          <w:szCs w:val="24"/>
        </w:rPr>
      </w:pPr>
      <w:r w:rsidRPr="00BF4F02">
        <w:rPr>
          <w:rFonts w:ascii="Times New Roman" w:eastAsia="Times New Roman" w:hAnsi="Times New Roman" w:cs="Times New Roman"/>
          <w:sz w:val="24"/>
          <w:szCs w:val="24"/>
        </w:rPr>
        <w:t>Указание Приднестровского республиканского банка от 18 июня 2020 года №</w:t>
      </w:r>
      <w:r>
        <w:rPr>
          <w:rFonts w:ascii="Times New Roman" w:eastAsia="Times New Roman" w:hAnsi="Times New Roman" w:cs="Times New Roman"/>
          <w:sz w:val="24"/>
          <w:szCs w:val="24"/>
        </w:rPr>
        <w:t xml:space="preserve"> </w:t>
      </w:r>
      <w:r w:rsidRPr="00BF4F02">
        <w:rPr>
          <w:rFonts w:ascii="Times New Roman" w:eastAsia="Times New Roman" w:hAnsi="Times New Roman" w:cs="Times New Roman"/>
          <w:sz w:val="24"/>
          <w:szCs w:val="24"/>
        </w:rPr>
        <w:t>1273-У «</w:t>
      </w:r>
      <w:r w:rsidRPr="00BF4F02">
        <w:rPr>
          <w:rFonts w:ascii="Times New Roman" w:hAnsi="Times New Roman" w:cs="Times New Roman"/>
          <w:sz w:val="24"/>
          <w:szCs w:val="24"/>
        </w:rPr>
        <w:t xml:space="preserve">О внесении изменений в Указание Приднестровского республиканского банка от 23 января 2016 года № 889-У «О временном порядке </w:t>
      </w:r>
      <w:r w:rsidRPr="00374A98">
        <w:rPr>
          <w:rFonts w:ascii="Times New Roman" w:hAnsi="Times New Roman" w:cs="Times New Roman"/>
          <w:sz w:val="24"/>
          <w:szCs w:val="24"/>
        </w:rPr>
        <w:t xml:space="preserve">применения некоторых нормативных актов Приднестровского республиканского банка» (Регистрационный № 9602 от 17 июля </w:t>
      </w:r>
      <w:r>
        <w:rPr>
          <w:rFonts w:ascii="Times New Roman" w:hAnsi="Times New Roman" w:cs="Times New Roman"/>
          <w:sz w:val="24"/>
          <w:szCs w:val="24"/>
        </w:rPr>
        <w:br/>
      </w:r>
      <w:r w:rsidRPr="00374A98">
        <w:rPr>
          <w:rFonts w:ascii="Times New Roman" w:hAnsi="Times New Roman" w:cs="Times New Roman"/>
          <w:sz w:val="24"/>
          <w:szCs w:val="24"/>
        </w:rPr>
        <w:t>2020 года) (САЗ 20-29);</w:t>
      </w:r>
    </w:p>
    <w:p w14:paraId="2FDD607F" w14:textId="77777777" w:rsidR="00EF13D3" w:rsidRDefault="00EF13D3" w:rsidP="00EF13D3">
      <w:pPr>
        <w:pStyle w:val="aff4"/>
        <w:numPr>
          <w:ilvl w:val="0"/>
          <w:numId w:val="21"/>
        </w:numPr>
        <w:spacing w:before="0" w:after="0" w:line="240" w:lineRule="auto"/>
        <w:ind w:left="0" w:firstLine="425"/>
        <w:jc w:val="both"/>
        <w:rPr>
          <w:rFonts w:ascii="Times New Roman" w:hAnsi="Times New Roman" w:cs="Times New Roman"/>
          <w:sz w:val="24"/>
          <w:szCs w:val="24"/>
        </w:rPr>
      </w:pPr>
      <w:r w:rsidRPr="00374A98">
        <w:rPr>
          <w:rFonts w:ascii="Times New Roman" w:eastAsia="Times New Roman" w:hAnsi="Times New Roman" w:cs="Times New Roman"/>
          <w:sz w:val="24"/>
          <w:szCs w:val="24"/>
        </w:rPr>
        <w:t>Указание Приднестровского республиканского банка от 25 июня 2020 года №</w:t>
      </w:r>
      <w:r>
        <w:rPr>
          <w:rFonts w:ascii="Times New Roman" w:eastAsia="Times New Roman" w:hAnsi="Times New Roman" w:cs="Times New Roman"/>
          <w:sz w:val="24"/>
          <w:szCs w:val="24"/>
        </w:rPr>
        <w:t xml:space="preserve"> </w:t>
      </w:r>
      <w:r w:rsidRPr="00374A98">
        <w:rPr>
          <w:rFonts w:ascii="Times New Roman" w:eastAsia="Times New Roman" w:hAnsi="Times New Roman" w:cs="Times New Roman"/>
          <w:sz w:val="24"/>
          <w:szCs w:val="24"/>
        </w:rPr>
        <w:t>1274-У «</w:t>
      </w:r>
      <w:r w:rsidRPr="00374A98">
        <w:rPr>
          <w:rFonts w:ascii="Times New Roman" w:hAnsi="Times New Roman" w:cs="Times New Roman"/>
          <w:sz w:val="24"/>
          <w:szCs w:val="24"/>
        </w:rPr>
        <w:t>О внесении дополнений и изменений в Инструкцию Приднестровского республиканского банка от 8 августа 2006 года №17-И «</w:t>
      </w:r>
      <w:r w:rsidRPr="00374A98">
        <w:rPr>
          <w:rFonts w:ascii="Times New Roman" w:eastAsia="Times New Roman" w:hAnsi="Times New Roman" w:cs="Times New Roman"/>
          <w:sz w:val="24"/>
          <w:szCs w:val="24"/>
        </w:rPr>
        <w:t xml:space="preserve">О порядке открытия, ведения, переоформления и закрытия счетов в банках Приднестровской Молдавской Республики» </w:t>
      </w:r>
      <w:r w:rsidRPr="00374A98">
        <w:rPr>
          <w:rFonts w:ascii="Times New Roman" w:eastAsia="Times New Roman" w:hAnsi="Times New Roman" w:cs="Times New Roman"/>
          <w:color w:val="000000"/>
          <w:sz w:val="24"/>
          <w:szCs w:val="24"/>
        </w:rPr>
        <w:t xml:space="preserve">(Регистрационный </w:t>
      </w:r>
      <w:r>
        <w:rPr>
          <w:rFonts w:ascii="Times New Roman" w:eastAsia="Times New Roman" w:hAnsi="Times New Roman" w:cs="Times New Roman"/>
          <w:color w:val="000000"/>
          <w:sz w:val="24"/>
          <w:szCs w:val="24"/>
        </w:rPr>
        <w:br/>
      </w:r>
      <w:r w:rsidRPr="00374A98">
        <w:rPr>
          <w:rFonts w:ascii="Times New Roman" w:eastAsia="Times New Roman" w:hAnsi="Times New Roman" w:cs="Times New Roman"/>
          <w:color w:val="000000"/>
          <w:sz w:val="24"/>
          <w:szCs w:val="24"/>
        </w:rPr>
        <w:t>№ 3662 от 29 августа 2006 года) (САЗ 06-36)» (</w:t>
      </w:r>
      <w:r w:rsidRPr="00374A98">
        <w:rPr>
          <w:rFonts w:ascii="Times New Roman" w:hAnsi="Times New Roman" w:cs="Times New Roman"/>
          <w:sz w:val="24"/>
          <w:szCs w:val="24"/>
        </w:rPr>
        <w:t>Регистрационный № 9619 от</w:t>
      </w:r>
      <w:r>
        <w:rPr>
          <w:rFonts w:ascii="Times New Roman" w:hAnsi="Times New Roman" w:cs="Times New Roman"/>
          <w:sz w:val="24"/>
          <w:szCs w:val="24"/>
        </w:rPr>
        <w:t xml:space="preserve"> 29 июля 2020 года) (САЗ 20-31);</w:t>
      </w:r>
    </w:p>
    <w:p w14:paraId="5ACBB696" w14:textId="77777777" w:rsidR="00EF13D3" w:rsidRPr="00534D49" w:rsidRDefault="00EF13D3" w:rsidP="00EF13D3">
      <w:pPr>
        <w:pStyle w:val="aff4"/>
        <w:widowControl w:val="0"/>
        <w:numPr>
          <w:ilvl w:val="0"/>
          <w:numId w:val="21"/>
        </w:numPr>
        <w:autoSpaceDE w:val="0"/>
        <w:autoSpaceDN w:val="0"/>
        <w:adjustRightInd w:val="0"/>
        <w:spacing w:before="0" w:after="0" w:line="240" w:lineRule="auto"/>
        <w:ind w:left="0" w:firstLine="425"/>
        <w:jc w:val="both"/>
        <w:rPr>
          <w:rFonts w:ascii="Times New Roman" w:hAnsi="Times New Roman" w:cs="Times New Roman"/>
          <w:sz w:val="24"/>
          <w:szCs w:val="24"/>
        </w:rPr>
      </w:pPr>
      <w:r w:rsidRPr="00534D49">
        <w:rPr>
          <w:rFonts w:ascii="Times New Roman" w:hAnsi="Times New Roman" w:cs="Times New Roman"/>
          <w:sz w:val="24"/>
          <w:szCs w:val="24"/>
        </w:rPr>
        <w:t>Указание Приднестровского республиканского банка от 13 июля 2020 года №</w:t>
      </w:r>
      <w:r>
        <w:rPr>
          <w:rFonts w:ascii="Times New Roman" w:hAnsi="Times New Roman" w:cs="Times New Roman"/>
          <w:sz w:val="24"/>
          <w:szCs w:val="24"/>
        </w:rPr>
        <w:t xml:space="preserve"> </w:t>
      </w:r>
      <w:r w:rsidRPr="00534D49">
        <w:rPr>
          <w:rFonts w:ascii="Times New Roman" w:hAnsi="Times New Roman" w:cs="Times New Roman"/>
          <w:sz w:val="24"/>
          <w:szCs w:val="24"/>
        </w:rPr>
        <w:t>1282-У «О порядке учёта средств юридических лиц по операциям, совершаемым с использованием банковских карт» (</w:t>
      </w:r>
      <w:r>
        <w:rPr>
          <w:rFonts w:ascii="Times New Roman" w:hAnsi="Times New Roman" w:cs="Times New Roman"/>
          <w:sz w:val="24"/>
          <w:szCs w:val="24"/>
        </w:rPr>
        <w:t>Регистрационный</w:t>
      </w:r>
      <w:r w:rsidRPr="00534D49">
        <w:rPr>
          <w:rFonts w:ascii="Times New Roman" w:hAnsi="Times New Roman" w:cs="Times New Roman"/>
          <w:sz w:val="24"/>
          <w:szCs w:val="24"/>
        </w:rPr>
        <w:t xml:space="preserve"> №</w:t>
      </w:r>
      <w:r w:rsidRPr="00534D49">
        <w:rPr>
          <w:rFonts w:ascii="Times New Roman" w:hAnsi="Times New Roman" w:cs="Times New Roman"/>
          <w:bCs/>
          <w:sz w:val="24"/>
          <w:szCs w:val="24"/>
        </w:rPr>
        <w:t xml:space="preserve"> 9630 от 10 августа 2020 года) (САЗ 20-33);</w:t>
      </w:r>
    </w:p>
    <w:p w14:paraId="54287926" w14:textId="77777777" w:rsidR="00EF13D3" w:rsidRPr="00B35A91" w:rsidRDefault="00EF13D3" w:rsidP="00EF13D3">
      <w:pPr>
        <w:pStyle w:val="aff4"/>
        <w:widowControl w:val="0"/>
        <w:numPr>
          <w:ilvl w:val="0"/>
          <w:numId w:val="21"/>
        </w:numPr>
        <w:autoSpaceDE w:val="0"/>
        <w:autoSpaceDN w:val="0"/>
        <w:adjustRightInd w:val="0"/>
        <w:spacing w:before="0" w:after="0" w:line="240" w:lineRule="auto"/>
        <w:ind w:left="0" w:firstLine="425"/>
        <w:jc w:val="both"/>
        <w:rPr>
          <w:rFonts w:ascii="Times New Roman" w:hAnsi="Times New Roman" w:cs="Times New Roman"/>
          <w:sz w:val="24"/>
          <w:szCs w:val="24"/>
        </w:rPr>
      </w:pPr>
      <w:r w:rsidRPr="00534D49">
        <w:rPr>
          <w:rFonts w:ascii="Times New Roman" w:hAnsi="Times New Roman" w:cs="Times New Roman"/>
          <w:sz w:val="24"/>
          <w:szCs w:val="24"/>
        </w:rPr>
        <w:t xml:space="preserve">Указание Приднестровского республиканского банка от 24 сентября 2020 года </w:t>
      </w:r>
      <w:r>
        <w:rPr>
          <w:rFonts w:ascii="Times New Roman" w:hAnsi="Times New Roman" w:cs="Times New Roman"/>
          <w:sz w:val="24"/>
          <w:szCs w:val="24"/>
        </w:rPr>
        <w:br/>
      </w:r>
      <w:r w:rsidRPr="00534D49">
        <w:rPr>
          <w:rFonts w:ascii="Times New Roman" w:hAnsi="Times New Roman" w:cs="Times New Roman"/>
          <w:sz w:val="24"/>
          <w:szCs w:val="24"/>
        </w:rPr>
        <w:t>№</w:t>
      </w:r>
      <w:r>
        <w:rPr>
          <w:rFonts w:ascii="Times New Roman" w:hAnsi="Times New Roman" w:cs="Times New Roman"/>
          <w:sz w:val="24"/>
          <w:szCs w:val="24"/>
        </w:rPr>
        <w:t xml:space="preserve"> </w:t>
      </w:r>
      <w:r w:rsidRPr="00534D49">
        <w:rPr>
          <w:rFonts w:ascii="Times New Roman" w:hAnsi="Times New Roman" w:cs="Times New Roman"/>
          <w:sz w:val="24"/>
          <w:szCs w:val="24"/>
        </w:rPr>
        <w:t>1289-У «</w:t>
      </w:r>
      <w:r w:rsidRPr="00534D49">
        <w:rPr>
          <w:rFonts w:ascii="Times New Roman" w:eastAsia="Times New Roman" w:hAnsi="Times New Roman" w:cs="Times New Roman"/>
          <w:sz w:val="24"/>
          <w:szCs w:val="24"/>
        </w:rPr>
        <w:t xml:space="preserve">О внесении изменений в Инструкцию </w:t>
      </w:r>
      <w:r w:rsidRPr="00B35A91">
        <w:rPr>
          <w:rFonts w:ascii="Times New Roman" w:eastAsia="Times New Roman" w:hAnsi="Times New Roman" w:cs="Times New Roman"/>
          <w:sz w:val="24"/>
          <w:szCs w:val="24"/>
        </w:rPr>
        <w:t>Приднестровского республиканского банка от 19 июня 2007 года № 20-И «</w:t>
      </w:r>
      <w:r w:rsidRPr="00B35A91">
        <w:rPr>
          <w:rFonts w:ascii="Times New Roman" w:hAnsi="Times New Roman" w:cs="Times New Roman"/>
          <w:sz w:val="24"/>
          <w:szCs w:val="24"/>
        </w:rPr>
        <w:t xml:space="preserve">О порядке составления и представления кредитными организациями Приднестровской Молдавской Республики отчётности о средневзвешенных процентных ставках по операциям размещения и привлечения средств» (Регистрационный </w:t>
      </w:r>
      <w:r w:rsidRPr="00B35A91">
        <w:rPr>
          <w:rFonts w:ascii="Times New Roman" w:hAnsi="Times New Roman" w:cs="Times New Roman"/>
          <w:sz w:val="24"/>
          <w:szCs w:val="24"/>
        </w:rPr>
        <w:br/>
        <w:t>№ 9781 от 2 ноября 2020 года) (САЗ 20-45)</w:t>
      </w:r>
      <w:r w:rsidRPr="00B35A91">
        <w:rPr>
          <w:rFonts w:ascii="Times New Roman" w:hAnsi="Times New Roman" w:cs="Times New Roman"/>
          <w:bCs/>
          <w:sz w:val="24"/>
          <w:szCs w:val="24"/>
        </w:rPr>
        <w:t>;</w:t>
      </w:r>
    </w:p>
    <w:p w14:paraId="2FBC8CC9" w14:textId="77777777" w:rsidR="00EF13D3" w:rsidRPr="00B35A91" w:rsidRDefault="00EF13D3" w:rsidP="00EF13D3">
      <w:pPr>
        <w:pStyle w:val="aff4"/>
        <w:widowControl w:val="0"/>
        <w:numPr>
          <w:ilvl w:val="0"/>
          <w:numId w:val="21"/>
        </w:numPr>
        <w:spacing w:before="0" w:after="0" w:line="240" w:lineRule="auto"/>
        <w:ind w:left="0" w:firstLine="425"/>
        <w:jc w:val="both"/>
        <w:rPr>
          <w:rFonts w:ascii="Times New Roman" w:hAnsi="Times New Roman" w:cs="Times New Roman"/>
          <w:sz w:val="24"/>
          <w:szCs w:val="24"/>
        </w:rPr>
      </w:pPr>
      <w:r w:rsidRPr="00B35A91">
        <w:rPr>
          <w:rFonts w:ascii="Times New Roman" w:hAnsi="Times New Roman" w:cs="Times New Roman"/>
          <w:sz w:val="24"/>
          <w:szCs w:val="24"/>
        </w:rPr>
        <w:t xml:space="preserve">Указание Приднестровского республиканского банка от 24 сентября 2020 года </w:t>
      </w:r>
      <w:r w:rsidRPr="00B35A91">
        <w:rPr>
          <w:rFonts w:ascii="Times New Roman" w:hAnsi="Times New Roman" w:cs="Times New Roman"/>
          <w:sz w:val="24"/>
          <w:szCs w:val="24"/>
        </w:rPr>
        <w:br/>
        <w:t>№ 1290-У «</w:t>
      </w:r>
      <w:r w:rsidRPr="00B35A91">
        <w:rPr>
          <w:rFonts w:ascii="Times New Roman" w:eastAsia="Times New Roman" w:hAnsi="Times New Roman" w:cs="Times New Roman"/>
          <w:sz w:val="24"/>
          <w:szCs w:val="24"/>
        </w:rPr>
        <w:t>О внесении изменений и дополнений в Положение Приднестровского республиканского банка от 25 апреля 2007 года № 72-П «О порядке эмиссии банковских карт и об операциях, совершаемых с использованием платёжных карт</w:t>
      </w:r>
      <w:r w:rsidRPr="00B35A91">
        <w:rPr>
          <w:rFonts w:ascii="Times New Roman" w:hAnsi="Times New Roman" w:cs="Times New Roman"/>
          <w:sz w:val="24"/>
          <w:szCs w:val="24"/>
        </w:rPr>
        <w:t>»</w:t>
      </w:r>
      <w:r w:rsidRPr="00B35A91">
        <w:rPr>
          <w:rFonts w:ascii="Times New Roman" w:eastAsia="Times New Roman" w:hAnsi="Times New Roman" w:cs="Times New Roman"/>
          <w:sz w:val="24"/>
          <w:szCs w:val="24"/>
        </w:rPr>
        <w:t xml:space="preserve"> </w:t>
      </w:r>
      <w:r w:rsidRPr="00B35A91">
        <w:rPr>
          <w:rFonts w:ascii="Times New Roman" w:hAnsi="Times New Roman" w:cs="Times New Roman"/>
          <w:sz w:val="24"/>
          <w:szCs w:val="24"/>
        </w:rPr>
        <w:t xml:space="preserve">(Регистрационный № 9780 </w:t>
      </w:r>
      <w:r w:rsidRPr="00B35A91">
        <w:rPr>
          <w:rFonts w:ascii="Times New Roman" w:hAnsi="Times New Roman" w:cs="Times New Roman"/>
          <w:sz w:val="24"/>
          <w:szCs w:val="24"/>
        </w:rPr>
        <w:lastRenderedPageBreak/>
        <w:t>от 2 ноября 2020 года) (САЗ 20-45)</w:t>
      </w:r>
      <w:r w:rsidRPr="00B35A91">
        <w:rPr>
          <w:rFonts w:ascii="Times New Roman" w:hAnsi="Times New Roman" w:cs="Times New Roman"/>
          <w:bCs/>
          <w:sz w:val="24"/>
          <w:szCs w:val="24"/>
        </w:rPr>
        <w:t>;</w:t>
      </w:r>
    </w:p>
    <w:p w14:paraId="6F71B6A9" w14:textId="77777777" w:rsidR="00EF13D3" w:rsidRPr="00B35A91" w:rsidRDefault="00EF13D3" w:rsidP="004216F3">
      <w:pPr>
        <w:pStyle w:val="aff4"/>
        <w:widowControl w:val="0"/>
        <w:numPr>
          <w:ilvl w:val="0"/>
          <w:numId w:val="21"/>
        </w:numPr>
        <w:tabs>
          <w:tab w:val="left" w:pos="851"/>
        </w:tabs>
        <w:autoSpaceDE w:val="0"/>
        <w:autoSpaceDN w:val="0"/>
        <w:adjustRightInd w:val="0"/>
        <w:spacing w:before="0" w:after="0" w:line="240" w:lineRule="auto"/>
        <w:ind w:left="0" w:firstLine="425"/>
        <w:jc w:val="both"/>
        <w:rPr>
          <w:rFonts w:ascii="Times New Roman" w:hAnsi="Times New Roman" w:cs="Times New Roman"/>
          <w:sz w:val="24"/>
          <w:szCs w:val="24"/>
        </w:rPr>
      </w:pPr>
      <w:r w:rsidRPr="00B35A91">
        <w:rPr>
          <w:rFonts w:ascii="Times New Roman" w:hAnsi="Times New Roman" w:cs="Times New Roman"/>
          <w:sz w:val="24"/>
          <w:szCs w:val="24"/>
        </w:rPr>
        <w:t xml:space="preserve">Указание Приднестровского республиканского банка от 24 сентября 2020 года </w:t>
      </w:r>
      <w:r w:rsidRPr="00B35A91">
        <w:rPr>
          <w:rFonts w:ascii="Times New Roman" w:hAnsi="Times New Roman" w:cs="Times New Roman"/>
          <w:sz w:val="24"/>
          <w:szCs w:val="24"/>
        </w:rPr>
        <w:br/>
        <w:t>№ 1293-У «</w:t>
      </w:r>
      <w:r w:rsidRPr="00B35A91">
        <w:rPr>
          <w:rFonts w:ascii="Times New Roman" w:eastAsia="Times New Roman" w:hAnsi="Times New Roman" w:cs="Times New Roman"/>
          <w:sz w:val="24"/>
          <w:szCs w:val="24"/>
        </w:rPr>
        <w:t>О внесении изменений и дополнения в Положение Приднестровского республиканского банка от 25 апреля 2007 года № 72-П «О порядке эмиссии банковских карт и об операциях, совершаемых с использованием платёжных карт</w:t>
      </w:r>
      <w:r w:rsidRPr="00B35A91">
        <w:rPr>
          <w:rFonts w:ascii="Times New Roman" w:hAnsi="Times New Roman" w:cs="Times New Roman"/>
          <w:sz w:val="24"/>
          <w:szCs w:val="24"/>
        </w:rPr>
        <w:t xml:space="preserve">» </w:t>
      </w:r>
      <w:r w:rsidRPr="00B35A91">
        <w:rPr>
          <w:rFonts w:ascii="Times New Roman" w:hAnsi="Times New Roman" w:cs="Times New Roman"/>
          <w:bCs/>
          <w:sz w:val="24"/>
          <w:szCs w:val="24"/>
        </w:rPr>
        <w:t xml:space="preserve">(Регистрационный № 3945 от 31 мая 2007 года) (САЗ 07-23)» </w:t>
      </w:r>
      <w:r w:rsidRPr="00B35A91">
        <w:rPr>
          <w:rFonts w:ascii="Times New Roman" w:hAnsi="Times New Roman" w:cs="Times New Roman"/>
          <w:sz w:val="24"/>
          <w:szCs w:val="24"/>
        </w:rPr>
        <w:t>(Регистрационный №</w:t>
      </w:r>
      <w:r w:rsidRPr="00B35A91">
        <w:rPr>
          <w:rFonts w:ascii="Times New Roman" w:hAnsi="Times New Roman" w:cs="Times New Roman"/>
          <w:bCs/>
          <w:sz w:val="24"/>
          <w:szCs w:val="24"/>
        </w:rPr>
        <w:t xml:space="preserve"> 9754 от 21 октября 2020 года) </w:t>
      </w:r>
      <w:r w:rsidRPr="00B35A91">
        <w:rPr>
          <w:rFonts w:ascii="Times New Roman" w:hAnsi="Times New Roman" w:cs="Times New Roman"/>
          <w:bCs/>
          <w:sz w:val="24"/>
          <w:szCs w:val="24"/>
        </w:rPr>
        <w:br/>
        <w:t>(САЗ 20-43);</w:t>
      </w:r>
    </w:p>
    <w:p w14:paraId="787961B5" w14:textId="77777777" w:rsidR="00EF13D3" w:rsidRPr="0049786B" w:rsidRDefault="00EF13D3" w:rsidP="004216F3">
      <w:pPr>
        <w:pStyle w:val="aff4"/>
        <w:numPr>
          <w:ilvl w:val="0"/>
          <w:numId w:val="21"/>
        </w:numPr>
        <w:tabs>
          <w:tab w:val="left" w:pos="851"/>
        </w:tabs>
        <w:spacing w:before="0" w:after="0" w:line="240" w:lineRule="auto"/>
        <w:ind w:left="0" w:firstLine="425"/>
        <w:jc w:val="both"/>
        <w:rPr>
          <w:rFonts w:ascii="Times New Roman" w:hAnsi="Times New Roman" w:cs="Times New Roman"/>
          <w:bCs/>
          <w:sz w:val="24"/>
          <w:szCs w:val="24"/>
        </w:rPr>
      </w:pPr>
      <w:r w:rsidRPr="00B35A91">
        <w:rPr>
          <w:rFonts w:ascii="Times New Roman" w:hAnsi="Times New Roman" w:cs="Times New Roman"/>
          <w:sz w:val="24"/>
          <w:szCs w:val="24"/>
        </w:rPr>
        <w:t xml:space="preserve">Указание Приднестровского республиканского банка от 2 ноября 2020 года </w:t>
      </w:r>
      <w:r w:rsidRPr="00B35A91">
        <w:rPr>
          <w:rFonts w:ascii="Times New Roman" w:hAnsi="Times New Roman" w:cs="Times New Roman"/>
          <w:sz w:val="24"/>
          <w:szCs w:val="24"/>
        </w:rPr>
        <w:br/>
        <w:t>№ 1303-У</w:t>
      </w:r>
      <w:r w:rsidRPr="00B35A91">
        <w:rPr>
          <w:rFonts w:ascii="Times New Roman" w:hAnsi="Times New Roman" w:cs="Times New Roman"/>
          <w:bCs/>
          <w:sz w:val="24"/>
          <w:szCs w:val="24"/>
        </w:rPr>
        <w:t xml:space="preserve"> «О внесении изменений и дополнения в Положение Приднестровского республиканского банка от 20 ноября 2019 года № 133-П</w:t>
      </w:r>
      <w:r w:rsidRPr="0049786B">
        <w:rPr>
          <w:rFonts w:ascii="Times New Roman" w:hAnsi="Times New Roman" w:cs="Times New Roman"/>
          <w:bCs/>
          <w:sz w:val="24"/>
          <w:szCs w:val="24"/>
        </w:rPr>
        <w:t xml:space="preserve"> «О внутренних структурных подразделениях кредитной организации» (Регистрационный № 9222 от 18 декабря 2019 года) (САЗ 19-49)» (регистрационный</w:t>
      </w:r>
      <w:r>
        <w:rPr>
          <w:rFonts w:ascii="Times New Roman" w:hAnsi="Times New Roman" w:cs="Times New Roman"/>
          <w:bCs/>
          <w:sz w:val="24"/>
          <w:szCs w:val="24"/>
        </w:rPr>
        <w:t xml:space="preserve"> </w:t>
      </w:r>
      <w:r w:rsidRPr="0049786B">
        <w:rPr>
          <w:rFonts w:ascii="Times New Roman" w:hAnsi="Times New Roman" w:cs="Times New Roman"/>
          <w:bCs/>
          <w:sz w:val="24"/>
          <w:szCs w:val="24"/>
        </w:rPr>
        <w:t>№ 9849 от 24 ноября</w:t>
      </w:r>
      <w:r>
        <w:rPr>
          <w:rFonts w:ascii="Times New Roman" w:hAnsi="Times New Roman" w:cs="Times New Roman"/>
          <w:bCs/>
          <w:sz w:val="24"/>
          <w:szCs w:val="24"/>
        </w:rPr>
        <w:t xml:space="preserve"> </w:t>
      </w:r>
      <w:r w:rsidRPr="0049786B">
        <w:rPr>
          <w:rFonts w:ascii="Times New Roman" w:hAnsi="Times New Roman" w:cs="Times New Roman"/>
          <w:bCs/>
          <w:sz w:val="24"/>
          <w:szCs w:val="24"/>
        </w:rPr>
        <w:t>2020 года)</w:t>
      </w:r>
      <w:r w:rsidRPr="0049786B">
        <w:rPr>
          <w:rFonts w:ascii="Times New Roman" w:hAnsi="Times New Roman" w:cs="Times New Roman"/>
          <w:sz w:val="24"/>
          <w:szCs w:val="24"/>
        </w:rPr>
        <w:t xml:space="preserve"> (САЗ 20-48);</w:t>
      </w:r>
    </w:p>
    <w:p w14:paraId="63A667BE" w14:textId="77777777" w:rsidR="00EF13D3" w:rsidRPr="0049786B" w:rsidRDefault="00EF13D3" w:rsidP="004216F3">
      <w:pPr>
        <w:pStyle w:val="aff4"/>
        <w:numPr>
          <w:ilvl w:val="0"/>
          <w:numId w:val="21"/>
        </w:numPr>
        <w:tabs>
          <w:tab w:val="left" w:pos="851"/>
        </w:tabs>
        <w:spacing w:before="0" w:after="0" w:line="240" w:lineRule="auto"/>
        <w:ind w:left="0" w:firstLine="425"/>
        <w:jc w:val="both"/>
        <w:rPr>
          <w:rFonts w:ascii="Times New Roman" w:hAnsi="Times New Roman" w:cs="Times New Roman"/>
          <w:bCs/>
          <w:sz w:val="24"/>
          <w:szCs w:val="24"/>
        </w:rPr>
      </w:pPr>
      <w:r w:rsidRPr="0049786B">
        <w:rPr>
          <w:rFonts w:ascii="Times New Roman" w:hAnsi="Times New Roman" w:cs="Times New Roman"/>
          <w:sz w:val="24"/>
          <w:szCs w:val="24"/>
        </w:rPr>
        <w:t xml:space="preserve">Указание Приднестровского республиканского банка от 06 ноября 2020 года </w:t>
      </w:r>
      <w:r>
        <w:rPr>
          <w:rFonts w:ascii="Times New Roman" w:hAnsi="Times New Roman" w:cs="Times New Roman"/>
          <w:sz w:val="24"/>
          <w:szCs w:val="24"/>
        </w:rPr>
        <w:br/>
      </w:r>
      <w:r w:rsidRPr="0049786B">
        <w:rPr>
          <w:rFonts w:ascii="Times New Roman" w:hAnsi="Times New Roman" w:cs="Times New Roman"/>
          <w:sz w:val="24"/>
          <w:szCs w:val="24"/>
        </w:rPr>
        <w:t>№</w:t>
      </w:r>
      <w:r>
        <w:rPr>
          <w:rFonts w:ascii="Times New Roman" w:hAnsi="Times New Roman" w:cs="Times New Roman"/>
          <w:sz w:val="24"/>
          <w:szCs w:val="24"/>
        </w:rPr>
        <w:t xml:space="preserve"> </w:t>
      </w:r>
      <w:r w:rsidRPr="0049786B">
        <w:rPr>
          <w:rFonts w:ascii="Times New Roman" w:hAnsi="Times New Roman" w:cs="Times New Roman"/>
          <w:sz w:val="24"/>
          <w:szCs w:val="24"/>
        </w:rPr>
        <w:t>1304-У</w:t>
      </w:r>
      <w:r w:rsidRPr="0049786B">
        <w:rPr>
          <w:rFonts w:ascii="Times New Roman" w:hAnsi="Times New Roman" w:cs="Times New Roman"/>
          <w:bCs/>
          <w:sz w:val="24"/>
          <w:szCs w:val="24"/>
        </w:rPr>
        <w:t xml:space="preserve"> «О внесении дополнений в Положение Приднестровского республиканского банка от 25 апреля 2007 года № 72-П «О порядке эмиссии банковских карт и об операциях, совершаемых с использованием платёжных карт» (Регистрационный № 3945 от 31 мая</w:t>
      </w:r>
      <w:r>
        <w:rPr>
          <w:rFonts w:ascii="Times New Roman" w:hAnsi="Times New Roman" w:cs="Times New Roman"/>
          <w:bCs/>
          <w:sz w:val="24"/>
          <w:szCs w:val="24"/>
        </w:rPr>
        <w:t xml:space="preserve"> </w:t>
      </w:r>
      <w:r>
        <w:rPr>
          <w:rFonts w:ascii="Times New Roman" w:hAnsi="Times New Roman" w:cs="Times New Roman"/>
          <w:bCs/>
          <w:sz w:val="24"/>
          <w:szCs w:val="24"/>
        </w:rPr>
        <w:br/>
      </w:r>
      <w:r w:rsidRPr="0049786B">
        <w:rPr>
          <w:rFonts w:ascii="Times New Roman" w:hAnsi="Times New Roman" w:cs="Times New Roman"/>
          <w:bCs/>
          <w:sz w:val="24"/>
          <w:szCs w:val="24"/>
        </w:rPr>
        <w:t>2007 года) (САЗ 07-23)» (регистрационный</w:t>
      </w:r>
      <w:r>
        <w:rPr>
          <w:rFonts w:ascii="Times New Roman" w:hAnsi="Times New Roman" w:cs="Times New Roman"/>
          <w:bCs/>
          <w:sz w:val="24"/>
          <w:szCs w:val="24"/>
        </w:rPr>
        <w:t xml:space="preserve"> </w:t>
      </w:r>
      <w:r w:rsidRPr="0049786B">
        <w:rPr>
          <w:rFonts w:ascii="Times New Roman" w:hAnsi="Times New Roman" w:cs="Times New Roman"/>
          <w:bCs/>
          <w:sz w:val="24"/>
          <w:szCs w:val="24"/>
        </w:rPr>
        <w:t>№ 9796 от 09 ноября</w:t>
      </w:r>
      <w:r>
        <w:rPr>
          <w:rFonts w:ascii="Times New Roman" w:hAnsi="Times New Roman" w:cs="Times New Roman"/>
          <w:bCs/>
          <w:sz w:val="24"/>
          <w:szCs w:val="24"/>
        </w:rPr>
        <w:t xml:space="preserve"> </w:t>
      </w:r>
      <w:r w:rsidRPr="0049786B">
        <w:rPr>
          <w:rFonts w:ascii="Times New Roman" w:hAnsi="Times New Roman" w:cs="Times New Roman"/>
          <w:bCs/>
          <w:sz w:val="24"/>
          <w:szCs w:val="24"/>
        </w:rPr>
        <w:t>2020 года)</w:t>
      </w:r>
      <w:r w:rsidRPr="0049786B">
        <w:rPr>
          <w:rFonts w:ascii="Times New Roman" w:hAnsi="Times New Roman" w:cs="Times New Roman"/>
          <w:sz w:val="24"/>
          <w:szCs w:val="24"/>
        </w:rPr>
        <w:t xml:space="preserve"> (САЗ 20-46);</w:t>
      </w:r>
    </w:p>
    <w:p w14:paraId="01E6E222" w14:textId="64D21F8C" w:rsidR="00EF13D3" w:rsidRPr="00EC7E6D" w:rsidRDefault="00EF13D3" w:rsidP="004216F3">
      <w:pPr>
        <w:pStyle w:val="aff4"/>
        <w:numPr>
          <w:ilvl w:val="0"/>
          <w:numId w:val="21"/>
        </w:numPr>
        <w:tabs>
          <w:tab w:val="left" w:pos="851"/>
        </w:tabs>
        <w:spacing w:before="0" w:after="0" w:line="240" w:lineRule="auto"/>
        <w:ind w:left="0" w:firstLine="425"/>
        <w:jc w:val="both"/>
        <w:rPr>
          <w:rFonts w:ascii="Times New Roman" w:hAnsi="Times New Roman" w:cs="Times New Roman"/>
          <w:b/>
          <w:sz w:val="24"/>
          <w:szCs w:val="24"/>
        </w:rPr>
      </w:pPr>
      <w:r w:rsidRPr="0049786B">
        <w:rPr>
          <w:rFonts w:ascii="Times New Roman" w:hAnsi="Times New Roman" w:cs="Times New Roman"/>
          <w:sz w:val="24"/>
          <w:szCs w:val="24"/>
        </w:rPr>
        <w:t xml:space="preserve">Указание Приднестровского республиканского банка от 22 декабря 2020 года </w:t>
      </w:r>
      <w:r>
        <w:rPr>
          <w:rFonts w:ascii="Times New Roman" w:hAnsi="Times New Roman" w:cs="Times New Roman"/>
          <w:sz w:val="24"/>
          <w:szCs w:val="24"/>
        </w:rPr>
        <w:br/>
      </w:r>
      <w:r w:rsidRPr="0049786B">
        <w:rPr>
          <w:rFonts w:ascii="Times New Roman" w:hAnsi="Times New Roman" w:cs="Times New Roman"/>
          <w:sz w:val="24"/>
          <w:szCs w:val="24"/>
        </w:rPr>
        <w:t>№</w:t>
      </w:r>
      <w:r>
        <w:rPr>
          <w:rFonts w:ascii="Times New Roman" w:hAnsi="Times New Roman" w:cs="Times New Roman"/>
          <w:sz w:val="24"/>
          <w:szCs w:val="24"/>
        </w:rPr>
        <w:t xml:space="preserve"> </w:t>
      </w:r>
      <w:r w:rsidRPr="0049786B">
        <w:rPr>
          <w:rFonts w:ascii="Times New Roman" w:hAnsi="Times New Roman" w:cs="Times New Roman"/>
          <w:sz w:val="24"/>
          <w:szCs w:val="24"/>
        </w:rPr>
        <w:t xml:space="preserve">1317-У «О внесении изменений и дополнений в Положение Приднестровского республиканского банка от 10 ноября 2009 года № 91-П </w:t>
      </w:r>
      <w:r w:rsidRPr="0049786B">
        <w:rPr>
          <w:rFonts w:ascii="Times New Roman" w:hAnsi="Times New Roman" w:cs="Times New Roman"/>
          <w:b/>
          <w:sz w:val="24"/>
          <w:szCs w:val="24"/>
        </w:rPr>
        <w:t>«</w:t>
      </w:r>
      <w:r w:rsidRPr="0049786B">
        <w:rPr>
          <w:rFonts w:ascii="Times New Roman" w:hAnsi="Times New Roman" w:cs="Times New Roman"/>
          <w:sz w:val="24"/>
          <w:szCs w:val="24"/>
        </w:rPr>
        <w:t>О порядке формирования и использования кредитными организациями фонда риска</w:t>
      </w:r>
      <w:r w:rsidRPr="0049786B">
        <w:rPr>
          <w:rFonts w:ascii="Times New Roman" w:hAnsi="Times New Roman" w:cs="Times New Roman"/>
          <w:b/>
          <w:sz w:val="24"/>
          <w:szCs w:val="24"/>
        </w:rPr>
        <w:t xml:space="preserve">» </w:t>
      </w:r>
      <w:r w:rsidRPr="0049786B">
        <w:rPr>
          <w:rFonts w:ascii="Times New Roman" w:hAnsi="Times New Roman" w:cs="Times New Roman"/>
          <w:sz w:val="24"/>
          <w:szCs w:val="24"/>
        </w:rPr>
        <w:t xml:space="preserve">(регистрационный № 5089 от </w:t>
      </w:r>
      <w:r>
        <w:rPr>
          <w:rFonts w:ascii="Times New Roman" w:hAnsi="Times New Roman" w:cs="Times New Roman"/>
          <w:sz w:val="24"/>
          <w:szCs w:val="24"/>
        </w:rPr>
        <w:br/>
      </w:r>
      <w:r w:rsidRPr="0049786B">
        <w:rPr>
          <w:rFonts w:ascii="Times New Roman" w:hAnsi="Times New Roman" w:cs="Times New Roman"/>
          <w:sz w:val="24"/>
          <w:szCs w:val="24"/>
        </w:rPr>
        <w:t>17 декабря 2009 года) (САЗ 09-51</w:t>
      </w:r>
      <w:r w:rsidRPr="00FF5A84">
        <w:rPr>
          <w:rFonts w:ascii="Times New Roman" w:hAnsi="Times New Roman" w:cs="Times New Roman"/>
          <w:sz w:val="24"/>
          <w:szCs w:val="24"/>
        </w:rPr>
        <w:t>)</w:t>
      </w:r>
      <w:r w:rsidRPr="00FF5A84">
        <w:rPr>
          <w:rFonts w:ascii="Times New Roman" w:hAnsi="Times New Roman" w:cs="Times New Roman"/>
          <w:b/>
          <w:sz w:val="24"/>
          <w:szCs w:val="24"/>
        </w:rPr>
        <w:t>»</w:t>
      </w:r>
      <w:r w:rsidRPr="00FF5A84">
        <w:rPr>
          <w:rFonts w:ascii="Times New Roman" w:hAnsi="Times New Roman" w:cs="Times New Roman"/>
          <w:sz w:val="24"/>
          <w:szCs w:val="24"/>
        </w:rPr>
        <w:t xml:space="preserve"> </w:t>
      </w:r>
      <w:r w:rsidRPr="0006343E">
        <w:rPr>
          <w:rFonts w:ascii="Times New Roman" w:hAnsi="Times New Roman" w:cs="Times New Roman"/>
          <w:snapToGrid w:val="0"/>
          <w:sz w:val="24"/>
          <w:szCs w:val="24"/>
        </w:rPr>
        <w:t>(регистрационный</w:t>
      </w:r>
      <w:r>
        <w:rPr>
          <w:rFonts w:ascii="Times New Roman" w:hAnsi="Times New Roman" w:cs="Times New Roman"/>
          <w:snapToGrid w:val="0"/>
          <w:sz w:val="24"/>
          <w:szCs w:val="24"/>
        </w:rPr>
        <w:t xml:space="preserve"> № 9987</w:t>
      </w:r>
      <w:r w:rsidRPr="0006343E">
        <w:rPr>
          <w:rFonts w:ascii="Times New Roman" w:hAnsi="Times New Roman" w:cs="Times New Roman"/>
          <w:snapToGrid w:val="0"/>
          <w:sz w:val="24"/>
          <w:szCs w:val="24"/>
        </w:rPr>
        <w:t xml:space="preserve"> от </w:t>
      </w:r>
      <w:r>
        <w:rPr>
          <w:rFonts w:ascii="Times New Roman" w:hAnsi="Times New Roman" w:cs="Times New Roman"/>
          <w:snapToGrid w:val="0"/>
          <w:sz w:val="24"/>
          <w:szCs w:val="24"/>
        </w:rPr>
        <w:t xml:space="preserve">3 февраля </w:t>
      </w:r>
      <w:r w:rsidRPr="0006343E">
        <w:rPr>
          <w:rFonts w:ascii="Times New Roman" w:hAnsi="Times New Roman" w:cs="Times New Roman"/>
          <w:snapToGrid w:val="0"/>
          <w:sz w:val="24"/>
          <w:szCs w:val="24"/>
        </w:rPr>
        <w:t>202</w:t>
      </w:r>
      <w:r>
        <w:rPr>
          <w:rFonts w:ascii="Times New Roman" w:hAnsi="Times New Roman" w:cs="Times New Roman"/>
          <w:snapToGrid w:val="0"/>
          <w:sz w:val="24"/>
          <w:szCs w:val="24"/>
        </w:rPr>
        <w:t>1</w:t>
      </w:r>
      <w:r w:rsidRPr="0006343E">
        <w:rPr>
          <w:rFonts w:ascii="Times New Roman" w:hAnsi="Times New Roman" w:cs="Times New Roman"/>
          <w:snapToGrid w:val="0"/>
          <w:sz w:val="24"/>
          <w:szCs w:val="24"/>
        </w:rPr>
        <w:t xml:space="preserve"> года) </w:t>
      </w:r>
      <w:r>
        <w:rPr>
          <w:rFonts w:ascii="Times New Roman" w:hAnsi="Times New Roman" w:cs="Times New Roman"/>
          <w:snapToGrid w:val="0"/>
          <w:sz w:val="24"/>
          <w:szCs w:val="24"/>
        </w:rPr>
        <w:br/>
        <w:t>(САЗ 21-5)</w:t>
      </w:r>
      <w:r w:rsidRPr="0006343E">
        <w:rPr>
          <w:rFonts w:ascii="Times New Roman" w:hAnsi="Times New Roman" w:cs="Times New Roman"/>
          <w:snapToGrid w:val="0"/>
          <w:sz w:val="24"/>
          <w:szCs w:val="24"/>
        </w:rPr>
        <w:t>.</w:t>
      </w:r>
    </w:p>
    <w:p w14:paraId="6C113A8A" w14:textId="77777777" w:rsidR="00EC7E6D" w:rsidRPr="00DE70B2" w:rsidRDefault="00EC7E6D" w:rsidP="00EC7E6D">
      <w:pPr>
        <w:pStyle w:val="aff4"/>
        <w:tabs>
          <w:tab w:val="left" w:pos="851"/>
        </w:tabs>
        <w:spacing w:before="0" w:after="0" w:line="240" w:lineRule="auto"/>
        <w:ind w:left="425"/>
        <w:jc w:val="both"/>
        <w:rPr>
          <w:rFonts w:ascii="Times New Roman" w:hAnsi="Times New Roman" w:cs="Times New Roman"/>
          <w:b/>
          <w:sz w:val="24"/>
          <w:szCs w:val="24"/>
        </w:rPr>
      </w:pPr>
    </w:p>
    <w:p w14:paraId="117DDA5E" w14:textId="78CBD72C" w:rsidR="00EF13D3" w:rsidRDefault="00EF13D3" w:rsidP="00822F2A">
      <w:pPr>
        <w:pStyle w:val="2"/>
        <w:spacing w:before="120" w:after="120" w:line="240" w:lineRule="auto"/>
        <w:jc w:val="center"/>
        <w:rPr>
          <w:b/>
          <w:noProof/>
        </w:rPr>
      </w:pPr>
      <w:r w:rsidRPr="001E028B">
        <w:rPr>
          <w:b/>
          <w:noProof/>
        </w:rPr>
        <w:t>В сфере регулирования и надзора страховой деятельности:</w:t>
      </w:r>
    </w:p>
    <w:p w14:paraId="242EFB7B" w14:textId="77777777" w:rsidR="00EF13D3" w:rsidRPr="00B35A91"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1</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ab/>
        <w:t xml:space="preserve">Положение Приднестровского республиканского банка от 23 января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xml:space="preserve">№ 136-П «О </w:t>
      </w:r>
      <w:r w:rsidRPr="00B35A91">
        <w:rPr>
          <w:rFonts w:ascii="Times New Roman" w:hAnsi="Times New Roman" w:cs="Times New Roman"/>
          <w:snapToGrid w:val="0"/>
          <w:sz w:val="24"/>
          <w:szCs w:val="24"/>
        </w:rPr>
        <w:t>единой методике определения размера расходов на восстановительный ремонт в отношении повреждённого транспортного средства» (Регистрационный № 9368 от 26 февраля 2020 года) (САЗ 20-9);</w:t>
      </w:r>
    </w:p>
    <w:p w14:paraId="3972520F" w14:textId="77777777" w:rsidR="00EF13D3" w:rsidRPr="00BD0AAD"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35A91">
        <w:rPr>
          <w:rFonts w:ascii="Times New Roman" w:hAnsi="Times New Roman" w:cs="Times New Roman"/>
          <w:snapToGrid w:val="0"/>
          <w:sz w:val="24"/>
          <w:szCs w:val="24"/>
        </w:rPr>
        <w:t>2.</w:t>
      </w:r>
      <w:r w:rsidRPr="00B35A91">
        <w:rPr>
          <w:rFonts w:ascii="Times New Roman" w:hAnsi="Times New Roman" w:cs="Times New Roman"/>
          <w:snapToGrid w:val="0"/>
          <w:sz w:val="24"/>
          <w:szCs w:val="24"/>
        </w:rPr>
        <w:tab/>
        <w:t xml:space="preserve">Указание Приднестровского республиканского банка от 12 февраля 2020 года </w:t>
      </w:r>
      <w:r w:rsidRPr="00B35A91">
        <w:rPr>
          <w:rFonts w:ascii="Times New Roman" w:hAnsi="Times New Roman" w:cs="Times New Roman"/>
          <w:snapToGrid w:val="0"/>
          <w:sz w:val="24"/>
          <w:szCs w:val="24"/>
        </w:rPr>
        <w:br/>
        <w:t>№ 1241-У «О внесении дополнений в Положение Приднестровского республиканского банка от 10 декабря 2019 года № 135-П «О правилах ведения бухгалтерского учёта субъектами страхового дела» (Регистрационный</w:t>
      </w:r>
      <w:r>
        <w:rPr>
          <w:rFonts w:ascii="Times New Roman" w:hAnsi="Times New Roman" w:cs="Times New Roman"/>
          <w:snapToGrid w:val="0"/>
          <w:sz w:val="24"/>
          <w:szCs w:val="24"/>
        </w:rPr>
        <w:t xml:space="preserve"> № 9272 от 10 января 2020 года)</w:t>
      </w:r>
      <w:r w:rsidRPr="00BD0AAD">
        <w:rPr>
          <w:rFonts w:ascii="Times New Roman" w:hAnsi="Times New Roman" w:cs="Times New Roman"/>
          <w:snapToGrid w:val="0"/>
          <w:sz w:val="24"/>
          <w:szCs w:val="24"/>
        </w:rPr>
        <w:t xml:space="preserve"> (САЗ 20-2)» (Регистрационный № 9405 от 16 марта 2020 года) (САЗ 20-12);</w:t>
      </w:r>
    </w:p>
    <w:p w14:paraId="71C2E203" w14:textId="77777777" w:rsidR="00EF13D3" w:rsidRPr="00BD0AAD"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3</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ab/>
        <w:t>Указание Приднестровского республиканского банка от 25 июня 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1275-У «О внесении изменений в Положение Приднестровского республиканского банка от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25 октября 2019 года № 131-П «О правилах формирования страховых резервов по страхованию иному, чем страхование жизни» (Регистрационный № 9219 от</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16 декабря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2019 года) (САЗ 19-49)» (Регистрационный № 9614 от 24 июля 2020 года) (САЗ 20-30).</w:t>
      </w:r>
    </w:p>
    <w:p w14:paraId="5C6581C0" w14:textId="77777777" w:rsidR="00EF13D3" w:rsidRPr="00BD0AAD"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4</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 xml:space="preserve"> Указание Приднестровского республиканского банка от 22 июля 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1284-У</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xml:space="preserve">«О внесении изменений и дополнений в Инструкцию Приднестровского республиканского банка от 31 октября 2018 года № 40-И «О формах, сроках и порядке составления и представления отчётности страховыми организациями в Приднестровский республиканский банк» (Регистрационный № 8728 от 12 марта 2019 года) (САЗ 19-10)» (Регистрационный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9664 от 24 августа 2020 года) (САЗ 20-35);</w:t>
      </w:r>
    </w:p>
    <w:p w14:paraId="3D2F9BE9" w14:textId="77777777" w:rsidR="00EF13D3"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5</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 xml:space="preserve"> Указание Приднестровс</w:t>
      </w:r>
      <w:r>
        <w:rPr>
          <w:rFonts w:ascii="Times New Roman" w:hAnsi="Times New Roman" w:cs="Times New Roman"/>
          <w:snapToGrid w:val="0"/>
          <w:sz w:val="24"/>
          <w:szCs w:val="24"/>
        </w:rPr>
        <w:t xml:space="preserve">кого республиканского банка от </w:t>
      </w:r>
      <w:r w:rsidRPr="00BD0AAD">
        <w:rPr>
          <w:rFonts w:ascii="Times New Roman" w:hAnsi="Times New Roman" w:cs="Times New Roman"/>
          <w:snapToGrid w:val="0"/>
          <w:sz w:val="24"/>
          <w:szCs w:val="24"/>
        </w:rPr>
        <w:t>2 декабря 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1309-У «О внесении изменений в некоторые нормативные акты Приднестровского республиканского </w:t>
      </w:r>
      <w:r w:rsidRPr="00BD0AAD">
        <w:rPr>
          <w:rFonts w:ascii="Times New Roman" w:hAnsi="Times New Roman" w:cs="Times New Roman"/>
          <w:snapToGrid w:val="0"/>
          <w:sz w:val="24"/>
          <w:szCs w:val="24"/>
        </w:rPr>
        <w:lastRenderedPageBreak/>
        <w:t>банка»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9921 от 25 декабря 2020 года) (САЗ 20-52)</w:t>
      </w:r>
      <w:r w:rsidRPr="001E028B">
        <w:rPr>
          <w:rFonts w:ascii="Times New Roman" w:hAnsi="Times New Roman" w:cs="Times New Roman"/>
          <w:snapToGrid w:val="0"/>
          <w:sz w:val="24"/>
          <w:szCs w:val="24"/>
        </w:rPr>
        <w:t>.</w:t>
      </w:r>
    </w:p>
    <w:p w14:paraId="667D0878" w14:textId="7A9CF85F" w:rsidR="00EF13D3" w:rsidRDefault="00EF13D3" w:rsidP="00822F2A">
      <w:pPr>
        <w:pStyle w:val="2"/>
        <w:spacing w:before="120" w:after="120" w:line="240" w:lineRule="auto"/>
        <w:jc w:val="center"/>
        <w:rPr>
          <w:b/>
          <w:noProof/>
        </w:rPr>
      </w:pPr>
      <w:r w:rsidRPr="002D3904">
        <w:rPr>
          <w:b/>
          <w:szCs w:val="24"/>
        </w:rPr>
        <w:t xml:space="preserve">В сфере регулирования и надзора </w:t>
      </w:r>
      <w:r>
        <w:rPr>
          <w:b/>
          <w:szCs w:val="24"/>
        </w:rPr>
        <w:t>микрофинансовой деятельност</w:t>
      </w:r>
      <w:r w:rsidR="00437AF9">
        <w:rPr>
          <w:b/>
          <w:szCs w:val="24"/>
        </w:rPr>
        <w:t>и</w:t>
      </w:r>
      <w:r w:rsidRPr="001E028B">
        <w:rPr>
          <w:b/>
          <w:noProof/>
        </w:rPr>
        <w:t>:</w:t>
      </w:r>
    </w:p>
    <w:p w14:paraId="65BAC0BA" w14:textId="77777777" w:rsidR="00EF13D3" w:rsidRPr="00BD0AAD"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1</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 xml:space="preserve"> Инструкция Приднестровского республиканского банка от 02 ноября 2020 года</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42-И «О формах, сроках и порядке составления и представления в Приднестровский республиканский банк отчётности микрофинансовыми организациями» (регистрационный</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9895 от 17 декабря 2020 года) (САЗ 20-51);</w:t>
      </w:r>
    </w:p>
    <w:p w14:paraId="4880974E" w14:textId="77777777" w:rsidR="00EF13D3" w:rsidRPr="00BD0AAD"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2</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 xml:space="preserve"> Инструкция Приднестровского республиканского банка от 25 ноября 2020</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года</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43-И «О государственном реестре микрофинансовых организаций и требованиях к микрофинансовым организациям»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 9914 от 24 декабря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(САЗ 20-52);</w:t>
      </w:r>
    </w:p>
    <w:p w14:paraId="08396F38" w14:textId="77777777" w:rsidR="00EF13D3" w:rsidRPr="00BD0AAD"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3</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 xml:space="preserve"> Положение Приднестровского республиканского банка от 28 сентября 2020</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года</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137-П «О порядке формирования микрофинансовыми организациями резервов на возможные потери по займам»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 9767 от 26 октября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(САЗ 20-44);</w:t>
      </w:r>
    </w:p>
    <w:p w14:paraId="1E6C6FB1" w14:textId="70E65E3D" w:rsidR="00EF13D3"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4</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 xml:space="preserve"> Положение Приднестровского республиканского банка от 12 октября 2020</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года</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138-П «О порядке определения и критериях существенности недостоверных отчётных данных, представляемых микрофинансовыми организациями в Приднестровский республиканский банк»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9805 от 12 ноября 2020 года) (САЗ 20-46)</w:t>
      </w:r>
      <w:r>
        <w:rPr>
          <w:rFonts w:ascii="Times New Roman" w:hAnsi="Times New Roman" w:cs="Times New Roman"/>
          <w:snapToGrid w:val="0"/>
          <w:sz w:val="24"/>
          <w:szCs w:val="24"/>
        </w:rPr>
        <w:t>.</w:t>
      </w:r>
    </w:p>
    <w:p w14:paraId="50BA341C" w14:textId="77777777" w:rsidR="00EA53CB" w:rsidRDefault="00EA53CB" w:rsidP="00EF13D3">
      <w:pPr>
        <w:widowControl w:val="0"/>
        <w:spacing w:before="0" w:after="0" w:line="240" w:lineRule="auto"/>
        <w:ind w:firstLine="425"/>
        <w:jc w:val="both"/>
        <w:rPr>
          <w:rFonts w:ascii="Times New Roman" w:hAnsi="Times New Roman" w:cs="Times New Roman"/>
          <w:snapToGrid w:val="0"/>
          <w:sz w:val="24"/>
          <w:szCs w:val="24"/>
        </w:rPr>
      </w:pPr>
    </w:p>
    <w:p w14:paraId="4105A38E" w14:textId="77777777" w:rsidR="00EF13D3" w:rsidRDefault="00EF13D3" w:rsidP="00822F2A">
      <w:pPr>
        <w:pStyle w:val="2"/>
        <w:spacing w:before="120" w:after="120" w:line="240" w:lineRule="auto"/>
        <w:jc w:val="center"/>
        <w:rPr>
          <w:b/>
          <w:noProof/>
        </w:rPr>
      </w:pPr>
      <w:r w:rsidRPr="001E028B">
        <w:rPr>
          <w:b/>
          <w:noProof/>
        </w:rPr>
        <w:t>В сфере общих вопросов деятельности кредитных</w:t>
      </w:r>
      <w:r>
        <w:rPr>
          <w:b/>
          <w:noProof/>
        </w:rPr>
        <w:t>,</w:t>
      </w:r>
      <w:r w:rsidRPr="001E028B">
        <w:rPr>
          <w:b/>
          <w:noProof/>
        </w:rPr>
        <w:t xml:space="preserve"> </w:t>
      </w:r>
      <w:r w:rsidRPr="00833C29">
        <w:rPr>
          <w:b/>
          <w:szCs w:val="24"/>
        </w:rPr>
        <w:t xml:space="preserve">страховых и </w:t>
      </w:r>
      <w:r w:rsidRPr="00FB402A">
        <w:rPr>
          <w:b/>
          <w:szCs w:val="24"/>
        </w:rPr>
        <w:t>микрофинансовых о</w:t>
      </w:r>
      <w:r w:rsidRPr="00833C29">
        <w:rPr>
          <w:b/>
          <w:szCs w:val="24"/>
        </w:rPr>
        <w:t>рганизаций</w:t>
      </w:r>
      <w:r w:rsidRPr="001E028B">
        <w:rPr>
          <w:b/>
          <w:noProof/>
        </w:rPr>
        <w:t>:</w:t>
      </w:r>
    </w:p>
    <w:p w14:paraId="106058A7" w14:textId="4C2D07C6" w:rsidR="00EF13D3"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1E028B">
        <w:rPr>
          <w:rFonts w:ascii="Times New Roman" w:hAnsi="Times New Roman" w:cs="Times New Roman"/>
          <w:snapToGrid w:val="0"/>
          <w:sz w:val="24"/>
          <w:szCs w:val="24"/>
        </w:rPr>
        <w:t xml:space="preserve">1. </w:t>
      </w:r>
      <w:r w:rsidRPr="00BD0AAD">
        <w:rPr>
          <w:rFonts w:ascii="Times New Roman" w:hAnsi="Times New Roman" w:cs="Times New Roman"/>
          <w:snapToGrid w:val="0"/>
          <w:sz w:val="24"/>
          <w:szCs w:val="24"/>
        </w:rPr>
        <w:t xml:space="preserve">Указание Приднестровского республиканского банка от 10 декабря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1313-У «О внесении изменений и дополнений в некоторые нормативные акты Приднестровского республиканского банка»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 </w:t>
      </w:r>
      <w:r w:rsidRPr="00B65916">
        <w:rPr>
          <w:rFonts w:ascii="Times New Roman" w:hAnsi="Times New Roman" w:cs="Times New Roman"/>
          <w:snapToGrid w:val="0"/>
          <w:sz w:val="24"/>
          <w:szCs w:val="24"/>
        </w:rPr>
        <w:t xml:space="preserve">9927 от 25 декабря </w:t>
      </w:r>
      <w:r>
        <w:rPr>
          <w:rFonts w:ascii="Times New Roman" w:hAnsi="Times New Roman" w:cs="Times New Roman"/>
          <w:snapToGrid w:val="0"/>
          <w:sz w:val="24"/>
          <w:szCs w:val="24"/>
        </w:rPr>
        <w:br/>
      </w:r>
      <w:r w:rsidRPr="00B65916">
        <w:rPr>
          <w:rFonts w:ascii="Times New Roman" w:hAnsi="Times New Roman" w:cs="Times New Roman"/>
          <w:snapToGrid w:val="0"/>
          <w:sz w:val="24"/>
          <w:szCs w:val="24"/>
        </w:rPr>
        <w:t>2020 года) (САЗ 20-52).</w:t>
      </w:r>
    </w:p>
    <w:p w14:paraId="76901D94" w14:textId="77777777" w:rsidR="00EA53CB" w:rsidRDefault="00EA53CB" w:rsidP="00EF13D3">
      <w:pPr>
        <w:widowControl w:val="0"/>
        <w:spacing w:before="0" w:after="0" w:line="240" w:lineRule="auto"/>
        <w:ind w:firstLine="425"/>
        <w:jc w:val="both"/>
        <w:rPr>
          <w:rFonts w:ascii="Times New Roman" w:hAnsi="Times New Roman" w:cs="Times New Roman"/>
          <w:snapToGrid w:val="0"/>
          <w:sz w:val="24"/>
          <w:szCs w:val="24"/>
        </w:rPr>
      </w:pPr>
    </w:p>
    <w:p w14:paraId="5B35BEE1" w14:textId="77777777" w:rsidR="00EF13D3" w:rsidRPr="00BE046B" w:rsidRDefault="00EF13D3" w:rsidP="00822F2A">
      <w:pPr>
        <w:pStyle w:val="2"/>
        <w:spacing w:before="120" w:after="120" w:line="240" w:lineRule="auto"/>
        <w:jc w:val="center"/>
        <w:rPr>
          <w:b/>
          <w:noProof/>
        </w:rPr>
      </w:pPr>
      <w:r w:rsidRPr="001E028B">
        <w:rPr>
          <w:b/>
          <w:noProof/>
        </w:rPr>
        <w:t>В сфере противодействия легализации (отмыванию) доходов, полученных преступным путём, и финансированию терроризма:</w:t>
      </w:r>
    </w:p>
    <w:p w14:paraId="37E8B121" w14:textId="77777777" w:rsidR="00EF13D3" w:rsidRPr="00694CF3"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1</w:t>
      </w:r>
      <w:r w:rsidRPr="00694CF3">
        <w:rPr>
          <w:rFonts w:ascii="Times New Roman" w:hAnsi="Times New Roman" w:cs="Times New Roman"/>
          <w:snapToGrid w:val="0"/>
          <w:sz w:val="24"/>
          <w:szCs w:val="24"/>
        </w:rPr>
        <w:t>.</w:t>
      </w:r>
      <w:r w:rsidRPr="00694CF3">
        <w:rPr>
          <w:rFonts w:ascii="Times New Roman" w:hAnsi="Times New Roman" w:cs="Times New Roman"/>
          <w:snapToGrid w:val="0"/>
          <w:sz w:val="24"/>
          <w:szCs w:val="24"/>
        </w:rPr>
        <w:tab/>
        <w:t>Указание Приднестровского республиканского банка от 31 января 2020 года № 1237-У «О внесении изменений и дополнения в Инструкцию Приднестровского республиканского банка от 9 ноября 2012 года № 34-И «О порядке представления в Приднестровский республиканский банк информации в целях противодействия легализации (отмыванию) доходов, полученных преступным путём, и финансированию терроризма» (Регистрационный № 6227 от 13 декабря 2012 года) (САЗ 12-51)» (Регистрационный № 9392 от 4 марта 2020 года) (САЗ 20-10);</w:t>
      </w:r>
    </w:p>
    <w:p w14:paraId="74E00E56" w14:textId="77777777" w:rsidR="00EF13D3" w:rsidRPr="00694CF3"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2</w:t>
      </w:r>
      <w:r w:rsidRPr="00694CF3">
        <w:rPr>
          <w:rFonts w:ascii="Times New Roman" w:hAnsi="Times New Roman" w:cs="Times New Roman"/>
          <w:snapToGrid w:val="0"/>
          <w:sz w:val="24"/>
          <w:szCs w:val="24"/>
        </w:rPr>
        <w:t>.</w:t>
      </w:r>
      <w:r w:rsidRPr="00694CF3">
        <w:rPr>
          <w:rFonts w:ascii="Times New Roman" w:hAnsi="Times New Roman" w:cs="Times New Roman"/>
          <w:snapToGrid w:val="0"/>
          <w:sz w:val="24"/>
          <w:szCs w:val="24"/>
        </w:rPr>
        <w:tab/>
        <w:t xml:space="preserve">Указание Приднестровского республиканского банка от 31 января 2020 года № 1238-У «О внесении изменений в Инструкцию Приднестровского республиканского банка от </w:t>
      </w:r>
      <w:r w:rsidRPr="00694CF3">
        <w:rPr>
          <w:rFonts w:ascii="Times New Roman" w:hAnsi="Times New Roman" w:cs="Times New Roman"/>
          <w:snapToGrid w:val="0"/>
          <w:sz w:val="24"/>
          <w:szCs w:val="24"/>
        </w:rPr>
        <w:br/>
        <w:t xml:space="preserve">12 сентября 2018 года № 38-И «О порядке представления в Приднестровский республиканский банк информации о случаях отказа от заключения договора банковского счёта (вклада), расторжения договора банковского счёта (вклада) с клиентом, о случаях отказа в выполнении распоряжения клиента о совершении операции с денежными средствами или иным имуществом и её доведения до сведения кредитных организаций» (Регистрационный № 8492 от 25 октября 2018 года) (САЗ 12-51)» (Регистрационный № 9393 от 4 марта 2020 года) </w:t>
      </w:r>
      <w:r w:rsidRPr="00694CF3">
        <w:rPr>
          <w:rFonts w:ascii="Times New Roman" w:hAnsi="Times New Roman" w:cs="Times New Roman"/>
          <w:snapToGrid w:val="0"/>
          <w:sz w:val="24"/>
          <w:szCs w:val="24"/>
        </w:rPr>
        <w:br/>
        <w:t>(САЗ 20-10);</w:t>
      </w:r>
    </w:p>
    <w:p w14:paraId="5292E0CB" w14:textId="77777777" w:rsidR="00EF13D3" w:rsidRPr="00694CF3"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3</w:t>
      </w:r>
      <w:r w:rsidRPr="00694CF3">
        <w:rPr>
          <w:rFonts w:ascii="Times New Roman" w:hAnsi="Times New Roman" w:cs="Times New Roman"/>
          <w:snapToGrid w:val="0"/>
          <w:sz w:val="24"/>
          <w:szCs w:val="24"/>
        </w:rPr>
        <w:t>.</w:t>
      </w:r>
      <w:r w:rsidRPr="00694CF3">
        <w:rPr>
          <w:rFonts w:ascii="Times New Roman" w:hAnsi="Times New Roman" w:cs="Times New Roman"/>
          <w:snapToGrid w:val="0"/>
          <w:sz w:val="24"/>
          <w:szCs w:val="24"/>
        </w:rPr>
        <w:tab/>
        <w:t xml:space="preserve">Указание Приднестровского республиканского банка от 12 февраля 2020 года </w:t>
      </w:r>
      <w:r w:rsidRPr="00694CF3">
        <w:rPr>
          <w:rFonts w:ascii="Times New Roman" w:hAnsi="Times New Roman" w:cs="Times New Roman"/>
          <w:snapToGrid w:val="0"/>
          <w:sz w:val="24"/>
          <w:szCs w:val="24"/>
        </w:rPr>
        <w:br/>
      </w:r>
      <w:r w:rsidRPr="00694CF3">
        <w:rPr>
          <w:rFonts w:ascii="Times New Roman" w:hAnsi="Times New Roman" w:cs="Times New Roman"/>
          <w:snapToGrid w:val="0"/>
          <w:sz w:val="24"/>
          <w:szCs w:val="24"/>
        </w:rPr>
        <w:lastRenderedPageBreak/>
        <w:t>№ 1242-У «О внесении в Положение ПРБ от 9 ноября 2012 года № 111-П «О порядке утверждения и согласования внутреннего контроля в целях противодействия легализации (отмыванию) доходов, полученных преступным путём, и финансированию терроризма» (Регистрационный № 6234 от 14 декабря 2012 года) (САЗ 12-51)» (Регистрационный № 9401 от 12 марта 2020 года) (САЗ 20-11);</w:t>
      </w:r>
    </w:p>
    <w:p w14:paraId="67C6A6C8" w14:textId="37C45CA1" w:rsidR="00EF13D3"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4</w:t>
      </w:r>
      <w:r w:rsidRPr="00694CF3">
        <w:rPr>
          <w:rFonts w:ascii="Times New Roman" w:hAnsi="Times New Roman" w:cs="Times New Roman"/>
          <w:snapToGrid w:val="0"/>
          <w:sz w:val="24"/>
          <w:szCs w:val="24"/>
        </w:rPr>
        <w:t xml:space="preserve">. Указание Приднестровского республиканского банка от 16 марта 2020 года № 1247-У «О внесении изменений в Положение Приднестровского республиканского банка от </w:t>
      </w:r>
      <w:r w:rsidRPr="00694CF3">
        <w:rPr>
          <w:rFonts w:ascii="Times New Roman" w:hAnsi="Times New Roman" w:cs="Times New Roman"/>
          <w:snapToGrid w:val="0"/>
          <w:sz w:val="24"/>
          <w:szCs w:val="24"/>
        </w:rPr>
        <w:br/>
        <w:t xml:space="preserve">20 августа 2018 года № 129-П «Об идентификации клиентов, представителей клиентов и выгодоприобретателей в целях противодействия легализации (отмыванию) доходов, полученных преступным путём, и финансированию терроризма» (Регистрационный № 8493 от 25 октября 2018 года) (САЗ 18-43)» (Регистрационный № 9451 от 8 апреля 2020 года) </w:t>
      </w:r>
      <w:r w:rsidRPr="00694CF3">
        <w:rPr>
          <w:rFonts w:ascii="Times New Roman" w:hAnsi="Times New Roman" w:cs="Times New Roman"/>
          <w:snapToGrid w:val="0"/>
          <w:sz w:val="24"/>
          <w:szCs w:val="24"/>
        </w:rPr>
        <w:br/>
        <w:t>(САЗ 20-17)</w:t>
      </w:r>
      <w:r>
        <w:rPr>
          <w:rFonts w:ascii="Times New Roman" w:hAnsi="Times New Roman" w:cs="Times New Roman"/>
          <w:snapToGrid w:val="0"/>
          <w:sz w:val="24"/>
          <w:szCs w:val="24"/>
        </w:rPr>
        <w:t>.</w:t>
      </w:r>
    </w:p>
    <w:p w14:paraId="032264D5" w14:textId="77777777" w:rsidR="002E6363" w:rsidRPr="00BB06F7" w:rsidRDefault="002E6363" w:rsidP="00EF13D3">
      <w:pPr>
        <w:widowControl w:val="0"/>
        <w:spacing w:before="0" w:after="0" w:line="240" w:lineRule="auto"/>
        <w:ind w:firstLine="425"/>
        <w:jc w:val="both"/>
        <w:rPr>
          <w:rFonts w:ascii="Times New Roman" w:hAnsi="Times New Roman" w:cs="Times New Roman"/>
          <w:snapToGrid w:val="0"/>
          <w:sz w:val="24"/>
          <w:szCs w:val="24"/>
        </w:rPr>
      </w:pPr>
    </w:p>
    <w:p w14:paraId="4AF93B18" w14:textId="77777777" w:rsidR="00EF13D3" w:rsidRDefault="00EF13D3" w:rsidP="00822F2A">
      <w:pPr>
        <w:pStyle w:val="2"/>
        <w:spacing w:before="120" w:after="120" w:line="240" w:lineRule="auto"/>
        <w:jc w:val="center"/>
        <w:rPr>
          <w:b/>
          <w:noProof/>
        </w:rPr>
      </w:pPr>
      <w:r w:rsidRPr="001E028B">
        <w:rPr>
          <w:b/>
          <w:noProof/>
        </w:rPr>
        <w:t>В сфере бухгалтерского учёта и отчётности:</w:t>
      </w:r>
    </w:p>
    <w:p w14:paraId="565CEBE6" w14:textId="77777777" w:rsidR="00EF13D3" w:rsidRPr="00694CF3"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Указание Приднестровского республиканского банка от 31 марта 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1254-У «О внесении дополнений в Инструкцию Приднестровского республиканского банка от 2 июля </w:t>
      </w:r>
      <w:r w:rsidRPr="00694CF3">
        <w:rPr>
          <w:rFonts w:ascii="Times New Roman" w:hAnsi="Times New Roman" w:cs="Times New Roman"/>
          <w:snapToGrid w:val="0"/>
          <w:sz w:val="24"/>
          <w:szCs w:val="24"/>
        </w:rPr>
        <w:t xml:space="preserve">2008 года № 25-И «О порядке представления кредитными организациями отдельных форм отчётности в Приднестровский республиканский банк» (Регистрационный № 4548 от </w:t>
      </w:r>
      <w:r w:rsidRPr="00694CF3">
        <w:rPr>
          <w:rFonts w:ascii="Times New Roman" w:hAnsi="Times New Roman" w:cs="Times New Roman"/>
          <w:snapToGrid w:val="0"/>
          <w:sz w:val="24"/>
          <w:szCs w:val="24"/>
        </w:rPr>
        <w:br/>
        <w:t xml:space="preserve">19 августа 2008 года) (САЗ 08-33)» (Регистрационный № 9530 от 29 мая 2020 года) </w:t>
      </w:r>
      <w:r w:rsidRPr="00694CF3">
        <w:rPr>
          <w:rFonts w:ascii="Times New Roman" w:hAnsi="Times New Roman" w:cs="Times New Roman"/>
          <w:snapToGrid w:val="0"/>
          <w:sz w:val="24"/>
          <w:szCs w:val="24"/>
        </w:rPr>
        <w:br/>
        <w:t>(САЗ 20-22);</w:t>
      </w:r>
    </w:p>
    <w:p w14:paraId="45D2AAC6" w14:textId="77777777" w:rsidR="00EF13D3" w:rsidRPr="00694CF3"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694CF3">
        <w:rPr>
          <w:rFonts w:ascii="Times New Roman" w:hAnsi="Times New Roman" w:cs="Times New Roman"/>
          <w:snapToGrid w:val="0"/>
          <w:sz w:val="24"/>
          <w:szCs w:val="24"/>
        </w:rPr>
        <w:t xml:space="preserve">Указание Приднестровского республиканского банка от 5 мая 2020 года № 1258-У </w:t>
      </w:r>
      <w:r w:rsidRPr="00694CF3">
        <w:rPr>
          <w:rFonts w:ascii="Times New Roman" w:hAnsi="Times New Roman" w:cs="Times New Roman"/>
          <w:snapToGrid w:val="0"/>
          <w:sz w:val="24"/>
          <w:szCs w:val="24"/>
        </w:rPr>
        <w:br/>
        <w:t xml:space="preserve">«О внесении дополнения в Указание Приднестровского республиканского банка от 23 января 2016 года № 889-У «О временном порядке применения некоторых нормативных актов Приднестровского республиканского банка» (Регистрационный № 7354 от 16 февраля </w:t>
      </w:r>
      <w:r w:rsidRPr="00694CF3">
        <w:rPr>
          <w:rFonts w:ascii="Times New Roman" w:hAnsi="Times New Roman" w:cs="Times New Roman"/>
          <w:snapToGrid w:val="0"/>
          <w:sz w:val="24"/>
          <w:szCs w:val="24"/>
        </w:rPr>
        <w:br/>
        <w:t>2016 года) (САЗ 16-7)» (Регистрационный № 9559 от 17 июня 2020 года) (САЗ 20-25);</w:t>
      </w:r>
    </w:p>
    <w:p w14:paraId="3DEE4E10" w14:textId="77777777" w:rsidR="00EF13D3" w:rsidRPr="00694CF3"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694CF3">
        <w:rPr>
          <w:rFonts w:ascii="Times New Roman" w:hAnsi="Times New Roman" w:cs="Times New Roman"/>
          <w:snapToGrid w:val="0"/>
          <w:sz w:val="24"/>
          <w:szCs w:val="24"/>
        </w:rPr>
        <w:t xml:space="preserve">Указание Приднестровского республиканского банка от 5 мая 2020 года № 1259-У </w:t>
      </w:r>
      <w:r w:rsidRPr="00694CF3">
        <w:rPr>
          <w:rFonts w:ascii="Times New Roman" w:hAnsi="Times New Roman" w:cs="Times New Roman"/>
          <w:snapToGrid w:val="0"/>
          <w:sz w:val="24"/>
          <w:szCs w:val="24"/>
        </w:rPr>
        <w:br/>
        <w:t xml:space="preserve">«О внесении изменений и дополнений в Инструкцию Приднестровского республиканского банка от 2 июля 2008 года № 25-И «О порядке представления кредитными организациями отдельных форм отчётности в Приднестровский республиканский банк» (Регистрационный </w:t>
      </w:r>
      <w:r w:rsidRPr="00694CF3">
        <w:rPr>
          <w:rFonts w:ascii="Times New Roman" w:hAnsi="Times New Roman" w:cs="Times New Roman"/>
          <w:snapToGrid w:val="0"/>
          <w:sz w:val="24"/>
          <w:szCs w:val="24"/>
        </w:rPr>
        <w:br/>
        <w:t>№ 4548 от 19 августа 2008 года) (САЗ 08-33)» (Регистрационный № 9540 от 9 июня 2020 года) (САЗ 20-24);</w:t>
      </w:r>
    </w:p>
    <w:p w14:paraId="7A35975F" w14:textId="77777777" w:rsidR="00EF13D3" w:rsidRPr="00BD0AAD"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694CF3">
        <w:rPr>
          <w:rFonts w:ascii="Times New Roman" w:hAnsi="Times New Roman" w:cs="Times New Roman"/>
          <w:snapToGrid w:val="0"/>
          <w:sz w:val="24"/>
          <w:szCs w:val="24"/>
        </w:rPr>
        <w:t xml:space="preserve">Указание Приднестровского республиканского банка от 12 мая 2020 года № 1260-У </w:t>
      </w:r>
      <w:r w:rsidRPr="00694CF3">
        <w:rPr>
          <w:rFonts w:ascii="Times New Roman" w:hAnsi="Times New Roman" w:cs="Times New Roman"/>
          <w:snapToGrid w:val="0"/>
          <w:sz w:val="24"/>
          <w:szCs w:val="24"/>
        </w:rPr>
        <w:br/>
        <w:t>«О внесении дополнения в Указание</w:t>
      </w:r>
      <w:r w:rsidRPr="00BD0AAD">
        <w:rPr>
          <w:rFonts w:ascii="Times New Roman" w:hAnsi="Times New Roman" w:cs="Times New Roman"/>
          <w:snapToGrid w:val="0"/>
          <w:sz w:val="24"/>
          <w:szCs w:val="24"/>
        </w:rPr>
        <w:t xml:space="preserve"> Приднестровского республиканского банка от 16 июля 2015 года № 860-У «О порядке составления кредитными организациями годовой бухгалтерской (финансовой) отчётности» (Регистрационный № 7215 от 17 августа 2015 года) (САЗ 15-34)» (Регистрационный № 9529 от 28 мая 2020 года) (САЗ 20-22);</w:t>
      </w:r>
    </w:p>
    <w:p w14:paraId="74FD165D" w14:textId="77777777" w:rsidR="00EF13D3" w:rsidRPr="00B35A91"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w:t>
      </w:r>
      <w:r w:rsidRPr="00B35A91">
        <w:rPr>
          <w:rFonts w:ascii="Times New Roman" w:hAnsi="Times New Roman" w:cs="Times New Roman"/>
          <w:snapToGrid w:val="0"/>
          <w:sz w:val="24"/>
          <w:szCs w:val="24"/>
        </w:rPr>
        <w:t xml:space="preserve">республиканского банка от 12 июня 2020 года № 1266-У «О внесении дополнений и изменений в некоторые нормативные правовые акты Приднестровского республиканского банка» (Регистрационный № 9573 от 29 июня 2020 года) (САЗ 20-27); </w:t>
      </w:r>
    </w:p>
    <w:p w14:paraId="2C4FDB8E" w14:textId="77777777" w:rsidR="00EF13D3" w:rsidRPr="00B35A91"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B35A91">
        <w:rPr>
          <w:rFonts w:ascii="Times New Roman" w:hAnsi="Times New Roman" w:cs="Times New Roman"/>
          <w:snapToGrid w:val="0"/>
          <w:sz w:val="24"/>
          <w:szCs w:val="24"/>
        </w:rPr>
        <w:t>Указание Приднестровского республиканского банка от 16 марта 2020 года № 1248-У «О внесении изменений и дополнения в Указание Приднестровского республиканского банка от 21 июля 2016 года № 920-У «О правилах учёта и хранения драгоценных металлов в кредитных организациях, расположенных на территории Приднестровской Молдавской Республики» (Регистрационный № 7507 от 3 августа 2016 года) (САЗ 16-31)» (Регистрационный № 9454 от 9 апреля 2020 года) (САЗ 20-15);</w:t>
      </w:r>
    </w:p>
    <w:p w14:paraId="0EA6B479" w14:textId="77777777" w:rsidR="00EF13D3" w:rsidRPr="00B35A91"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B35A91">
        <w:rPr>
          <w:rFonts w:ascii="Times New Roman" w:hAnsi="Times New Roman" w:cs="Times New Roman"/>
          <w:snapToGrid w:val="0"/>
          <w:sz w:val="24"/>
          <w:szCs w:val="24"/>
        </w:rPr>
        <w:t xml:space="preserve">Указание Приднестровского республиканского банка от 18 июня 2020 года № 1271-У </w:t>
      </w:r>
      <w:r w:rsidRPr="00B35A91">
        <w:rPr>
          <w:rFonts w:ascii="Times New Roman" w:hAnsi="Times New Roman" w:cs="Times New Roman"/>
          <w:snapToGrid w:val="0"/>
          <w:sz w:val="24"/>
          <w:szCs w:val="24"/>
        </w:rPr>
        <w:lastRenderedPageBreak/>
        <w:t>«О внесении изменения в Указание Приднестровского республиканского банка от 3 марта 2011 года № 441-У «О порядке составления и представления отчётности в Приднестровский республиканский банк» (Регистрационный № 5602 от 20 апреля 2011 года) (САЗ 11-16)» (Регистрационный № 9596 от 15 июля 2020 года) (САЗ 20-29);</w:t>
      </w:r>
    </w:p>
    <w:p w14:paraId="2C66504A" w14:textId="77777777" w:rsidR="00EF13D3" w:rsidRPr="00B53380"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Указание Приднестровского республиканского банка от 25 июня 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1276-У «О внесении изменения в Положение Приднестровского республиканского банка от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xml:space="preserve">10 декабря 2019 года № 135-П «О правилах ведения бухгалтерского учёта субъектами страхового дела» (Регистрационный № </w:t>
      </w:r>
      <w:r w:rsidRPr="00B53380">
        <w:rPr>
          <w:rFonts w:ascii="Times New Roman" w:hAnsi="Times New Roman" w:cs="Times New Roman"/>
          <w:snapToGrid w:val="0"/>
          <w:sz w:val="24"/>
          <w:szCs w:val="24"/>
        </w:rPr>
        <w:t>9272 от 10 января 2020 года) (САЗ 20-2)» (Регистрационный № 9642 от 14 августа 2020 года) (САЗ 20-33);</w:t>
      </w:r>
    </w:p>
    <w:p w14:paraId="6C22E18D" w14:textId="77777777" w:rsidR="00EF13D3" w:rsidRPr="00B53380" w:rsidRDefault="00EF13D3" w:rsidP="00EF13D3">
      <w:pPr>
        <w:pStyle w:val="aff4"/>
        <w:widowControl w:val="0"/>
        <w:numPr>
          <w:ilvl w:val="0"/>
          <w:numId w:val="22"/>
        </w:numPr>
        <w:spacing w:before="0" w:after="0" w:line="240" w:lineRule="auto"/>
        <w:ind w:left="0" w:firstLine="426"/>
        <w:jc w:val="both"/>
        <w:rPr>
          <w:rFonts w:ascii="Times New Roman" w:hAnsi="Times New Roman" w:cs="Times New Roman"/>
          <w:snapToGrid w:val="0"/>
          <w:sz w:val="24"/>
          <w:szCs w:val="24"/>
        </w:rPr>
      </w:pPr>
      <w:r w:rsidRPr="00B53380">
        <w:rPr>
          <w:rFonts w:ascii="Times New Roman" w:hAnsi="Times New Roman" w:cs="Times New Roman"/>
          <w:snapToGrid w:val="0"/>
          <w:sz w:val="24"/>
          <w:szCs w:val="24"/>
        </w:rPr>
        <w:t xml:space="preserve">Указание Приднестровского республиканского банка от 25 июня 2020 года № 1277-У «О внесении изменения в Положение Приднестровского республиканского банка от </w:t>
      </w:r>
      <w:r w:rsidRPr="00B53380">
        <w:rPr>
          <w:rFonts w:ascii="Times New Roman" w:hAnsi="Times New Roman" w:cs="Times New Roman"/>
          <w:snapToGrid w:val="0"/>
          <w:sz w:val="24"/>
          <w:szCs w:val="24"/>
        </w:rPr>
        <w:br/>
        <w:t xml:space="preserve">10 декабря 2019 года № 134-П «О плане счетов бухгалтерского учёта субъектов страхового дела» (Регистрационный № 9275 от 11 января 2020 года) (САЗ 20-2)» (Регистрационный </w:t>
      </w:r>
      <w:r w:rsidRPr="00B53380">
        <w:rPr>
          <w:rFonts w:ascii="Times New Roman" w:hAnsi="Times New Roman" w:cs="Times New Roman"/>
          <w:snapToGrid w:val="0"/>
          <w:sz w:val="24"/>
          <w:szCs w:val="24"/>
        </w:rPr>
        <w:br/>
        <w:t>№ 9645 от 14 августа 2020 года) (САЗ 20-33);</w:t>
      </w:r>
    </w:p>
    <w:p w14:paraId="1133C0AE" w14:textId="77777777" w:rsidR="00EF13D3" w:rsidRPr="00BD0AAD" w:rsidRDefault="00EF13D3" w:rsidP="004216F3">
      <w:pPr>
        <w:pStyle w:val="aff4"/>
        <w:widowControl w:val="0"/>
        <w:numPr>
          <w:ilvl w:val="0"/>
          <w:numId w:val="22"/>
        </w:numPr>
        <w:tabs>
          <w:tab w:val="left" w:pos="851"/>
        </w:tabs>
        <w:spacing w:before="0" w:after="0" w:line="240" w:lineRule="auto"/>
        <w:ind w:left="0" w:firstLine="426"/>
        <w:jc w:val="both"/>
        <w:rPr>
          <w:rFonts w:ascii="Times New Roman" w:hAnsi="Times New Roman" w:cs="Times New Roman"/>
          <w:snapToGrid w:val="0"/>
          <w:sz w:val="24"/>
          <w:szCs w:val="24"/>
        </w:rPr>
      </w:pPr>
      <w:r w:rsidRPr="00B53380">
        <w:rPr>
          <w:rFonts w:ascii="Times New Roman" w:hAnsi="Times New Roman" w:cs="Times New Roman"/>
          <w:snapToGrid w:val="0"/>
          <w:sz w:val="24"/>
          <w:szCs w:val="24"/>
        </w:rPr>
        <w:t>Указание Приднестровского республиканского банка от 25 июня 2020 года № 1278-У «О внесении изменений в Указание Приднестровского республиканского банка от 10 декабря 2019 года № 1224-У «О порядке перехода на план счетов бухгалтерского учёта субъектов страхового дела и правила ведения бухгалтерского учёта субъектами страхового дела</w:t>
      </w:r>
      <w:r w:rsidRPr="00BD0AAD">
        <w:rPr>
          <w:rFonts w:ascii="Times New Roman" w:hAnsi="Times New Roman" w:cs="Times New Roman"/>
          <w:snapToGrid w:val="0"/>
          <w:sz w:val="24"/>
          <w:szCs w:val="24"/>
        </w:rPr>
        <w:t xml:space="preserve">, вводимые в действие с 1 января 2021 года» (Регистрационный № 9274 от 11 января 2020 года) (САЗ 20-02)» (Регистрационный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9274 от 11 января 2020 года) (САЗ 20-2);</w:t>
      </w:r>
    </w:p>
    <w:p w14:paraId="0973A0C4" w14:textId="77777777" w:rsidR="00EF13D3" w:rsidRPr="00B53380" w:rsidRDefault="00EF13D3" w:rsidP="004216F3">
      <w:pPr>
        <w:pStyle w:val="aff4"/>
        <w:widowControl w:val="0"/>
        <w:numPr>
          <w:ilvl w:val="0"/>
          <w:numId w:val="22"/>
        </w:numPr>
        <w:tabs>
          <w:tab w:val="left" w:pos="851"/>
        </w:tabs>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Указание Приднестровского республиканского банка от 25 июня 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1279-У «О внесении изменений в Указание Приднестровского республиканского банка от 20 декабря 2019 года № 1227-У «О порядке перехода на новые правила формирования страховых резервов по страхованию иному, </w:t>
      </w:r>
      <w:r w:rsidRPr="00B53380">
        <w:rPr>
          <w:rFonts w:ascii="Times New Roman" w:hAnsi="Times New Roman" w:cs="Times New Roman"/>
          <w:snapToGrid w:val="0"/>
          <w:sz w:val="24"/>
          <w:szCs w:val="24"/>
        </w:rPr>
        <w:t xml:space="preserve">чем страхование жизни» (Регистрационный № 9268 от 30 декабря </w:t>
      </w:r>
      <w:r w:rsidRPr="00B53380">
        <w:rPr>
          <w:rFonts w:ascii="Times New Roman" w:hAnsi="Times New Roman" w:cs="Times New Roman"/>
          <w:snapToGrid w:val="0"/>
          <w:sz w:val="24"/>
          <w:szCs w:val="24"/>
        </w:rPr>
        <w:br/>
        <w:t>2019 года) (САЗ 20-01)» (Регистрационный № 9618 от 28 июля 2020 года) (САЗ 20-31);</w:t>
      </w:r>
    </w:p>
    <w:p w14:paraId="33EB329B" w14:textId="77777777" w:rsidR="00EF13D3" w:rsidRPr="00B53380" w:rsidRDefault="00EF13D3" w:rsidP="004216F3">
      <w:pPr>
        <w:pStyle w:val="aff4"/>
        <w:widowControl w:val="0"/>
        <w:numPr>
          <w:ilvl w:val="0"/>
          <w:numId w:val="22"/>
        </w:numPr>
        <w:tabs>
          <w:tab w:val="left" w:pos="851"/>
        </w:tabs>
        <w:spacing w:before="0" w:after="0" w:line="240" w:lineRule="auto"/>
        <w:ind w:left="0" w:firstLine="426"/>
        <w:jc w:val="both"/>
        <w:rPr>
          <w:rFonts w:ascii="Times New Roman" w:hAnsi="Times New Roman" w:cs="Times New Roman"/>
          <w:snapToGrid w:val="0"/>
          <w:sz w:val="24"/>
          <w:szCs w:val="24"/>
        </w:rPr>
      </w:pPr>
      <w:r w:rsidRPr="00B53380">
        <w:rPr>
          <w:rFonts w:ascii="Times New Roman" w:hAnsi="Times New Roman" w:cs="Times New Roman"/>
          <w:snapToGrid w:val="0"/>
          <w:sz w:val="24"/>
          <w:szCs w:val="24"/>
        </w:rPr>
        <w:t>Указание Приднестровского республиканского банка от 25 июня 2020 года № 1280-У «О внесении изменений в Указание Приднестровского республиканского банка от 10 декабря 2019 года № 1225-У «О порядке составления субъектами страхового дела годовой финансовой отчётности» (Регистрационный № 9273 от 10 января 2020 года) (САЗ 20-02)» (Регистрационный № 9644 от 14 августа 2020 года) (САЗ 20-33);</w:t>
      </w:r>
    </w:p>
    <w:p w14:paraId="61012F03" w14:textId="77777777" w:rsidR="00EF13D3" w:rsidRPr="00BD0AAD" w:rsidRDefault="00EF13D3" w:rsidP="004216F3">
      <w:pPr>
        <w:pStyle w:val="aff4"/>
        <w:widowControl w:val="0"/>
        <w:numPr>
          <w:ilvl w:val="0"/>
          <w:numId w:val="22"/>
        </w:numPr>
        <w:tabs>
          <w:tab w:val="left" w:pos="851"/>
        </w:tabs>
        <w:spacing w:before="0" w:after="0" w:line="240" w:lineRule="auto"/>
        <w:ind w:left="0" w:firstLine="426"/>
        <w:jc w:val="both"/>
        <w:rPr>
          <w:rFonts w:ascii="Times New Roman" w:hAnsi="Times New Roman" w:cs="Times New Roman"/>
          <w:snapToGrid w:val="0"/>
          <w:sz w:val="24"/>
          <w:szCs w:val="24"/>
        </w:rPr>
      </w:pPr>
      <w:r w:rsidRPr="00B53380">
        <w:rPr>
          <w:rFonts w:ascii="Times New Roman" w:hAnsi="Times New Roman" w:cs="Times New Roman"/>
          <w:snapToGrid w:val="0"/>
          <w:sz w:val="24"/>
          <w:szCs w:val="24"/>
        </w:rPr>
        <w:t>Указание Приднестр</w:t>
      </w:r>
      <w:r w:rsidRPr="00BD0AAD">
        <w:rPr>
          <w:rFonts w:ascii="Times New Roman" w:hAnsi="Times New Roman" w:cs="Times New Roman"/>
          <w:snapToGrid w:val="0"/>
          <w:sz w:val="24"/>
          <w:szCs w:val="24"/>
        </w:rPr>
        <w:t xml:space="preserve">овского республиканского банка от 10 августа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1286-У «О внесении дополнений в Положение Приднестровского республиканского банка от 10 декабря 2019 года № 135-П «О правилах ведения бухгалтерского учёта субъектами страхового дела» (Регистрационный № 9272 от 10 января 2020 года) (САЗ 20-2)» (Регистрационный № 9688 от 21 сентября 2020 года) (САЗ 20-39);</w:t>
      </w:r>
    </w:p>
    <w:p w14:paraId="0575639B" w14:textId="77777777" w:rsidR="00EF13D3" w:rsidRPr="00BD0AAD" w:rsidRDefault="00EF13D3" w:rsidP="004216F3">
      <w:pPr>
        <w:pStyle w:val="aff4"/>
        <w:widowControl w:val="0"/>
        <w:numPr>
          <w:ilvl w:val="0"/>
          <w:numId w:val="22"/>
        </w:numPr>
        <w:tabs>
          <w:tab w:val="left" w:pos="851"/>
        </w:tabs>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10 августа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1287-У «О внесении изменений в Положение Приднестровского республиканского банка от 10 декабря 2019 года № 134-П «О плане счетов бухгалтерского учёта субъектов страхового дела» (Регистрационный № 9275 от 11 января 2020 года) (САЗ 20-2)»</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(Регистрационный</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9675 от 28 августа</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2020 года) (САЗ 20-35);</w:t>
      </w:r>
    </w:p>
    <w:p w14:paraId="037AD8CD" w14:textId="77777777" w:rsidR="00EF13D3" w:rsidRPr="00B53380" w:rsidRDefault="00EF13D3" w:rsidP="004216F3">
      <w:pPr>
        <w:pStyle w:val="aff4"/>
        <w:widowControl w:val="0"/>
        <w:numPr>
          <w:ilvl w:val="0"/>
          <w:numId w:val="22"/>
        </w:numPr>
        <w:tabs>
          <w:tab w:val="left" w:pos="851"/>
        </w:tabs>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15 </w:t>
      </w:r>
      <w:r w:rsidRPr="00B53380">
        <w:rPr>
          <w:rFonts w:ascii="Times New Roman" w:hAnsi="Times New Roman" w:cs="Times New Roman"/>
          <w:snapToGrid w:val="0"/>
          <w:sz w:val="24"/>
          <w:szCs w:val="24"/>
        </w:rPr>
        <w:t xml:space="preserve">октября 2020 года </w:t>
      </w:r>
      <w:r w:rsidRPr="00B53380">
        <w:rPr>
          <w:rFonts w:ascii="Times New Roman" w:hAnsi="Times New Roman" w:cs="Times New Roman"/>
          <w:snapToGrid w:val="0"/>
          <w:sz w:val="24"/>
          <w:szCs w:val="24"/>
        </w:rPr>
        <w:br/>
        <w:t>№ 1297-У «О внесении дополнений в Положение Приднестровского республиканского банка от 10 декабря 2019 года № 135-П «О правилах ведения бухгалтерского учёта субъектами страхового дела» (Регистрационный № 9272 от 10 января 2020 года) (САЗ 20-2)» (регистрационный № 9802 от 11 ноября 2020 года) (САЗ 20-46);</w:t>
      </w:r>
    </w:p>
    <w:p w14:paraId="1ADBD963" w14:textId="09CB9CDC" w:rsidR="00EF13D3" w:rsidRDefault="00EF13D3" w:rsidP="004216F3">
      <w:pPr>
        <w:pStyle w:val="aff4"/>
        <w:widowControl w:val="0"/>
        <w:numPr>
          <w:ilvl w:val="0"/>
          <w:numId w:val="22"/>
        </w:numPr>
        <w:tabs>
          <w:tab w:val="left" w:pos="851"/>
        </w:tabs>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19 ноября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1305-У «О внесении изменений и дополнений в Указание Приднестровского республиканского банка от 16 июля 2015 года № 860-У «О порядке составления кредитными организациями годовой бухгалтерской (финансовой) отчётности» (Регистрационный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lastRenderedPageBreak/>
        <w:t>№ 7215 от 17 августа 2015 года) (САЗ 15-34)»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 9906 от 18 декабря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2020 года) (САЗ 20-51).</w:t>
      </w:r>
    </w:p>
    <w:p w14:paraId="634D4DE1" w14:textId="77777777" w:rsidR="002E6363" w:rsidRPr="00BD0AAD" w:rsidRDefault="002E6363" w:rsidP="002E6363">
      <w:pPr>
        <w:pStyle w:val="aff4"/>
        <w:widowControl w:val="0"/>
        <w:tabs>
          <w:tab w:val="left" w:pos="851"/>
        </w:tabs>
        <w:spacing w:before="0" w:after="0" w:line="240" w:lineRule="auto"/>
        <w:ind w:left="426"/>
        <w:jc w:val="both"/>
        <w:rPr>
          <w:rFonts w:ascii="Times New Roman" w:hAnsi="Times New Roman" w:cs="Times New Roman"/>
          <w:snapToGrid w:val="0"/>
          <w:sz w:val="24"/>
          <w:szCs w:val="24"/>
        </w:rPr>
      </w:pPr>
    </w:p>
    <w:p w14:paraId="7F2F652E" w14:textId="6497725D" w:rsidR="00EF13D3" w:rsidRDefault="00EF13D3" w:rsidP="00822F2A">
      <w:pPr>
        <w:pStyle w:val="2"/>
        <w:spacing w:before="120" w:after="120" w:line="240" w:lineRule="auto"/>
        <w:jc w:val="center"/>
        <w:rPr>
          <w:b/>
          <w:noProof/>
        </w:rPr>
      </w:pPr>
      <w:r w:rsidRPr="001E028B">
        <w:rPr>
          <w:b/>
          <w:noProof/>
        </w:rPr>
        <w:t xml:space="preserve">В сфере банковской статистики и </w:t>
      </w:r>
      <w:r w:rsidRPr="00B53380">
        <w:rPr>
          <w:b/>
          <w:noProof/>
        </w:rPr>
        <w:t>отчЁтност</w:t>
      </w:r>
      <w:r w:rsidRPr="001E028B">
        <w:rPr>
          <w:b/>
          <w:noProof/>
        </w:rPr>
        <w:t>и:</w:t>
      </w:r>
    </w:p>
    <w:p w14:paraId="58499B15" w14:textId="77777777" w:rsidR="00EF13D3" w:rsidRPr="00B53380" w:rsidRDefault="00EF13D3" w:rsidP="00EF13D3">
      <w:pPr>
        <w:pStyle w:val="aff4"/>
        <w:widowControl w:val="0"/>
        <w:numPr>
          <w:ilvl w:val="0"/>
          <w:numId w:val="23"/>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22 октября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1298-У «О </w:t>
      </w:r>
      <w:r w:rsidRPr="00B53380">
        <w:rPr>
          <w:rFonts w:ascii="Times New Roman" w:hAnsi="Times New Roman" w:cs="Times New Roman"/>
          <w:snapToGrid w:val="0"/>
          <w:sz w:val="24"/>
          <w:szCs w:val="24"/>
        </w:rPr>
        <w:t xml:space="preserve">внесении дополнений в Инструкцию Приднестровского республиканского банка от 2 июля 2008 года № 25-И «О порядке представления кредитными организациями отдельных форм отчётности в Приднестровский республиканский банк» (Регистрационный № 4548 от </w:t>
      </w:r>
      <w:r w:rsidRPr="00B53380">
        <w:rPr>
          <w:rFonts w:ascii="Times New Roman" w:hAnsi="Times New Roman" w:cs="Times New Roman"/>
          <w:snapToGrid w:val="0"/>
          <w:sz w:val="24"/>
          <w:szCs w:val="24"/>
        </w:rPr>
        <w:br/>
        <w:t xml:space="preserve">19 августа 2008 года) (САЗ 08-33)» (регистрационный № 9816 от 16 ноября 2020 года) </w:t>
      </w:r>
      <w:r w:rsidRPr="00B53380">
        <w:rPr>
          <w:rFonts w:ascii="Times New Roman" w:hAnsi="Times New Roman" w:cs="Times New Roman"/>
          <w:snapToGrid w:val="0"/>
          <w:sz w:val="24"/>
          <w:szCs w:val="24"/>
        </w:rPr>
        <w:br/>
        <w:t>(САЗ 20-47);</w:t>
      </w:r>
    </w:p>
    <w:p w14:paraId="1ACF5AC2" w14:textId="77777777" w:rsidR="00EF13D3" w:rsidRPr="00BD0AAD" w:rsidRDefault="00EF13D3" w:rsidP="00EF13D3">
      <w:pPr>
        <w:pStyle w:val="aff4"/>
        <w:widowControl w:val="0"/>
        <w:numPr>
          <w:ilvl w:val="0"/>
          <w:numId w:val="23"/>
        </w:numPr>
        <w:spacing w:before="0" w:after="0" w:line="240" w:lineRule="auto"/>
        <w:ind w:left="0" w:firstLine="426"/>
        <w:jc w:val="both"/>
        <w:rPr>
          <w:rFonts w:ascii="Times New Roman" w:hAnsi="Times New Roman" w:cs="Times New Roman"/>
          <w:snapToGrid w:val="0"/>
          <w:sz w:val="24"/>
          <w:szCs w:val="24"/>
        </w:rPr>
      </w:pPr>
      <w:r w:rsidRPr="00B53380">
        <w:rPr>
          <w:rFonts w:ascii="Times New Roman" w:hAnsi="Times New Roman" w:cs="Times New Roman"/>
          <w:snapToGrid w:val="0"/>
          <w:sz w:val="24"/>
          <w:szCs w:val="24"/>
        </w:rPr>
        <w:t xml:space="preserve">Указание Приднестровского республиканского банка от 22 октября 2020 года </w:t>
      </w:r>
      <w:r>
        <w:rPr>
          <w:rFonts w:ascii="Times New Roman" w:hAnsi="Times New Roman" w:cs="Times New Roman"/>
          <w:snapToGrid w:val="0"/>
          <w:sz w:val="24"/>
          <w:szCs w:val="24"/>
        </w:rPr>
        <w:br/>
      </w:r>
      <w:r w:rsidRPr="00B53380">
        <w:rPr>
          <w:rFonts w:ascii="Times New Roman" w:hAnsi="Times New Roman" w:cs="Times New Roman"/>
          <w:snapToGrid w:val="0"/>
          <w:sz w:val="24"/>
          <w:szCs w:val="24"/>
        </w:rPr>
        <w:t>№ 1299-У «О внесении дополнения в Указание Приднестровского республиканского банка от 3 марта 2011 года № 441-У «О порядке составления и представления отчётности в Приднестровский республиканский банк» (Регистрационный № 5602 от 20 апреля 2011 года) (САЗ 11-16)» (регистрационный № 9815 от 16 ноября 2020</w:t>
      </w:r>
      <w:r w:rsidRPr="00BD0AAD">
        <w:rPr>
          <w:rFonts w:ascii="Times New Roman" w:hAnsi="Times New Roman" w:cs="Times New Roman"/>
          <w:snapToGrid w:val="0"/>
          <w:sz w:val="24"/>
          <w:szCs w:val="24"/>
        </w:rPr>
        <w:t xml:space="preserve"> года) (САЗ 20-47);</w:t>
      </w:r>
    </w:p>
    <w:p w14:paraId="1FD98E0F" w14:textId="6E9888AE" w:rsidR="00EF13D3" w:rsidRDefault="00EF13D3" w:rsidP="00EF13D3">
      <w:pPr>
        <w:pStyle w:val="aff4"/>
        <w:widowControl w:val="0"/>
        <w:numPr>
          <w:ilvl w:val="0"/>
          <w:numId w:val="23"/>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Указание Приднестровс</w:t>
      </w:r>
      <w:r>
        <w:rPr>
          <w:rFonts w:ascii="Times New Roman" w:hAnsi="Times New Roman" w:cs="Times New Roman"/>
          <w:snapToGrid w:val="0"/>
          <w:sz w:val="24"/>
          <w:szCs w:val="24"/>
        </w:rPr>
        <w:t xml:space="preserve">кого республиканского банка от </w:t>
      </w:r>
      <w:r w:rsidRPr="00BD0AAD">
        <w:rPr>
          <w:rFonts w:ascii="Times New Roman" w:hAnsi="Times New Roman" w:cs="Times New Roman"/>
          <w:snapToGrid w:val="0"/>
          <w:sz w:val="24"/>
          <w:szCs w:val="24"/>
        </w:rPr>
        <w:t>2 декабря 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1310-У «О внесении дополнений и изменений в Инструкцию Приднестровского республиканского банка от 26 марта 2008 года № 24-И «О </w:t>
      </w:r>
      <w:r w:rsidRPr="00B53380">
        <w:rPr>
          <w:rFonts w:ascii="Times New Roman" w:hAnsi="Times New Roman" w:cs="Times New Roman"/>
          <w:snapToGrid w:val="0"/>
          <w:sz w:val="24"/>
          <w:szCs w:val="24"/>
        </w:rPr>
        <w:t>порядке представления отчётности для составления платежного баланса Приднестровской Молдавской Республики» (Регистрационный № 4377 от 1 апреля 2008 года) (САЗ 08-13)»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 9908 от 21 декабря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(САЗ 20-52).</w:t>
      </w:r>
    </w:p>
    <w:p w14:paraId="6CC06B00" w14:textId="77777777" w:rsidR="002E6363" w:rsidRPr="00BD0AAD" w:rsidRDefault="002E6363" w:rsidP="002E6363">
      <w:pPr>
        <w:pStyle w:val="aff4"/>
        <w:widowControl w:val="0"/>
        <w:spacing w:before="0" w:after="0" w:line="240" w:lineRule="auto"/>
        <w:ind w:left="426"/>
        <w:jc w:val="both"/>
        <w:rPr>
          <w:rFonts w:ascii="Times New Roman" w:hAnsi="Times New Roman" w:cs="Times New Roman"/>
          <w:snapToGrid w:val="0"/>
          <w:sz w:val="24"/>
          <w:szCs w:val="24"/>
        </w:rPr>
      </w:pPr>
    </w:p>
    <w:p w14:paraId="782B9729" w14:textId="57413509" w:rsidR="00EF13D3" w:rsidRDefault="00EF13D3" w:rsidP="00822F2A">
      <w:pPr>
        <w:pStyle w:val="2"/>
        <w:spacing w:before="120" w:after="120" w:line="240" w:lineRule="auto"/>
        <w:jc w:val="center"/>
        <w:rPr>
          <w:b/>
          <w:noProof/>
        </w:rPr>
      </w:pPr>
      <w:r w:rsidRPr="001E028B">
        <w:rPr>
          <w:b/>
          <w:noProof/>
        </w:rPr>
        <w:t>В сфере регулирования наличного денежного обращения и порядка ведения кассовых операций:</w:t>
      </w:r>
    </w:p>
    <w:p w14:paraId="3B52E533" w14:textId="77777777" w:rsidR="00EF13D3" w:rsidRPr="00BD0AAD"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Указание Приднестровского республиканского банка от 16 марта</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1246-У «О внесении изменений и дополнений в Положение Приднестровского республиканского банка от 7 декабря 2012 года № 112-П «О порядке ведения кассовых операций, правилах хранения, перевозки и инкассации банкнот и монеты Приднестровского республиканского банка, а также банкнот и монеты иностранного государства (группы иностранных государств) в кредитных организациях, расположенных на территории Приднестровской Молдавской Республики» (Регистрационный № 6312 от 12 февраля 2013 года) (САЗ 13-6)» (Регистрационный № 9453 от 9 апреля 2020 года) (САЗ 20-15);</w:t>
      </w:r>
    </w:p>
    <w:p w14:paraId="762F9F2E" w14:textId="77777777" w:rsidR="00EF13D3" w:rsidRPr="00BD0AAD"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Указание Приднестровского республиканского банка от 24 марта</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1249-У «О внесении дополнения и изменения в Положение Приднестровского республиканского банка от 11 апреля 2012 года № 109-П «О правилах организации наличного денежного обращения на территории Приднестровской Молдавской Республики» (Регистрационный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6005 от 18 мая 2012 года) (САЗ 12-21)» (Регистрационный № 9474 от 24 апреля 2020 года) (САЗ 20 -17);</w:t>
      </w:r>
    </w:p>
    <w:p w14:paraId="1BFA96C2" w14:textId="77777777" w:rsidR="00EF13D3" w:rsidRPr="00BD0AAD"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Указание Приднестровского республиканского банка от 24 марта</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1249-У «О внесении изменений в Положение Приднестровского республиканского банка от 17 января 2012 года № 108-П «О порядке ведения кассовых операций в Приднестровской Молдавской Республике» (Регистрационный № 5930 от 29 февраля 2012 года) (САЗ 12-10)» (Регистрационный № 9473 от 24 апреля 2020 года) (САЗ 20-17);</w:t>
      </w:r>
    </w:p>
    <w:p w14:paraId="77764B71" w14:textId="77777777" w:rsidR="00EF13D3" w:rsidRPr="00BD0AAD"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Указание Приднестровского республиканского банка от 22 апреля</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2020 года №</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1257-У «О приостановлении действия отдельных норм Положения Приднестровского республиканского банка от 11 апреля 2012 года № 109-П «О правилах организации наличного </w:t>
      </w:r>
      <w:r w:rsidRPr="00BD0AAD">
        <w:rPr>
          <w:rFonts w:ascii="Times New Roman" w:hAnsi="Times New Roman" w:cs="Times New Roman"/>
          <w:snapToGrid w:val="0"/>
          <w:sz w:val="24"/>
          <w:szCs w:val="24"/>
        </w:rPr>
        <w:lastRenderedPageBreak/>
        <w:t xml:space="preserve">денежного обращения на территории Приднестровской Молдавской Республики» (Регистрационный № 6005 от 18 мая 2012 года) (САЗ 12-21) на период действия на территории Приднестровской Молдавской Республики чрезвычайного положения» (Регистрационный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9482 от 30 апреля 2020 года) (САЗ 20-18);</w:t>
      </w:r>
    </w:p>
    <w:p w14:paraId="10392C62" w14:textId="213EFB15" w:rsidR="00EF13D3" w:rsidRPr="00BD0AAD"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10 августа 2020 года </w:t>
      </w:r>
      <w:r w:rsidR="004216F3">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1285-У «О внесении изменения и дополнения в Положение Приднестровского республиканского банка от 7 декабря 2012 года № 112-П «О порядке ведения кассовых операций, правилах хранения, перевозки и инкассации банкнот и монеты Приднестровского республиканского банка, а также банкнот и монеты иностранного государства (группы иностранных государств) в кредитных организациях, расположенных на территории Приднестровской Молдавской Республики»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 6312 от 12 февраля </w:t>
      </w:r>
      <w:r w:rsidR="004216F3">
        <w:rPr>
          <w:rFonts w:ascii="Times New Roman" w:hAnsi="Times New Roman" w:cs="Times New Roman"/>
          <w:snapToGrid w:val="0"/>
          <w:sz w:val="24"/>
          <w:szCs w:val="24"/>
        </w:rPr>
        <w:br/>
      </w:r>
      <w:r w:rsidRPr="00BD0AAD">
        <w:rPr>
          <w:rFonts w:ascii="Times New Roman" w:hAnsi="Times New Roman" w:cs="Times New Roman"/>
          <w:snapToGrid w:val="0"/>
          <w:sz w:val="24"/>
          <w:szCs w:val="24"/>
        </w:rPr>
        <w:t>2013 года) (САЗ 13-6)»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9681</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от 10 сентября</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2020 года) (САЗ 20-37);</w:t>
      </w:r>
    </w:p>
    <w:p w14:paraId="7C6868AA" w14:textId="77777777" w:rsidR="00EF13D3" w:rsidRPr="00BD0AAD"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24 сентября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1291-У «О внесении дополнения в Положение Приднестровского республиканского банка от 17 января 2012 года </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 xml:space="preserve"> 108-П «О порядке ведения кассовых операций в Приднестровской Молдавской Республике» (Регистрационный № 5930 от 29 февраля 2012 года) (САЗ 12-10)» (Регистрационный № 9757 от 21 октября 2020 года) (САЗ 20-43);</w:t>
      </w:r>
    </w:p>
    <w:p w14:paraId="4C844362" w14:textId="77777777" w:rsidR="00EF13D3" w:rsidRPr="00BD0AAD"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24 сентября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1292-У «О внесении изменения и дополнения в Положение Приднестровского республиканского банка от 11 апреля 2012 года </w:t>
      </w:r>
      <w:r>
        <w:rPr>
          <w:rFonts w:ascii="Times New Roman" w:hAnsi="Times New Roman" w:cs="Times New Roman"/>
          <w:snapToGrid w:val="0"/>
          <w:sz w:val="24"/>
          <w:szCs w:val="24"/>
        </w:rPr>
        <w:t>№</w:t>
      </w:r>
      <w:r w:rsidRPr="00BD0AAD">
        <w:rPr>
          <w:rFonts w:ascii="Times New Roman" w:hAnsi="Times New Roman" w:cs="Times New Roman"/>
          <w:snapToGrid w:val="0"/>
          <w:sz w:val="24"/>
          <w:szCs w:val="24"/>
        </w:rPr>
        <w:t xml:space="preserve"> 109-П «О правилах организации наличного денежного обращения на территории Приднестровской Молдавской Республики» (Регистрационный № 6005 от 18 мая 2012 года) (САЗ 12-21)» (Регистрационный № 9758 от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21 октября 2020 года) (САЗ 20-43);</w:t>
      </w:r>
    </w:p>
    <w:p w14:paraId="0919E9BC" w14:textId="51526484" w:rsidR="00EF13D3" w:rsidRPr="00BD0AAD"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10 декабря 2020 года </w:t>
      </w:r>
      <w:r w:rsidR="004216F3">
        <w:rPr>
          <w:rFonts w:ascii="Times New Roman" w:hAnsi="Times New Roman" w:cs="Times New Roman"/>
          <w:snapToGrid w:val="0"/>
          <w:sz w:val="24"/>
          <w:szCs w:val="24"/>
        </w:rPr>
        <w:br/>
      </w:r>
      <w:r w:rsidRPr="00BD0AAD">
        <w:rPr>
          <w:rFonts w:ascii="Times New Roman" w:hAnsi="Times New Roman" w:cs="Times New Roman"/>
          <w:snapToGrid w:val="0"/>
          <w:sz w:val="24"/>
          <w:szCs w:val="24"/>
        </w:rPr>
        <w:t xml:space="preserve">№1311-У «О внесении дополнения в Указание Приднестровского </w:t>
      </w:r>
      <w:r w:rsidRPr="00B53380">
        <w:rPr>
          <w:rFonts w:ascii="Times New Roman" w:hAnsi="Times New Roman" w:cs="Times New Roman"/>
          <w:snapToGrid w:val="0"/>
          <w:sz w:val="24"/>
          <w:szCs w:val="24"/>
        </w:rPr>
        <w:t>республиканского банка от 11 апреля 2011 года № 451-У «О порядке кассового обслуживания, приёма (выдачи) ценностей на хранение и инкассации денежной наличности и других ценностей</w:t>
      </w:r>
      <w:r w:rsidRPr="00BD0AAD">
        <w:rPr>
          <w:rFonts w:ascii="Times New Roman" w:hAnsi="Times New Roman" w:cs="Times New Roman"/>
          <w:snapToGrid w:val="0"/>
          <w:sz w:val="24"/>
          <w:szCs w:val="24"/>
        </w:rPr>
        <w:t xml:space="preserve"> кредитных организаций и иных юридических лиц Приднестровским республиканским банком» (Регистрационный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 5628 от 20 мая 2011 года) (САЗ 11-20)»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9922</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от</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25 декабря 2020 года) (САЗ 20-52);</w:t>
      </w:r>
    </w:p>
    <w:p w14:paraId="422890B0" w14:textId="5F6A1AA2" w:rsidR="00EF13D3" w:rsidRDefault="00EF13D3" w:rsidP="00EF13D3">
      <w:pPr>
        <w:pStyle w:val="aff4"/>
        <w:widowControl w:val="0"/>
        <w:numPr>
          <w:ilvl w:val="0"/>
          <w:numId w:val="24"/>
        </w:numPr>
        <w:spacing w:before="0" w:after="0" w:line="240" w:lineRule="auto"/>
        <w:ind w:left="0" w:firstLine="426"/>
        <w:jc w:val="both"/>
        <w:rPr>
          <w:rFonts w:ascii="Times New Roman" w:hAnsi="Times New Roman" w:cs="Times New Roman"/>
          <w:snapToGrid w:val="0"/>
          <w:sz w:val="24"/>
          <w:szCs w:val="24"/>
        </w:rPr>
      </w:pPr>
      <w:r w:rsidRPr="00BD0AAD">
        <w:rPr>
          <w:rFonts w:ascii="Times New Roman" w:hAnsi="Times New Roman" w:cs="Times New Roman"/>
          <w:snapToGrid w:val="0"/>
          <w:sz w:val="24"/>
          <w:szCs w:val="24"/>
        </w:rPr>
        <w:t xml:space="preserve">Указание Приднестровского республиканского банка от 10 декабря 2020 года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xml:space="preserve">1312-У «О внесении изменений и дополнений в Положение Приднестровского республиканского банка от 7 декабря 2012 года № 112-П «О порядке ведения кассовых операций, правилах хранения, перевозки и инкассации банкнот и монеты Приднестровского республиканского банка, а также банкнот и монеты иностранного государства (группы иностранных государств) в кредитных организациях, расположенных на территории Приднестровской Молдавской Республики» (Регистрационный № 6312 от 12 февраля </w:t>
      </w:r>
      <w:r>
        <w:rPr>
          <w:rFonts w:ascii="Times New Roman" w:hAnsi="Times New Roman" w:cs="Times New Roman"/>
          <w:snapToGrid w:val="0"/>
          <w:sz w:val="24"/>
          <w:szCs w:val="24"/>
        </w:rPr>
        <w:br/>
      </w:r>
      <w:r w:rsidRPr="00BD0AAD">
        <w:rPr>
          <w:rFonts w:ascii="Times New Roman" w:hAnsi="Times New Roman" w:cs="Times New Roman"/>
          <w:snapToGrid w:val="0"/>
          <w:sz w:val="24"/>
          <w:szCs w:val="24"/>
        </w:rPr>
        <w:t>2013 года) (САЗ 13-6)» (регистрационный</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 9926</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от</w:t>
      </w:r>
      <w:r>
        <w:rPr>
          <w:rFonts w:ascii="Times New Roman" w:hAnsi="Times New Roman" w:cs="Times New Roman"/>
          <w:snapToGrid w:val="0"/>
          <w:sz w:val="24"/>
          <w:szCs w:val="24"/>
        </w:rPr>
        <w:t xml:space="preserve"> </w:t>
      </w:r>
      <w:r w:rsidRPr="00BD0AAD">
        <w:rPr>
          <w:rFonts w:ascii="Times New Roman" w:hAnsi="Times New Roman" w:cs="Times New Roman"/>
          <w:snapToGrid w:val="0"/>
          <w:sz w:val="24"/>
          <w:szCs w:val="24"/>
        </w:rPr>
        <w:t>25 декабря 2020 года) (САЗ 20-52).</w:t>
      </w:r>
    </w:p>
    <w:p w14:paraId="048C9F95" w14:textId="77777777" w:rsidR="0022129D" w:rsidRPr="00BD0AAD" w:rsidRDefault="0022129D" w:rsidP="0022129D">
      <w:pPr>
        <w:pStyle w:val="aff4"/>
        <w:widowControl w:val="0"/>
        <w:spacing w:before="0" w:after="0" w:line="240" w:lineRule="auto"/>
        <w:ind w:left="426"/>
        <w:jc w:val="both"/>
        <w:rPr>
          <w:rFonts w:ascii="Times New Roman" w:hAnsi="Times New Roman" w:cs="Times New Roman"/>
          <w:snapToGrid w:val="0"/>
          <w:sz w:val="24"/>
          <w:szCs w:val="24"/>
        </w:rPr>
      </w:pPr>
    </w:p>
    <w:p w14:paraId="29437D0A" w14:textId="245CEA39" w:rsidR="00EF13D3" w:rsidRDefault="00EF13D3" w:rsidP="00822F2A">
      <w:pPr>
        <w:pStyle w:val="2"/>
        <w:spacing w:before="120" w:after="120" w:line="240" w:lineRule="auto"/>
        <w:jc w:val="center"/>
        <w:rPr>
          <w:b/>
          <w:noProof/>
        </w:rPr>
      </w:pPr>
      <w:r w:rsidRPr="001E028B">
        <w:rPr>
          <w:b/>
          <w:noProof/>
        </w:rPr>
        <w:t xml:space="preserve">В иных сферах, регулирование которых осуществляет </w:t>
      </w:r>
      <w:r w:rsidR="00437AF9">
        <w:rPr>
          <w:b/>
          <w:noProof/>
        </w:rPr>
        <w:t>ПРБ</w:t>
      </w:r>
      <w:r w:rsidRPr="001E028B">
        <w:rPr>
          <w:b/>
          <w:noProof/>
        </w:rPr>
        <w:t>:</w:t>
      </w:r>
    </w:p>
    <w:p w14:paraId="1D20BEF4" w14:textId="231D7549" w:rsidR="00EF13D3" w:rsidRDefault="00EF13D3" w:rsidP="00EF13D3">
      <w:pPr>
        <w:widowControl w:val="0"/>
        <w:spacing w:before="0" w:after="0" w:line="240" w:lineRule="auto"/>
        <w:ind w:firstLine="42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1. </w:t>
      </w:r>
      <w:r w:rsidRPr="00BB06F7">
        <w:rPr>
          <w:rFonts w:ascii="Times New Roman" w:hAnsi="Times New Roman" w:cs="Times New Roman"/>
          <w:snapToGrid w:val="0"/>
          <w:sz w:val="24"/>
          <w:szCs w:val="24"/>
        </w:rPr>
        <w:t>Указание Приднестровского республиканского банка от 19 ноября 2020 года №</w:t>
      </w:r>
      <w:r>
        <w:rPr>
          <w:rFonts w:ascii="Times New Roman" w:hAnsi="Times New Roman" w:cs="Times New Roman"/>
          <w:snapToGrid w:val="0"/>
          <w:sz w:val="24"/>
          <w:szCs w:val="24"/>
        </w:rPr>
        <w:t xml:space="preserve"> </w:t>
      </w:r>
      <w:r w:rsidRPr="00BB06F7">
        <w:rPr>
          <w:rFonts w:ascii="Times New Roman" w:hAnsi="Times New Roman" w:cs="Times New Roman"/>
          <w:snapToGrid w:val="0"/>
          <w:sz w:val="24"/>
          <w:szCs w:val="24"/>
        </w:rPr>
        <w:t xml:space="preserve">1306-У «О внесении изменений и дополнения в Инструкцию Приднестровского республиканского банка от 8 августа 2006 года № 17-И «О порядке открытия, ведения, переоформления и закрытия счетов в банках Приднестровской Молдавской Республики» (Регистрационный </w:t>
      </w:r>
      <w:r>
        <w:rPr>
          <w:rFonts w:ascii="Times New Roman" w:hAnsi="Times New Roman" w:cs="Times New Roman"/>
          <w:snapToGrid w:val="0"/>
          <w:sz w:val="24"/>
          <w:szCs w:val="24"/>
        </w:rPr>
        <w:br/>
      </w:r>
      <w:r w:rsidRPr="00BB06F7">
        <w:rPr>
          <w:rFonts w:ascii="Times New Roman" w:hAnsi="Times New Roman" w:cs="Times New Roman"/>
          <w:snapToGrid w:val="0"/>
          <w:sz w:val="24"/>
          <w:szCs w:val="24"/>
        </w:rPr>
        <w:t>№ 3662 от 29 августа 2006 года) (САЗ 06-36)» (регистрационный</w:t>
      </w:r>
      <w:r>
        <w:rPr>
          <w:rFonts w:ascii="Times New Roman" w:hAnsi="Times New Roman" w:cs="Times New Roman"/>
          <w:snapToGrid w:val="0"/>
          <w:sz w:val="24"/>
          <w:szCs w:val="24"/>
        </w:rPr>
        <w:t xml:space="preserve"> </w:t>
      </w:r>
      <w:r w:rsidRPr="00BB06F7">
        <w:rPr>
          <w:rFonts w:ascii="Times New Roman" w:hAnsi="Times New Roman" w:cs="Times New Roman"/>
          <w:snapToGrid w:val="0"/>
          <w:sz w:val="24"/>
          <w:szCs w:val="24"/>
        </w:rPr>
        <w:t xml:space="preserve">№ 9899 от 17 декабря </w:t>
      </w:r>
      <w:r>
        <w:rPr>
          <w:rFonts w:ascii="Times New Roman" w:hAnsi="Times New Roman" w:cs="Times New Roman"/>
          <w:snapToGrid w:val="0"/>
          <w:sz w:val="24"/>
          <w:szCs w:val="24"/>
        </w:rPr>
        <w:br/>
      </w:r>
      <w:r w:rsidRPr="00BB06F7">
        <w:rPr>
          <w:rFonts w:ascii="Times New Roman" w:hAnsi="Times New Roman" w:cs="Times New Roman"/>
          <w:snapToGrid w:val="0"/>
          <w:sz w:val="24"/>
          <w:szCs w:val="24"/>
        </w:rPr>
        <w:t>2020 года) (САЗ 20-51).</w:t>
      </w:r>
    </w:p>
    <w:p w14:paraId="3C29370E" w14:textId="77777777" w:rsidR="0022129D" w:rsidRDefault="0022129D" w:rsidP="00EF13D3">
      <w:pPr>
        <w:widowControl w:val="0"/>
        <w:spacing w:before="0" w:after="0" w:line="240" w:lineRule="auto"/>
        <w:ind w:firstLine="425"/>
        <w:jc w:val="both"/>
        <w:rPr>
          <w:rFonts w:ascii="Times New Roman" w:hAnsi="Times New Roman" w:cs="Times New Roman"/>
          <w:snapToGrid w:val="0"/>
          <w:sz w:val="24"/>
          <w:szCs w:val="24"/>
        </w:rPr>
      </w:pPr>
    </w:p>
    <w:p w14:paraId="0C4A53B6" w14:textId="77777777" w:rsidR="00EF13D3" w:rsidRPr="00953836" w:rsidRDefault="00EF13D3" w:rsidP="00822F2A">
      <w:pPr>
        <w:pStyle w:val="2"/>
        <w:spacing w:before="120" w:after="120" w:line="240" w:lineRule="auto"/>
        <w:jc w:val="center"/>
        <w:rPr>
          <w:b/>
          <w:noProof/>
        </w:rPr>
      </w:pPr>
      <w:r w:rsidRPr="00953836">
        <w:rPr>
          <w:b/>
          <w:noProof/>
        </w:rPr>
        <w:lastRenderedPageBreak/>
        <w:t xml:space="preserve">В области регулирования деятельности Приднестровского республиканского </w:t>
      </w:r>
      <w:r w:rsidRPr="002022A2">
        <w:rPr>
          <w:b/>
          <w:noProof/>
        </w:rPr>
        <w:t>банка:</w:t>
      </w:r>
    </w:p>
    <w:p w14:paraId="1A7A2205" w14:textId="65A2B086" w:rsidR="00EF13D3" w:rsidRDefault="00EF13D3" w:rsidP="00EF13D3">
      <w:pPr>
        <w:spacing w:before="120" w:after="0" w:line="240" w:lineRule="auto"/>
        <w:ind w:firstLine="425"/>
        <w:jc w:val="both"/>
        <w:rPr>
          <w:rFonts w:ascii="Times New Roman" w:hAnsi="Times New Roman" w:cs="Times New Roman"/>
          <w:sz w:val="24"/>
          <w:szCs w:val="24"/>
        </w:rPr>
      </w:pPr>
      <w:r w:rsidRPr="00953836">
        <w:rPr>
          <w:rFonts w:ascii="Times New Roman" w:hAnsi="Times New Roman" w:cs="Times New Roman"/>
          <w:sz w:val="24"/>
          <w:szCs w:val="24"/>
        </w:rPr>
        <w:t>В целях регулирования внутренней деятельности Приднестровского республиканского банка было принято 2</w:t>
      </w:r>
      <w:r>
        <w:rPr>
          <w:rFonts w:ascii="Times New Roman" w:hAnsi="Times New Roman" w:cs="Times New Roman"/>
          <w:sz w:val="24"/>
          <w:szCs w:val="24"/>
        </w:rPr>
        <w:t>2</w:t>
      </w:r>
      <w:r w:rsidRPr="00953836">
        <w:rPr>
          <w:rFonts w:ascii="Times New Roman" w:hAnsi="Times New Roman" w:cs="Times New Roman"/>
          <w:sz w:val="24"/>
          <w:szCs w:val="24"/>
        </w:rPr>
        <w:t xml:space="preserve"> внутренних </w:t>
      </w:r>
      <w:r w:rsidRPr="008C7CA9">
        <w:rPr>
          <w:rFonts w:ascii="Times New Roman" w:hAnsi="Times New Roman" w:cs="Times New Roman"/>
          <w:sz w:val="24"/>
          <w:szCs w:val="24"/>
        </w:rPr>
        <w:t>нормативных акта.</w:t>
      </w:r>
    </w:p>
    <w:p w14:paraId="2D5AE078" w14:textId="77777777" w:rsidR="0022129D" w:rsidRDefault="0022129D" w:rsidP="00EF13D3">
      <w:pPr>
        <w:spacing w:before="120" w:after="0" w:line="240" w:lineRule="auto"/>
        <w:ind w:firstLine="425"/>
        <w:jc w:val="both"/>
        <w:rPr>
          <w:rFonts w:ascii="Times New Roman" w:hAnsi="Times New Roman" w:cs="Times New Roman"/>
          <w:sz w:val="24"/>
          <w:szCs w:val="24"/>
        </w:rPr>
      </w:pPr>
    </w:p>
    <w:p w14:paraId="5A77D66F" w14:textId="71776C0B" w:rsidR="00EF13D3" w:rsidRDefault="00EF13D3" w:rsidP="00822F2A">
      <w:pPr>
        <w:pStyle w:val="2"/>
        <w:spacing w:before="120" w:after="120" w:line="240" w:lineRule="auto"/>
        <w:jc w:val="center"/>
        <w:rPr>
          <w:b/>
          <w:noProof/>
        </w:rPr>
      </w:pPr>
      <w:r w:rsidRPr="002022A2">
        <w:rPr>
          <w:b/>
          <w:szCs w:val="24"/>
        </w:rPr>
        <w:t>в ходе межведомственного взаимодействия изданы или согласованы:</w:t>
      </w:r>
    </w:p>
    <w:p w14:paraId="426A3824" w14:textId="77777777" w:rsidR="00EF13D3" w:rsidRPr="002022A2" w:rsidRDefault="00EF13D3" w:rsidP="00EF13D3">
      <w:pPr>
        <w:widowControl w:val="0"/>
        <w:spacing w:before="0" w:after="0" w:line="240" w:lineRule="auto"/>
        <w:ind w:firstLine="425"/>
        <w:jc w:val="both"/>
        <w:rPr>
          <w:rFonts w:ascii="Times New Roman" w:hAnsi="Times New Roman" w:cs="Times New Roman"/>
          <w:strike/>
          <w:snapToGrid w:val="0"/>
          <w:sz w:val="24"/>
          <w:szCs w:val="24"/>
        </w:rPr>
      </w:pPr>
      <w:r w:rsidRPr="002022A2">
        <w:rPr>
          <w:rFonts w:ascii="Times New Roman" w:hAnsi="Times New Roman" w:cs="Times New Roman"/>
          <w:snapToGrid w:val="0"/>
          <w:sz w:val="24"/>
          <w:szCs w:val="24"/>
        </w:rPr>
        <w:t>1.</w:t>
      </w:r>
      <w:r w:rsidRPr="002022A2">
        <w:rPr>
          <w:rFonts w:ascii="Times New Roman" w:hAnsi="Times New Roman" w:cs="Times New Roman"/>
          <w:snapToGrid w:val="0"/>
          <w:sz w:val="24"/>
          <w:szCs w:val="24"/>
        </w:rPr>
        <w:tab/>
        <w:t xml:space="preserve">Приказ Министерства финансов Приднестровской Молдавской Республики, Приднестровского республиканского банка и Министерства по социальной защите и труду Приднестровской Молдавской Республики от 27 февраля 2020 года № 36/01-12/20/223 </w:t>
      </w:r>
      <w:r>
        <w:rPr>
          <w:rFonts w:ascii="Times New Roman" w:hAnsi="Times New Roman" w:cs="Times New Roman"/>
          <w:snapToGrid w:val="0"/>
          <w:sz w:val="24"/>
          <w:szCs w:val="24"/>
        </w:rPr>
        <w:br/>
      </w:r>
      <w:r w:rsidRPr="002022A2">
        <w:rPr>
          <w:rFonts w:ascii="Times New Roman" w:hAnsi="Times New Roman" w:cs="Times New Roman"/>
          <w:snapToGrid w:val="0"/>
          <w:sz w:val="24"/>
          <w:szCs w:val="24"/>
        </w:rPr>
        <w:t xml:space="preserve">«О внесении дополнения в Приказ Министерства финансов Приднестровской Молдавской Республики, Приднестровского республиканского банка и Министерства по социальной защите и труду Приднестровской Молдавской Республики от 12 сентября 2019 года </w:t>
      </w:r>
      <w:r w:rsidRPr="002022A2">
        <w:rPr>
          <w:rFonts w:ascii="Times New Roman" w:hAnsi="Times New Roman" w:cs="Times New Roman"/>
          <w:snapToGrid w:val="0"/>
          <w:sz w:val="24"/>
          <w:szCs w:val="24"/>
        </w:rPr>
        <w:br/>
        <w:t xml:space="preserve">№ 234/01-06/111/892 «О порядке проведения платёжных операций при осуществлении зачётов и (или) возвратов сумм излишне уплаченных (взысканных) налогов, сборов или иных обязательных платежей, средств, поступающих от оказания платных услуг и иной приносящей доход деятельности, а также пени, штрафных и финансовых санкций за нарушение налогового законодательства Приднестровской Молдавской Республики» (зарегистрирован </w:t>
      </w:r>
      <w:r w:rsidRPr="002022A2">
        <w:rPr>
          <w:rFonts w:ascii="Times New Roman" w:hAnsi="Times New Roman" w:cs="Times New Roman"/>
          <w:snapToGrid w:val="0"/>
          <w:sz w:val="24"/>
          <w:szCs w:val="24"/>
        </w:rPr>
        <w:br/>
        <w:t>18.03.2020 № 9414) (САЗ 20-12).</w:t>
      </w:r>
    </w:p>
    <w:p w14:paraId="7FF8926B" w14:textId="77777777" w:rsidR="00EF13D3" w:rsidRPr="00E43370"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2022A2">
        <w:rPr>
          <w:rFonts w:ascii="Times New Roman" w:hAnsi="Times New Roman" w:cs="Times New Roman"/>
          <w:snapToGrid w:val="0"/>
          <w:sz w:val="24"/>
          <w:szCs w:val="24"/>
        </w:rPr>
        <w:t>Приказ разработан с целью закрепления возможности направления в адрес органов-распорядителей средств собирательно-распределительных</w:t>
      </w:r>
      <w:r w:rsidRPr="008C7CA9">
        <w:rPr>
          <w:rFonts w:ascii="Times New Roman" w:hAnsi="Times New Roman" w:cs="Times New Roman"/>
          <w:snapToGrid w:val="0"/>
          <w:sz w:val="24"/>
          <w:szCs w:val="24"/>
        </w:rPr>
        <w:t xml:space="preserve"> счетов заключения налогового органа о зачёте излишне</w:t>
      </w:r>
      <w:r w:rsidRPr="00E43370">
        <w:rPr>
          <w:rFonts w:ascii="Times New Roman" w:hAnsi="Times New Roman" w:cs="Times New Roman"/>
          <w:snapToGrid w:val="0"/>
          <w:sz w:val="24"/>
          <w:szCs w:val="24"/>
        </w:rPr>
        <w:t xml:space="preserve"> уплаченного (взысканного) платежа на бумажном носителе непосредственно в день проведения указанной операции.</w:t>
      </w:r>
    </w:p>
    <w:p w14:paraId="7E160ECD" w14:textId="77777777" w:rsidR="00EF13D3" w:rsidRPr="008C7CA9"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E43370">
        <w:rPr>
          <w:rFonts w:ascii="Times New Roman" w:hAnsi="Times New Roman" w:cs="Times New Roman"/>
          <w:snapToGrid w:val="0"/>
          <w:sz w:val="24"/>
          <w:szCs w:val="24"/>
        </w:rPr>
        <w:t>2</w:t>
      </w:r>
      <w:r>
        <w:rPr>
          <w:rFonts w:ascii="Times New Roman" w:hAnsi="Times New Roman" w:cs="Times New Roman"/>
          <w:snapToGrid w:val="0"/>
          <w:sz w:val="24"/>
          <w:szCs w:val="24"/>
        </w:rPr>
        <w:t>.</w:t>
      </w:r>
      <w:r w:rsidRPr="00E43370">
        <w:rPr>
          <w:rFonts w:ascii="Times New Roman" w:hAnsi="Times New Roman" w:cs="Times New Roman"/>
          <w:snapToGrid w:val="0"/>
          <w:sz w:val="24"/>
          <w:szCs w:val="24"/>
        </w:rPr>
        <w:t xml:space="preserve"> Приказ Министерства финансов Приднестровской Молдавской Республики и Приднестровского республиканского банка № 235/01-12/81 от 03 июня 2020 года «О внесении изменения в Приказ Министерства финансов Приднестровской Молдавской Республики и Приднестровского республиканского банка от 23 августа 2018 года</w:t>
      </w:r>
      <w:r>
        <w:rPr>
          <w:rFonts w:ascii="Times New Roman" w:hAnsi="Times New Roman" w:cs="Times New Roman"/>
          <w:snapToGrid w:val="0"/>
          <w:sz w:val="24"/>
          <w:szCs w:val="24"/>
        </w:rPr>
        <w:t xml:space="preserve"> </w:t>
      </w:r>
      <w:r w:rsidRPr="00E43370">
        <w:rPr>
          <w:rFonts w:ascii="Times New Roman" w:hAnsi="Times New Roman" w:cs="Times New Roman"/>
          <w:snapToGrid w:val="0"/>
          <w:sz w:val="24"/>
          <w:szCs w:val="24"/>
        </w:rPr>
        <w:t xml:space="preserve">№ 01-06/100/167 «Об утверждении Положения «О счетах территориальных налоговых органов, открываемых для зачисления платежей в бюджеты различных уровней и государственные внебюджетные фонды Приднестровской Молдавской Республики» (регистрационный № 8436 от 26 сентября </w:t>
      </w:r>
      <w:r w:rsidRPr="008C7CA9">
        <w:rPr>
          <w:rFonts w:ascii="Times New Roman" w:hAnsi="Times New Roman" w:cs="Times New Roman"/>
          <w:snapToGrid w:val="0"/>
          <w:sz w:val="24"/>
          <w:szCs w:val="24"/>
        </w:rPr>
        <w:t>2018 года) (САЗ 18-39)» (регистрационный № 9541 от 09.06.2020) (САЗ 20-24).</w:t>
      </w:r>
    </w:p>
    <w:p w14:paraId="2F42B919" w14:textId="77777777" w:rsidR="00EF13D3" w:rsidRPr="00E43370"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8C7CA9">
        <w:rPr>
          <w:rFonts w:ascii="Times New Roman" w:hAnsi="Times New Roman" w:cs="Times New Roman"/>
          <w:snapToGrid w:val="0"/>
          <w:sz w:val="24"/>
          <w:szCs w:val="24"/>
        </w:rPr>
        <w:t>Приказ разработан с целью организации электронного проведения операций по конвертации уполномоченным государственным органом исполнительной власти в Приднестровском республиканском банке поступивших в доход республиканского бюджета денежных средств</w:t>
      </w:r>
      <w:r w:rsidRPr="00E43370">
        <w:rPr>
          <w:rFonts w:ascii="Times New Roman" w:hAnsi="Times New Roman" w:cs="Times New Roman"/>
          <w:snapToGrid w:val="0"/>
          <w:sz w:val="24"/>
          <w:szCs w:val="24"/>
        </w:rPr>
        <w:t xml:space="preserve"> в иностранной валюте в рубли Приднестровской Молдавской Республики.</w:t>
      </w:r>
    </w:p>
    <w:p w14:paraId="2DC3B9D7" w14:textId="77777777" w:rsidR="00EF13D3" w:rsidRPr="008C7CA9" w:rsidRDefault="00EF13D3" w:rsidP="00EF13D3">
      <w:pPr>
        <w:widowControl w:val="0"/>
        <w:spacing w:before="0" w:after="0" w:line="240" w:lineRule="auto"/>
        <w:ind w:firstLine="425"/>
        <w:jc w:val="both"/>
        <w:rPr>
          <w:rFonts w:ascii="Times New Roman" w:hAnsi="Times New Roman" w:cs="Times New Roman"/>
          <w:strike/>
          <w:snapToGrid w:val="0"/>
          <w:sz w:val="24"/>
          <w:szCs w:val="24"/>
        </w:rPr>
      </w:pPr>
      <w:r w:rsidRPr="00E43370">
        <w:rPr>
          <w:rFonts w:ascii="Times New Roman" w:hAnsi="Times New Roman" w:cs="Times New Roman"/>
          <w:snapToGrid w:val="0"/>
          <w:sz w:val="24"/>
          <w:szCs w:val="24"/>
        </w:rPr>
        <w:t>3</w:t>
      </w:r>
      <w:r>
        <w:rPr>
          <w:rFonts w:ascii="Times New Roman" w:hAnsi="Times New Roman" w:cs="Times New Roman"/>
          <w:snapToGrid w:val="0"/>
          <w:sz w:val="24"/>
          <w:szCs w:val="24"/>
        </w:rPr>
        <w:t>.</w:t>
      </w:r>
      <w:r w:rsidRPr="00E43370">
        <w:rPr>
          <w:rFonts w:ascii="Times New Roman" w:hAnsi="Times New Roman" w:cs="Times New Roman"/>
          <w:snapToGrid w:val="0"/>
          <w:sz w:val="24"/>
          <w:szCs w:val="24"/>
        </w:rPr>
        <w:t xml:space="preserve"> Приказ Министерства финансов Приднестровской Молдавской Республики от </w:t>
      </w:r>
      <w:r>
        <w:rPr>
          <w:rFonts w:ascii="Times New Roman" w:hAnsi="Times New Roman" w:cs="Times New Roman"/>
          <w:snapToGrid w:val="0"/>
          <w:sz w:val="24"/>
          <w:szCs w:val="24"/>
        </w:rPr>
        <w:br/>
      </w:r>
      <w:r w:rsidRPr="00E43370">
        <w:rPr>
          <w:rFonts w:ascii="Times New Roman" w:hAnsi="Times New Roman" w:cs="Times New Roman"/>
          <w:snapToGrid w:val="0"/>
          <w:sz w:val="24"/>
          <w:szCs w:val="24"/>
        </w:rPr>
        <w:t xml:space="preserve">28 апреля 2020 года № 209 «О внесении </w:t>
      </w:r>
      <w:r w:rsidRPr="008C7CA9">
        <w:rPr>
          <w:rFonts w:ascii="Times New Roman" w:hAnsi="Times New Roman" w:cs="Times New Roman"/>
          <w:snapToGrid w:val="0"/>
          <w:sz w:val="24"/>
          <w:szCs w:val="24"/>
        </w:rPr>
        <w:t>изменения в Приказ Министерства финансов Приднестровской Молдавской Республики от 18 апреля 2011 года № 76 «Об утверждении Положения по порядку проведения взаимных денежных зачётов по доходам и расходам республиканского бюджета» (регистрационный № 5655 от 24 июня 2011 года) (САЗ 11-25)» (регистрационный № 9701 от 25 сентября 2020 года) (САЗ 20-39).</w:t>
      </w:r>
    </w:p>
    <w:p w14:paraId="48BD4B11" w14:textId="77777777" w:rsidR="00EF13D3" w:rsidRPr="00E43370"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8C7CA9">
        <w:rPr>
          <w:rFonts w:ascii="Times New Roman" w:hAnsi="Times New Roman" w:cs="Times New Roman"/>
          <w:snapToGrid w:val="0"/>
          <w:sz w:val="24"/>
          <w:szCs w:val="24"/>
        </w:rPr>
        <w:t>Приказ разработан с целью создания возможности для исключения бумажного документооборота при проведении взаимных денежных зачётов по доходам и расходам республиканского бюджета.</w:t>
      </w:r>
    </w:p>
    <w:p w14:paraId="20F59C7A" w14:textId="77777777" w:rsidR="00EF13D3" w:rsidRPr="001D3660"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E43370">
        <w:rPr>
          <w:rFonts w:ascii="Times New Roman" w:hAnsi="Times New Roman" w:cs="Times New Roman"/>
          <w:snapToGrid w:val="0"/>
          <w:sz w:val="24"/>
          <w:szCs w:val="24"/>
        </w:rPr>
        <w:t>4</w:t>
      </w:r>
      <w:r>
        <w:rPr>
          <w:rFonts w:ascii="Times New Roman" w:hAnsi="Times New Roman" w:cs="Times New Roman"/>
          <w:snapToGrid w:val="0"/>
          <w:sz w:val="24"/>
          <w:szCs w:val="24"/>
        </w:rPr>
        <w:t>.</w:t>
      </w:r>
      <w:r w:rsidRPr="00E43370">
        <w:rPr>
          <w:rFonts w:ascii="Times New Roman" w:hAnsi="Times New Roman" w:cs="Times New Roman"/>
          <w:snapToGrid w:val="0"/>
          <w:sz w:val="24"/>
          <w:szCs w:val="24"/>
        </w:rPr>
        <w:t xml:space="preserve"> Совместный Приказ Приднестровского республиканского банка</w:t>
      </w:r>
      <w:r>
        <w:rPr>
          <w:rFonts w:ascii="Times New Roman" w:hAnsi="Times New Roman" w:cs="Times New Roman"/>
          <w:snapToGrid w:val="0"/>
          <w:sz w:val="24"/>
          <w:szCs w:val="24"/>
        </w:rPr>
        <w:t xml:space="preserve"> </w:t>
      </w:r>
      <w:r w:rsidRPr="00E43370">
        <w:rPr>
          <w:rFonts w:ascii="Times New Roman" w:hAnsi="Times New Roman" w:cs="Times New Roman"/>
          <w:snapToGrid w:val="0"/>
          <w:sz w:val="24"/>
          <w:szCs w:val="24"/>
        </w:rPr>
        <w:t xml:space="preserve">и Государственного таможенного комитета Приднестровской Молдавской Республики от 28 апреля 2020 года </w:t>
      </w:r>
      <w:r>
        <w:rPr>
          <w:rFonts w:ascii="Times New Roman" w:hAnsi="Times New Roman" w:cs="Times New Roman"/>
          <w:snapToGrid w:val="0"/>
          <w:sz w:val="24"/>
          <w:szCs w:val="24"/>
        </w:rPr>
        <w:br/>
      </w:r>
      <w:r w:rsidRPr="00E43370">
        <w:rPr>
          <w:rFonts w:ascii="Times New Roman" w:hAnsi="Times New Roman" w:cs="Times New Roman"/>
          <w:snapToGrid w:val="0"/>
          <w:sz w:val="24"/>
          <w:szCs w:val="24"/>
        </w:rPr>
        <w:t xml:space="preserve">№ 01-12/45/139 «О внесении изменения в Приказ Приднестровского республиканского банка и Государственного таможенного комитета Приднестровской Молдавской Республики от </w:t>
      </w:r>
      <w:r>
        <w:rPr>
          <w:rFonts w:ascii="Times New Roman" w:hAnsi="Times New Roman" w:cs="Times New Roman"/>
          <w:snapToGrid w:val="0"/>
          <w:sz w:val="24"/>
          <w:szCs w:val="24"/>
        </w:rPr>
        <w:br/>
      </w:r>
      <w:r w:rsidRPr="00E43370">
        <w:rPr>
          <w:rFonts w:ascii="Times New Roman" w:hAnsi="Times New Roman" w:cs="Times New Roman"/>
          <w:snapToGrid w:val="0"/>
          <w:sz w:val="24"/>
          <w:szCs w:val="24"/>
        </w:rPr>
        <w:lastRenderedPageBreak/>
        <w:t xml:space="preserve">12 августа 2008 года № 01-07/112/263 «Об информационном взаимодействии Приднестровского республиканского банка и Государственного таможенного комитета Приднестровской Молдавской Республики» (регистрационный № 4558 от 3 сентября </w:t>
      </w:r>
      <w:r>
        <w:rPr>
          <w:rFonts w:ascii="Times New Roman" w:hAnsi="Times New Roman" w:cs="Times New Roman"/>
          <w:snapToGrid w:val="0"/>
          <w:sz w:val="24"/>
          <w:szCs w:val="24"/>
        </w:rPr>
        <w:br/>
      </w:r>
      <w:r w:rsidRPr="00E43370">
        <w:rPr>
          <w:rFonts w:ascii="Times New Roman" w:hAnsi="Times New Roman" w:cs="Times New Roman"/>
          <w:snapToGrid w:val="0"/>
          <w:sz w:val="24"/>
          <w:szCs w:val="24"/>
        </w:rPr>
        <w:t>2008 года) (САЗ 08-35)» (регистрационный № 9522 от 26 мая</w:t>
      </w:r>
      <w:r>
        <w:rPr>
          <w:rFonts w:ascii="Times New Roman" w:hAnsi="Times New Roman" w:cs="Times New Roman"/>
          <w:snapToGrid w:val="0"/>
          <w:sz w:val="24"/>
          <w:szCs w:val="24"/>
        </w:rPr>
        <w:t xml:space="preserve"> </w:t>
      </w:r>
      <w:r w:rsidRPr="001D3660">
        <w:rPr>
          <w:rFonts w:ascii="Times New Roman" w:hAnsi="Times New Roman" w:cs="Times New Roman"/>
          <w:snapToGrid w:val="0"/>
          <w:sz w:val="24"/>
          <w:szCs w:val="24"/>
        </w:rPr>
        <w:t>2020 года) (САЗ 20-22).</w:t>
      </w:r>
    </w:p>
    <w:p w14:paraId="0980AADF" w14:textId="77777777" w:rsidR="00EF13D3" w:rsidRPr="001D3660"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1D3660">
        <w:rPr>
          <w:rFonts w:ascii="Times New Roman" w:hAnsi="Times New Roman" w:cs="Times New Roman"/>
          <w:snapToGrid w:val="0"/>
          <w:sz w:val="24"/>
          <w:szCs w:val="24"/>
        </w:rPr>
        <w:t>5. В рамках согласования проекта Приказа Государственного таможенного комитета Приднестровской Молдавской Республики и Приднестровского республиканского банка «О порядке предоставления Государственному таможенному комитету Приднестровской Молдавской Республики в электронной форме официальных курсов рубля Приднестровской Молдавской Республики к иностранным валютам, установленных Приднестровским республиканским банком», подготовленного Государственным таможенным комитетом Приднестровской Молдавской Республики центральным банком подготовлены и направлены предложения по уточнению проекта;</w:t>
      </w:r>
    </w:p>
    <w:p w14:paraId="2827E97B" w14:textId="77777777" w:rsidR="00EF13D3" w:rsidRPr="00E43370"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1D3660">
        <w:rPr>
          <w:rFonts w:ascii="Times New Roman" w:hAnsi="Times New Roman" w:cs="Times New Roman"/>
          <w:snapToGrid w:val="0"/>
          <w:sz w:val="24"/>
          <w:szCs w:val="24"/>
        </w:rPr>
        <w:t>6. Уточнён и согласован проект приказа Министерс</w:t>
      </w:r>
      <w:r w:rsidRPr="00E43370">
        <w:rPr>
          <w:rFonts w:ascii="Times New Roman" w:hAnsi="Times New Roman" w:cs="Times New Roman"/>
          <w:snapToGrid w:val="0"/>
          <w:sz w:val="24"/>
          <w:szCs w:val="24"/>
        </w:rPr>
        <w:t xml:space="preserve">тва финансов Приднестровской Молдавской Республики «Об условиях эмиссии и обращения государственных долгосрочных дисконтных облигаций, выпускаемых в 2020 году», подготовленный во исполнение пункта </w:t>
      </w:r>
      <w:r>
        <w:rPr>
          <w:rFonts w:ascii="Times New Roman" w:hAnsi="Times New Roman" w:cs="Times New Roman"/>
          <w:snapToGrid w:val="0"/>
          <w:sz w:val="24"/>
          <w:szCs w:val="24"/>
        </w:rPr>
        <w:br/>
      </w:r>
      <w:r w:rsidRPr="00E43370">
        <w:rPr>
          <w:rFonts w:ascii="Times New Roman" w:hAnsi="Times New Roman" w:cs="Times New Roman"/>
          <w:snapToGrid w:val="0"/>
          <w:sz w:val="24"/>
          <w:szCs w:val="24"/>
        </w:rPr>
        <w:t xml:space="preserve">4 статьи 4 Закона Приднестровской Молдавской Республики от 30 декабря 2019 года </w:t>
      </w:r>
      <w:r>
        <w:rPr>
          <w:rFonts w:ascii="Times New Roman" w:hAnsi="Times New Roman" w:cs="Times New Roman"/>
          <w:snapToGrid w:val="0"/>
          <w:sz w:val="24"/>
          <w:szCs w:val="24"/>
        </w:rPr>
        <w:br/>
      </w:r>
      <w:r w:rsidRPr="00E43370">
        <w:rPr>
          <w:rFonts w:ascii="Times New Roman" w:hAnsi="Times New Roman" w:cs="Times New Roman"/>
          <w:snapToGrid w:val="0"/>
          <w:sz w:val="24"/>
          <w:szCs w:val="24"/>
        </w:rPr>
        <w:t>№ 267-З-VI «О республиканском бюджете на 2020 год» (САЗ 20-1) и</w:t>
      </w:r>
      <w:r>
        <w:rPr>
          <w:rFonts w:ascii="Times New Roman" w:hAnsi="Times New Roman" w:cs="Times New Roman"/>
          <w:snapToGrid w:val="0"/>
          <w:sz w:val="24"/>
          <w:szCs w:val="24"/>
        </w:rPr>
        <w:t xml:space="preserve"> </w:t>
      </w:r>
      <w:r w:rsidRPr="00E43370">
        <w:rPr>
          <w:rFonts w:ascii="Times New Roman" w:hAnsi="Times New Roman" w:cs="Times New Roman"/>
          <w:snapToGrid w:val="0"/>
          <w:sz w:val="24"/>
          <w:szCs w:val="24"/>
        </w:rPr>
        <w:t>пункта 9 Генеральных условий эмиссии и обращения государственных долгосрочных дисконтных</w:t>
      </w:r>
      <w:r>
        <w:rPr>
          <w:rFonts w:ascii="Times New Roman" w:hAnsi="Times New Roman" w:cs="Times New Roman"/>
          <w:snapToGrid w:val="0"/>
          <w:sz w:val="24"/>
          <w:szCs w:val="24"/>
        </w:rPr>
        <w:t xml:space="preserve"> </w:t>
      </w:r>
      <w:r w:rsidRPr="00E43370">
        <w:rPr>
          <w:rFonts w:ascii="Times New Roman" w:hAnsi="Times New Roman" w:cs="Times New Roman"/>
          <w:snapToGrid w:val="0"/>
          <w:sz w:val="24"/>
          <w:szCs w:val="24"/>
        </w:rPr>
        <w:t>облигаций, выпускаемых в 2020 году, утверждённых Постановлением Правительства Приднестровской Молдавской Республики от 18</w:t>
      </w:r>
      <w:r>
        <w:rPr>
          <w:rFonts w:ascii="Times New Roman" w:hAnsi="Times New Roman" w:cs="Times New Roman"/>
          <w:snapToGrid w:val="0"/>
          <w:sz w:val="24"/>
          <w:szCs w:val="24"/>
        </w:rPr>
        <w:t xml:space="preserve"> </w:t>
      </w:r>
      <w:r w:rsidRPr="00E43370">
        <w:rPr>
          <w:rFonts w:ascii="Times New Roman" w:hAnsi="Times New Roman" w:cs="Times New Roman"/>
          <w:snapToGrid w:val="0"/>
          <w:sz w:val="24"/>
          <w:szCs w:val="24"/>
        </w:rPr>
        <w:t>ноября 2020 года № 409</w:t>
      </w:r>
      <w:r>
        <w:rPr>
          <w:rFonts w:ascii="Times New Roman" w:hAnsi="Times New Roman" w:cs="Times New Roman"/>
          <w:snapToGrid w:val="0"/>
          <w:sz w:val="24"/>
          <w:szCs w:val="24"/>
        </w:rPr>
        <w:t xml:space="preserve"> </w:t>
      </w:r>
      <w:r w:rsidRPr="00E43370">
        <w:rPr>
          <w:rFonts w:ascii="Times New Roman" w:hAnsi="Times New Roman" w:cs="Times New Roman"/>
          <w:snapToGrid w:val="0"/>
          <w:sz w:val="24"/>
          <w:szCs w:val="24"/>
        </w:rPr>
        <w:t xml:space="preserve">«О Генеральных условиях эмиссии и обращения государственных долгосрочных дисконтных облигаций, выпускаемых в </w:t>
      </w:r>
      <w:r>
        <w:rPr>
          <w:rFonts w:ascii="Times New Roman" w:hAnsi="Times New Roman" w:cs="Times New Roman"/>
          <w:snapToGrid w:val="0"/>
          <w:sz w:val="24"/>
          <w:szCs w:val="24"/>
        </w:rPr>
        <w:br/>
      </w:r>
      <w:r w:rsidRPr="00E43370">
        <w:rPr>
          <w:rFonts w:ascii="Times New Roman" w:hAnsi="Times New Roman" w:cs="Times New Roman"/>
          <w:snapToGrid w:val="0"/>
          <w:sz w:val="24"/>
          <w:szCs w:val="24"/>
        </w:rPr>
        <w:t>2020 году» (САЗ 20-47).</w:t>
      </w:r>
    </w:p>
    <w:p w14:paraId="1E34DD91" w14:textId="77777777" w:rsidR="00EF13D3" w:rsidRPr="00E43370"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E43370">
        <w:rPr>
          <w:rFonts w:ascii="Times New Roman" w:hAnsi="Times New Roman" w:cs="Times New Roman"/>
          <w:snapToGrid w:val="0"/>
          <w:sz w:val="24"/>
          <w:szCs w:val="24"/>
        </w:rPr>
        <w:t>Приказ Министерства финансов Приднестровской Молдавской Республики от 24 ноября 2020 года №</w:t>
      </w:r>
      <w:r>
        <w:rPr>
          <w:rFonts w:ascii="Times New Roman" w:hAnsi="Times New Roman" w:cs="Times New Roman"/>
          <w:snapToGrid w:val="0"/>
          <w:sz w:val="24"/>
          <w:szCs w:val="24"/>
        </w:rPr>
        <w:t xml:space="preserve"> </w:t>
      </w:r>
      <w:r w:rsidRPr="00E43370">
        <w:rPr>
          <w:rFonts w:ascii="Times New Roman" w:hAnsi="Times New Roman" w:cs="Times New Roman"/>
          <w:snapToGrid w:val="0"/>
          <w:sz w:val="24"/>
          <w:szCs w:val="24"/>
        </w:rPr>
        <w:t>386 «Об условиях эмиссии и обращения государственных долгосрочных дисконтных облигаций, выпускаемых в 2020 году» (САЗ 20-47);</w:t>
      </w:r>
    </w:p>
    <w:p w14:paraId="6D24BAE5" w14:textId="77777777" w:rsidR="00EF13D3" w:rsidRPr="001D3660"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E43370">
        <w:rPr>
          <w:rFonts w:ascii="Times New Roman" w:hAnsi="Times New Roman" w:cs="Times New Roman"/>
          <w:snapToGrid w:val="0"/>
          <w:sz w:val="24"/>
          <w:szCs w:val="24"/>
        </w:rPr>
        <w:t>7</w:t>
      </w:r>
      <w:r>
        <w:rPr>
          <w:rFonts w:ascii="Times New Roman" w:hAnsi="Times New Roman" w:cs="Times New Roman"/>
          <w:snapToGrid w:val="0"/>
          <w:sz w:val="24"/>
          <w:szCs w:val="24"/>
        </w:rPr>
        <w:t>.</w:t>
      </w:r>
      <w:r w:rsidRPr="00E43370">
        <w:rPr>
          <w:rFonts w:ascii="Times New Roman" w:hAnsi="Times New Roman" w:cs="Times New Roman"/>
          <w:snapToGrid w:val="0"/>
          <w:sz w:val="24"/>
          <w:szCs w:val="24"/>
        </w:rPr>
        <w:t xml:space="preserve"> Уточн</w:t>
      </w:r>
      <w:r>
        <w:rPr>
          <w:rFonts w:ascii="Times New Roman" w:hAnsi="Times New Roman" w:cs="Times New Roman"/>
          <w:snapToGrid w:val="0"/>
          <w:sz w:val="24"/>
          <w:szCs w:val="24"/>
        </w:rPr>
        <w:t>ё</w:t>
      </w:r>
      <w:r w:rsidRPr="00E43370">
        <w:rPr>
          <w:rFonts w:ascii="Times New Roman" w:hAnsi="Times New Roman" w:cs="Times New Roman"/>
          <w:snapToGrid w:val="0"/>
          <w:sz w:val="24"/>
          <w:szCs w:val="24"/>
        </w:rPr>
        <w:t xml:space="preserve">н и подписан совместный Приказ Министерства финансов Приднестровской Молдавской Республики, Приднестровского республиканского банка и Министерства по социальной защите и труду </w:t>
      </w:r>
      <w:r w:rsidRPr="001D3660">
        <w:rPr>
          <w:rFonts w:ascii="Times New Roman" w:hAnsi="Times New Roman" w:cs="Times New Roman"/>
          <w:snapToGrid w:val="0"/>
          <w:sz w:val="24"/>
          <w:szCs w:val="24"/>
        </w:rPr>
        <w:t xml:space="preserve">Приднестровской Молдавской Республики от 20 октября 2020 года № 352/01-12/165/1024 «О внесении дополнений в Приказ Министерства финансов Приднестровской Молдавской Республики, Приднестровского республиканского банка и Министерства по социальной защите и труду Приднестровской Молдавской Республики от </w:t>
      </w:r>
      <w:r w:rsidRPr="001D3660">
        <w:rPr>
          <w:rFonts w:ascii="Times New Roman" w:hAnsi="Times New Roman" w:cs="Times New Roman"/>
          <w:snapToGrid w:val="0"/>
          <w:sz w:val="24"/>
          <w:szCs w:val="24"/>
        </w:rPr>
        <w:br/>
        <w:t>12 сентября 2019 года № 234/01-06/111/892 «О порядке проведения платёжных операций при осуществлении зачётов и (или) возвратов сумм излишне уплаченных (взысканных) налогов, сборов или иных обязательных платежей, средств, поступающих от оказания платных услуг и иной приносящей доход деятельности, а также пени, штрафных и финансовых санкций за нарушение налогового законодательства Приднестровской Молдавской Республики» (Регистрационный № 9817 от 16 ноября 2020 года) (САЗ 20-47);</w:t>
      </w:r>
    </w:p>
    <w:p w14:paraId="3522DE60" w14:textId="79C7ED4E" w:rsidR="00EF13D3" w:rsidRDefault="00EF13D3" w:rsidP="00EF13D3">
      <w:pPr>
        <w:widowControl w:val="0"/>
        <w:spacing w:before="0" w:after="0" w:line="240" w:lineRule="auto"/>
        <w:ind w:firstLine="425"/>
        <w:jc w:val="both"/>
        <w:rPr>
          <w:rFonts w:ascii="Times New Roman" w:hAnsi="Times New Roman" w:cs="Times New Roman"/>
          <w:snapToGrid w:val="0"/>
          <w:sz w:val="24"/>
          <w:szCs w:val="24"/>
        </w:rPr>
      </w:pPr>
      <w:r w:rsidRPr="001D3660">
        <w:rPr>
          <w:rFonts w:ascii="Times New Roman" w:hAnsi="Times New Roman" w:cs="Times New Roman"/>
          <w:snapToGrid w:val="0"/>
          <w:sz w:val="24"/>
          <w:szCs w:val="24"/>
        </w:rPr>
        <w:t xml:space="preserve">8. Разработан и подписан Приказ Министерства юстиции Приднестровской Молдавской Республики и Приднестровского республиканского банка от 8 декабря 2020 года </w:t>
      </w:r>
      <w:r w:rsidRPr="001D3660">
        <w:rPr>
          <w:rFonts w:ascii="Times New Roman" w:hAnsi="Times New Roman" w:cs="Times New Roman"/>
          <w:snapToGrid w:val="0"/>
          <w:sz w:val="24"/>
          <w:szCs w:val="24"/>
        </w:rPr>
        <w:br/>
        <w:t>№ 300/01-12/198 «О внесении</w:t>
      </w:r>
      <w:r w:rsidRPr="00E43370">
        <w:rPr>
          <w:rFonts w:ascii="Times New Roman" w:hAnsi="Times New Roman" w:cs="Times New Roman"/>
          <w:snapToGrid w:val="0"/>
          <w:sz w:val="24"/>
          <w:szCs w:val="24"/>
        </w:rPr>
        <w:t xml:space="preserve"> изменений в Приказ Министерства юстиции Приднестровской Молдавской Республики и Приднестровского республиканского банка от 28 июня 2010 года № 147/01-05/59 «О взаимодействии Министерства юстиции Приднестровской Молдавской Республики и Приднестровского республиканского банка по вопросам выдачи лицензий» (регистрационный № 5429 от 3 ноября 2010 года) (САЗ 10-44)»</w:t>
      </w:r>
      <w:r>
        <w:rPr>
          <w:rFonts w:ascii="Times New Roman" w:hAnsi="Times New Roman" w:cs="Times New Roman"/>
          <w:snapToGrid w:val="0"/>
          <w:sz w:val="24"/>
          <w:szCs w:val="24"/>
        </w:rPr>
        <w:t xml:space="preserve"> </w:t>
      </w:r>
      <w:r w:rsidRPr="00E43370">
        <w:rPr>
          <w:rFonts w:ascii="Times New Roman" w:hAnsi="Times New Roman" w:cs="Times New Roman"/>
          <w:snapToGrid w:val="0"/>
          <w:sz w:val="24"/>
          <w:szCs w:val="24"/>
        </w:rPr>
        <w:t>(регистрационный № 9903 от</w:t>
      </w:r>
      <w:r>
        <w:rPr>
          <w:rFonts w:ascii="Times New Roman" w:hAnsi="Times New Roman" w:cs="Times New Roman"/>
          <w:snapToGrid w:val="0"/>
          <w:sz w:val="24"/>
          <w:szCs w:val="24"/>
        </w:rPr>
        <w:t xml:space="preserve"> </w:t>
      </w:r>
      <w:r w:rsidRPr="008C7CA9">
        <w:rPr>
          <w:rFonts w:ascii="Times New Roman" w:hAnsi="Times New Roman" w:cs="Times New Roman"/>
          <w:snapToGrid w:val="0"/>
          <w:sz w:val="24"/>
          <w:szCs w:val="24"/>
        </w:rPr>
        <w:t>18 декабря 2020 года ) (САЗ 20-51).</w:t>
      </w:r>
    </w:p>
    <w:p w14:paraId="05E7CF77" w14:textId="7344A980" w:rsidR="007300EB" w:rsidRDefault="007300EB">
      <w:pPr>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1E0F15F8" w14:textId="77777777" w:rsidR="007300EB" w:rsidRPr="004412D1" w:rsidRDefault="007300EB" w:rsidP="00EC7E6D">
      <w:pPr>
        <w:pStyle w:val="5"/>
        <w:pBdr>
          <w:bottom w:val="single" w:sz="6" w:space="1" w:color="5B9BD5"/>
        </w:pBdr>
        <w:jc w:val="center"/>
        <w:rPr>
          <w:color w:val="323E4F"/>
        </w:rPr>
      </w:pPr>
      <w:r w:rsidRPr="00893DD9">
        <w:rPr>
          <w:rFonts w:asciiTheme="majorHAnsi" w:eastAsiaTheme="majorEastAsia" w:hAnsiTheme="majorHAnsi" w:cstheme="majorBidi"/>
          <w:caps w:val="0"/>
          <w:color w:val="17365D" w:themeColor="text2" w:themeShade="BF"/>
          <w:spacing w:val="5"/>
          <w:kern w:val="28"/>
          <w:sz w:val="40"/>
          <w:szCs w:val="52"/>
        </w:rPr>
        <w:lastRenderedPageBreak/>
        <w:t>ПРИЛОЖЕНИЯ</w:t>
      </w:r>
    </w:p>
    <w:p w14:paraId="43CA81CB" w14:textId="2DB3014E"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jc w:val="center"/>
        <w:rPr>
          <w:rFonts w:ascii="Times New Roman" w:eastAsia="Times New Roman" w:hAnsi="Times New Roman" w:cs="Times New Roman"/>
          <w:b/>
          <w:bCs/>
          <w:i/>
          <w:iCs/>
          <w:caps w:val="0"/>
          <w:spacing w:val="0"/>
          <w:sz w:val="24"/>
          <w:szCs w:val="24"/>
        </w:rPr>
      </w:pPr>
      <w:r w:rsidRPr="007300EB">
        <w:rPr>
          <w:rFonts w:ascii="Times New Roman" w:eastAsia="Times New Roman" w:hAnsi="Times New Roman" w:cs="Times New Roman"/>
          <w:b/>
          <w:bCs/>
          <w:i/>
          <w:iCs/>
          <w:caps w:val="0"/>
          <w:spacing w:val="0"/>
          <w:sz w:val="24"/>
          <w:szCs w:val="24"/>
        </w:rPr>
        <w:t xml:space="preserve">Отчёт об исполнении сметы доходов и расходов </w:t>
      </w:r>
    </w:p>
    <w:p w14:paraId="4AE21326"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jc w:val="center"/>
        <w:rPr>
          <w:rFonts w:ascii="Times New Roman" w:eastAsia="Times New Roman" w:hAnsi="Times New Roman" w:cs="Times New Roman"/>
          <w:b/>
          <w:bCs/>
          <w:i/>
          <w:iCs/>
          <w:caps w:val="0"/>
          <w:spacing w:val="0"/>
          <w:sz w:val="24"/>
          <w:szCs w:val="24"/>
        </w:rPr>
      </w:pPr>
      <w:r w:rsidRPr="007300EB">
        <w:rPr>
          <w:rFonts w:ascii="Times New Roman" w:eastAsia="Times New Roman" w:hAnsi="Times New Roman" w:cs="Times New Roman"/>
          <w:b/>
          <w:bCs/>
          <w:i/>
          <w:iCs/>
          <w:caps w:val="0"/>
          <w:spacing w:val="0"/>
          <w:sz w:val="24"/>
          <w:szCs w:val="24"/>
        </w:rPr>
        <w:t>Приднестровского республиканского банка за 2020 год</w:t>
      </w:r>
    </w:p>
    <w:p w14:paraId="5E0580CE"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jc w:val="right"/>
        <w:rPr>
          <w:rFonts w:ascii="Times New Roman" w:eastAsia="Times New Roman" w:hAnsi="Times New Roman" w:cs="Times New Roman"/>
          <w:bCs/>
          <w:iCs/>
          <w:caps w:val="0"/>
          <w:spacing w:val="0"/>
          <w:sz w:val="24"/>
          <w:szCs w:val="24"/>
        </w:rPr>
      </w:pPr>
      <w:r w:rsidRPr="007300EB">
        <w:rPr>
          <w:rFonts w:ascii="Times New Roman" w:eastAsia="Times New Roman" w:hAnsi="Times New Roman" w:cs="Times New Roman"/>
          <w:bCs/>
          <w:iCs/>
          <w:caps w:val="0"/>
          <w:spacing w:val="0"/>
          <w:sz w:val="24"/>
          <w:szCs w:val="24"/>
        </w:rPr>
        <w:t xml:space="preserve">тыс. руб. </w:t>
      </w:r>
    </w:p>
    <w:tbl>
      <w:tblPr>
        <w:tblW w:w="97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4848"/>
        <w:gridCol w:w="1417"/>
        <w:gridCol w:w="1417"/>
        <w:gridCol w:w="1417"/>
      </w:tblGrid>
      <w:tr w:rsidR="007300EB" w:rsidRPr="007300EB" w14:paraId="318C278D" w14:textId="77777777" w:rsidTr="00D833C2">
        <w:trPr>
          <w:trHeight w:val="375"/>
        </w:trPr>
        <w:tc>
          <w:tcPr>
            <w:tcW w:w="640" w:type="dxa"/>
            <w:tcBorders>
              <w:bottom w:val="double" w:sz="4" w:space="0" w:color="auto"/>
            </w:tcBorders>
            <w:shd w:val="clear" w:color="auto" w:fill="CCCCCC"/>
            <w:vAlign w:val="center"/>
          </w:tcPr>
          <w:p w14:paraId="142B3D2C"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 п/п</w:t>
            </w:r>
          </w:p>
        </w:tc>
        <w:tc>
          <w:tcPr>
            <w:tcW w:w="4848" w:type="dxa"/>
            <w:tcBorders>
              <w:bottom w:val="double" w:sz="4" w:space="0" w:color="auto"/>
            </w:tcBorders>
            <w:shd w:val="clear" w:color="auto" w:fill="CCCCCC"/>
            <w:vAlign w:val="center"/>
          </w:tcPr>
          <w:p w14:paraId="59D68EC2"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Наименование статьи</w:t>
            </w:r>
          </w:p>
        </w:tc>
        <w:tc>
          <w:tcPr>
            <w:tcW w:w="1417" w:type="dxa"/>
            <w:tcBorders>
              <w:bottom w:val="double" w:sz="4" w:space="0" w:color="auto"/>
            </w:tcBorders>
            <w:shd w:val="clear" w:color="auto" w:fill="CCCCCC"/>
            <w:vAlign w:val="center"/>
          </w:tcPr>
          <w:p w14:paraId="172F9726"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Утверждено на отчётный год</w:t>
            </w:r>
          </w:p>
        </w:tc>
        <w:tc>
          <w:tcPr>
            <w:tcW w:w="1417" w:type="dxa"/>
            <w:tcBorders>
              <w:bottom w:val="double" w:sz="4" w:space="0" w:color="auto"/>
            </w:tcBorders>
            <w:shd w:val="clear" w:color="auto" w:fill="CCCCCC"/>
            <w:vAlign w:val="center"/>
          </w:tcPr>
          <w:p w14:paraId="17C64B26"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Фактическое исполнение за отчётный период</w:t>
            </w:r>
          </w:p>
        </w:tc>
        <w:tc>
          <w:tcPr>
            <w:tcW w:w="1417" w:type="dxa"/>
            <w:tcBorders>
              <w:bottom w:val="double" w:sz="4" w:space="0" w:color="auto"/>
            </w:tcBorders>
            <w:shd w:val="clear" w:color="auto" w:fill="CCCCCC"/>
            <w:vAlign w:val="center"/>
          </w:tcPr>
          <w:p w14:paraId="2D3DA914"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Выполнение плана за отчётный период, %</w:t>
            </w:r>
          </w:p>
        </w:tc>
      </w:tr>
      <w:tr w:rsidR="007300EB" w:rsidRPr="007300EB" w14:paraId="73E56426" w14:textId="77777777" w:rsidTr="00D833C2">
        <w:trPr>
          <w:trHeight w:val="310"/>
        </w:trPr>
        <w:tc>
          <w:tcPr>
            <w:tcW w:w="640" w:type="dxa"/>
            <w:tcBorders>
              <w:top w:val="double" w:sz="4" w:space="0" w:color="auto"/>
            </w:tcBorders>
            <w:vAlign w:val="bottom"/>
          </w:tcPr>
          <w:p w14:paraId="68D62A68"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w:t>
            </w:r>
          </w:p>
        </w:tc>
        <w:tc>
          <w:tcPr>
            <w:tcW w:w="4848" w:type="dxa"/>
            <w:tcBorders>
              <w:top w:val="double" w:sz="4" w:space="0" w:color="auto"/>
            </w:tcBorders>
            <w:vAlign w:val="bottom"/>
          </w:tcPr>
          <w:p w14:paraId="7B25BDFB"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w:t>
            </w:r>
          </w:p>
        </w:tc>
        <w:tc>
          <w:tcPr>
            <w:tcW w:w="1417" w:type="dxa"/>
            <w:tcBorders>
              <w:top w:val="double" w:sz="4" w:space="0" w:color="auto"/>
            </w:tcBorders>
            <w:vAlign w:val="bottom"/>
          </w:tcPr>
          <w:p w14:paraId="71F63D18"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w:t>
            </w:r>
          </w:p>
        </w:tc>
        <w:tc>
          <w:tcPr>
            <w:tcW w:w="1417" w:type="dxa"/>
            <w:tcBorders>
              <w:top w:val="double" w:sz="4" w:space="0" w:color="auto"/>
            </w:tcBorders>
            <w:vAlign w:val="bottom"/>
          </w:tcPr>
          <w:p w14:paraId="0E92A5C0"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4</w:t>
            </w:r>
          </w:p>
        </w:tc>
        <w:tc>
          <w:tcPr>
            <w:tcW w:w="1417" w:type="dxa"/>
            <w:tcBorders>
              <w:top w:val="double" w:sz="4" w:space="0" w:color="auto"/>
            </w:tcBorders>
            <w:vAlign w:val="bottom"/>
          </w:tcPr>
          <w:p w14:paraId="2AED7D1C"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w:t>
            </w:r>
          </w:p>
        </w:tc>
      </w:tr>
      <w:tr w:rsidR="007300EB" w:rsidRPr="007300EB" w14:paraId="7440DA27" w14:textId="77777777" w:rsidTr="00D833C2">
        <w:trPr>
          <w:trHeight w:val="310"/>
        </w:trPr>
        <w:tc>
          <w:tcPr>
            <w:tcW w:w="640" w:type="dxa"/>
            <w:tcBorders>
              <w:top w:val="double" w:sz="4" w:space="0" w:color="auto"/>
            </w:tcBorders>
            <w:vAlign w:val="bottom"/>
          </w:tcPr>
          <w:p w14:paraId="424002DC"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I</w:t>
            </w:r>
          </w:p>
        </w:tc>
        <w:tc>
          <w:tcPr>
            <w:tcW w:w="4848" w:type="dxa"/>
            <w:tcBorders>
              <w:top w:val="double" w:sz="4" w:space="0" w:color="auto"/>
            </w:tcBorders>
            <w:vAlign w:val="bottom"/>
          </w:tcPr>
          <w:p w14:paraId="2CBA91E8"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ДОХОДЫ</w:t>
            </w:r>
          </w:p>
        </w:tc>
        <w:tc>
          <w:tcPr>
            <w:tcW w:w="1417" w:type="dxa"/>
            <w:tcBorders>
              <w:top w:val="double" w:sz="4" w:space="0" w:color="auto"/>
            </w:tcBorders>
            <w:vAlign w:val="center"/>
          </w:tcPr>
          <w:p w14:paraId="0C7C3EE9"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b/>
                <w:sz w:val="22"/>
                <w:szCs w:val="22"/>
              </w:rPr>
            </w:pPr>
          </w:p>
        </w:tc>
        <w:tc>
          <w:tcPr>
            <w:tcW w:w="1417" w:type="dxa"/>
            <w:tcBorders>
              <w:top w:val="double" w:sz="4" w:space="0" w:color="auto"/>
            </w:tcBorders>
            <w:vAlign w:val="center"/>
          </w:tcPr>
          <w:p w14:paraId="15862B04"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b/>
                <w:sz w:val="22"/>
                <w:szCs w:val="22"/>
              </w:rPr>
            </w:pPr>
          </w:p>
        </w:tc>
        <w:tc>
          <w:tcPr>
            <w:tcW w:w="1417" w:type="dxa"/>
            <w:tcBorders>
              <w:top w:val="double" w:sz="4" w:space="0" w:color="auto"/>
            </w:tcBorders>
            <w:vAlign w:val="center"/>
          </w:tcPr>
          <w:p w14:paraId="572CFF09" w14:textId="77777777" w:rsidR="007300EB" w:rsidRPr="007300EB" w:rsidRDefault="007300EB" w:rsidP="007300EB">
            <w:pPr>
              <w:pBdr>
                <w:top w:val="single" w:sz="6" w:space="2" w:color="4F81BD" w:themeColor="accent1"/>
              </w:pBdr>
              <w:spacing w:before="0" w:after="0" w:line="240" w:lineRule="auto"/>
              <w:ind w:right="-108"/>
              <w:jc w:val="center"/>
              <w:rPr>
                <w:rFonts w:ascii="Times New Roman" w:eastAsia="Times New Roman" w:hAnsi="Times New Roman" w:cs="Times New Roman"/>
                <w:b/>
                <w:sz w:val="22"/>
                <w:szCs w:val="22"/>
              </w:rPr>
            </w:pPr>
          </w:p>
        </w:tc>
      </w:tr>
      <w:tr w:rsidR="007300EB" w:rsidRPr="007300EB" w14:paraId="3A578999" w14:textId="77777777" w:rsidTr="00D833C2">
        <w:trPr>
          <w:trHeight w:val="159"/>
        </w:trPr>
        <w:tc>
          <w:tcPr>
            <w:tcW w:w="640" w:type="dxa"/>
            <w:vAlign w:val="bottom"/>
          </w:tcPr>
          <w:p w14:paraId="76FDFADB"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w:t>
            </w:r>
          </w:p>
        </w:tc>
        <w:tc>
          <w:tcPr>
            <w:tcW w:w="4848" w:type="dxa"/>
            <w:vAlign w:val="bottom"/>
          </w:tcPr>
          <w:p w14:paraId="088DAAF5"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Процентные доходы, в том числе:</w:t>
            </w:r>
          </w:p>
        </w:tc>
        <w:tc>
          <w:tcPr>
            <w:tcW w:w="1417" w:type="dxa"/>
            <w:vAlign w:val="bottom"/>
          </w:tcPr>
          <w:p w14:paraId="3DE4352C"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1 718</w:t>
            </w:r>
          </w:p>
        </w:tc>
        <w:tc>
          <w:tcPr>
            <w:tcW w:w="1417" w:type="dxa"/>
            <w:vAlign w:val="bottom"/>
          </w:tcPr>
          <w:p w14:paraId="76D8AD5A"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3 392</w:t>
            </w:r>
          </w:p>
        </w:tc>
        <w:tc>
          <w:tcPr>
            <w:tcW w:w="1417" w:type="dxa"/>
            <w:vAlign w:val="bottom"/>
          </w:tcPr>
          <w:p w14:paraId="717F43C3"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197,4</w:t>
            </w:r>
          </w:p>
        </w:tc>
      </w:tr>
      <w:tr w:rsidR="007300EB" w:rsidRPr="007300EB" w14:paraId="7AD708B3" w14:textId="77777777" w:rsidTr="00D833C2">
        <w:trPr>
          <w:trHeight w:val="159"/>
        </w:trPr>
        <w:tc>
          <w:tcPr>
            <w:tcW w:w="640" w:type="dxa"/>
            <w:vAlign w:val="bottom"/>
          </w:tcPr>
          <w:p w14:paraId="4B4692DD"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1.1.</w:t>
            </w:r>
          </w:p>
        </w:tc>
        <w:tc>
          <w:tcPr>
            <w:tcW w:w="4848" w:type="dxa"/>
            <w:vAlign w:val="bottom"/>
          </w:tcPr>
          <w:p w14:paraId="6D7D11C8"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 xml:space="preserve">по ценным бумагам </w:t>
            </w:r>
          </w:p>
        </w:tc>
        <w:tc>
          <w:tcPr>
            <w:tcW w:w="1417" w:type="dxa"/>
            <w:vAlign w:val="bottom"/>
          </w:tcPr>
          <w:p w14:paraId="72201C44"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145</w:t>
            </w:r>
          </w:p>
        </w:tc>
        <w:tc>
          <w:tcPr>
            <w:tcW w:w="1417" w:type="dxa"/>
            <w:vAlign w:val="bottom"/>
          </w:tcPr>
          <w:p w14:paraId="54E94B39"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158</w:t>
            </w:r>
          </w:p>
        </w:tc>
        <w:tc>
          <w:tcPr>
            <w:tcW w:w="1417" w:type="dxa"/>
            <w:vAlign w:val="bottom"/>
          </w:tcPr>
          <w:p w14:paraId="14F7A08D"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109,0</w:t>
            </w:r>
          </w:p>
        </w:tc>
      </w:tr>
      <w:tr w:rsidR="007300EB" w:rsidRPr="007300EB" w14:paraId="7BE69E7B" w14:textId="77777777" w:rsidTr="00D833C2">
        <w:trPr>
          <w:trHeight w:val="97"/>
        </w:trPr>
        <w:tc>
          <w:tcPr>
            <w:tcW w:w="640" w:type="dxa"/>
            <w:vAlign w:val="bottom"/>
          </w:tcPr>
          <w:p w14:paraId="2675C62C"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1.2.</w:t>
            </w:r>
          </w:p>
        </w:tc>
        <w:tc>
          <w:tcPr>
            <w:tcW w:w="4848" w:type="dxa"/>
            <w:vAlign w:val="bottom"/>
          </w:tcPr>
          <w:p w14:paraId="0F40454D"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по размещениям</w:t>
            </w:r>
          </w:p>
        </w:tc>
        <w:tc>
          <w:tcPr>
            <w:tcW w:w="1417" w:type="dxa"/>
            <w:vAlign w:val="bottom"/>
          </w:tcPr>
          <w:p w14:paraId="2FAF611B"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1 234</w:t>
            </w:r>
          </w:p>
        </w:tc>
        <w:tc>
          <w:tcPr>
            <w:tcW w:w="1417" w:type="dxa"/>
            <w:vAlign w:val="bottom"/>
          </w:tcPr>
          <w:p w14:paraId="762D233E"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1 355</w:t>
            </w:r>
          </w:p>
        </w:tc>
        <w:tc>
          <w:tcPr>
            <w:tcW w:w="1417" w:type="dxa"/>
            <w:vAlign w:val="bottom"/>
          </w:tcPr>
          <w:p w14:paraId="3CAE0AF1"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109,8</w:t>
            </w:r>
          </w:p>
        </w:tc>
      </w:tr>
      <w:tr w:rsidR="007300EB" w:rsidRPr="007300EB" w14:paraId="41B1FC41" w14:textId="77777777" w:rsidTr="00D833C2">
        <w:trPr>
          <w:trHeight w:val="70"/>
        </w:trPr>
        <w:tc>
          <w:tcPr>
            <w:tcW w:w="640" w:type="dxa"/>
            <w:vAlign w:val="bottom"/>
          </w:tcPr>
          <w:p w14:paraId="595ADA34"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1.3.</w:t>
            </w:r>
          </w:p>
        </w:tc>
        <w:tc>
          <w:tcPr>
            <w:tcW w:w="4848" w:type="dxa"/>
            <w:vAlign w:val="bottom"/>
          </w:tcPr>
          <w:p w14:paraId="0D71F11C"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 xml:space="preserve">по кредитам и прочим размещённым средствам  </w:t>
            </w:r>
          </w:p>
        </w:tc>
        <w:tc>
          <w:tcPr>
            <w:tcW w:w="1417" w:type="dxa"/>
            <w:vAlign w:val="bottom"/>
          </w:tcPr>
          <w:p w14:paraId="673B6815"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339</w:t>
            </w:r>
          </w:p>
        </w:tc>
        <w:tc>
          <w:tcPr>
            <w:tcW w:w="1417" w:type="dxa"/>
            <w:vAlign w:val="bottom"/>
          </w:tcPr>
          <w:p w14:paraId="6D14CE36"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1 879</w:t>
            </w:r>
          </w:p>
        </w:tc>
        <w:tc>
          <w:tcPr>
            <w:tcW w:w="1417" w:type="dxa"/>
            <w:vAlign w:val="bottom"/>
          </w:tcPr>
          <w:p w14:paraId="5237CCA0"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554,3</w:t>
            </w:r>
          </w:p>
        </w:tc>
      </w:tr>
      <w:tr w:rsidR="007300EB" w:rsidRPr="007300EB" w14:paraId="01CA40B4" w14:textId="77777777" w:rsidTr="00D833C2">
        <w:trPr>
          <w:trHeight w:val="70"/>
        </w:trPr>
        <w:tc>
          <w:tcPr>
            <w:tcW w:w="640" w:type="dxa"/>
            <w:vAlign w:val="bottom"/>
          </w:tcPr>
          <w:p w14:paraId="64271331"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w:t>
            </w:r>
          </w:p>
        </w:tc>
        <w:tc>
          <w:tcPr>
            <w:tcW w:w="4848" w:type="dxa"/>
            <w:vAlign w:val="bottom"/>
          </w:tcPr>
          <w:p w14:paraId="4A1826E0"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Доходы по операциям с ценными бумагами</w:t>
            </w:r>
          </w:p>
        </w:tc>
        <w:tc>
          <w:tcPr>
            <w:tcW w:w="1417" w:type="dxa"/>
            <w:vAlign w:val="bottom"/>
          </w:tcPr>
          <w:p w14:paraId="1B9844AE"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0</w:t>
            </w:r>
          </w:p>
        </w:tc>
        <w:tc>
          <w:tcPr>
            <w:tcW w:w="1417" w:type="dxa"/>
            <w:vAlign w:val="bottom"/>
          </w:tcPr>
          <w:p w14:paraId="3B8F90DE"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847</w:t>
            </w:r>
          </w:p>
        </w:tc>
        <w:tc>
          <w:tcPr>
            <w:tcW w:w="1417" w:type="dxa"/>
            <w:vAlign w:val="bottom"/>
          </w:tcPr>
          <w:p w14:paraId="0DB55D55"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0</w:t>
            </w:r>
          </w:p>
        </w:tc>
      </w:tr>
      <w:tr w:rsidR="007300EB" w:rsidRPr="007300EB" w14:paraId="09E94F86" w14:textId="77777777" w:rsidTr="00D833C2">
        <w:trPr>
          <w:trHeight w:val="70"/>
        </w:trPr>
        <w:tc>
          <w:tcPr>
            <w:tcW w:w="640" w:type="dxa"/>
            <w:vAlign w:val="bottom"/>
          </w:tcPr>
          <w:p w14:paraId="4720DD0E"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w:t>
            </w:r>
          </w:p>
        </w:tc>
        <w:tc>
          <w:tcPr>
            <w:tcW w:w="4848" w:type="dxa"/>
            <w:vAlign w:val="bottom"/>
          </w:tcPr>
          <w:p w14:paraId="52CD4D9C"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Доходы от участия в капиталах кредитных и иных организаций</w:t>
            </w:r>
          </w:p>
        </w:tc>
        <w:tc>
          <w:tcPr>
            <w:tcW w:w="1417" w:type="dxa"/>
            <w:vAlign w:val="bottom"/>
          </w:tcPr>
          <w:p w14:paraId="29273D41"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12 180</w:t>
            </w:r>
          </w:p>
        </w:tc>
        <w:tc>
          <w:tcPr>
            <w:tcW w:w="1417" w:type="dxa"/>
            <w:vAlign w:val="bottom"/>
          </w:tcPr>
          <w:p w14:paraId="6165A973"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12 181</w:t>
            </w:r>
          </w:p>
        </w:tc>
        <w:tc>
          <w:tcPr>
            <w:tcW w:w="1417" w:type="dxa"/>
            <w:vAlign w:val="bottom"/>
          </w:tcPr>
          <w:p w14:paraId="14227B85"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100,0</w:t>
            </w:r>
          </w:p>
        </w:tc>
      </w:tr>
      <w:tr w:rsidR="007300EB" w:rsidRPr="007300EB" w14:paraId="46571972" w14:textId="77777777" w:rsidTr="00D833C2">
        <w:trPr>
          <w:trHeight w:val="70"/>
        </w:trPr>
        <w:tc>
          <w:tcPr>
            <w:tcW w:w="640" w:type="dxa"/>
            <w:vAlign w:val="bottom"/>
          </w:tcPr>
          <w:p w14:paraId="569C6F9E"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4.</w:t>
            </w:r>
          </w:p>
        </w:tc>
        <w:tc>
          <w:tcPr>
            <w:tcW w:w="4848" w:type="dxa"/>
            <w:vAlign w:val="bottom"/>
          </w:tcPr>
          <w:p w14:paraId="4A72D31E"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Чистые доходы от восстановления резервов</w:t>
            </w:r>
          </w:p>
        </w:tc>
        <w:tc>
          <w:tcPr>
            <w:tcW w:w="1417" w:type="dxa"/>
            <w:vAlign w:val="bottom"/>
          </w:tcPr>
          <w:p w14:paraId="321A141E"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20 371</w:t>
            </w:r>
          </w:p>
        </w:tc>
        <w:tc>
          <w:tcPr>
            <w:tcW w:w="1417" w:type="dxa"/>
            <w:vAlign w:val="bottom"/>
          </w:tcPr>
          <w:p w14:paraId="2D82A428"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8 182</w:t>
            </w:r>
          </w:p>
        </w:tc>
        <w:tc>
          <w:tcPr>
            <w:tcW w:w="1417" w:type="dxa"/>
            <w:vAlign w:val="bottom"/>
          </w:tcPr>
          <w:p w14:paraId="07E06388"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40,2</w:t>
            </w:r>
          </w:p>
        </w:tc>
      </w:tr>
      <w:tr w:rsidR="007300EB" w:rsidRPr="007300EB" w14:paraId="0E10AD47" w14:textId="77777777" w:rsidTr="00D833C2">
        <w:trPr>
          <w:trHeight w:val="70"/>
        </w:trPr>
        <w:tc>
          <w:tcPr>
            <w:tcW w:w="640" w:type="dxa"/>
            <w:vAlign w:val="bottom"/>
          </w:tcPr>
          <w:p w14:paraId="1677F75E"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w:t>
            </w:r>
          </w:p>
        </w:tc>
        <w:tc>
          <w:tcPr>
            <w:tcW w:w="4848" w:type="dxa"/>
            <w:vAlign w:val="bottom"/>
          </w:tcPr>
          <w:p w14:paraId="13599988"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Прочие доходы, в том числе:</w:t>
            </w:r>
          </w:p>
        </w:tc>
        <w:tc>
          <w:tcPr>
            <w:tcW w:w="1417" w:type="dxa"/>
            <w:vAlign w:val="bottom"/>
          </w:tcPr>
          <w:p w14:paraId="6F63BBB6"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37 601</w:t>
            </w:r>
          </w:p>
        </w:tc>
        <w:tc>
          <w:tcPr>
            <w:tcW w:w="1417" w:type="dxa"/>
            <w:vAlign w:val="bottom"/>
          </w:tcPr>
          <w:p w14:paraId="602535FE"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47 357</w:t>
            </w:r>
          </w:p>
        </w:tc>
        <w:tc>
          <w:tcPr>
            <w:tcW w:w="1417" w:type="dxa"/>
            <w:vAlign w:val="bottom"/>
          </w:tcPr>
          <w:p w14:paraId="0E953B4D"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125,9</w:t>
            </w:r>
          </w:p>
        </w:tc>
      </w:tr>
      <w:tr w:rsidR="007300EB" w:rsidRPr="007300EB" w14:paraId="1D34912D" w14:textId="77777777" w:rsidTr="00D833C2">
        <w:trPr>
          <w:trHeight w:val="70"/>
        </w:trPr>
        <w:tc>
          <w:tcPr>
            <w:tcW w:w="640" w:type="dxa"/>
            <w:vAlign w:val="bottom"/>
          </w:tcPr>
          <w:p w14:paraId="30D42807"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5.1.</w:t>
            </w:r>
          </w:p>
        </w:tc>
        <w:tc>
          <w:tcPr>
            <w:tcW w:w="4848" w:type="dxa"/>
            <w:vAlign w:val="bottom"/>
          </w:tcPr>
          <w:p w14:paraId="561066F7"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доходы от операций с иностранной валютой</w:t>
            </w:r>
          </w:p>
        </w:tc>
        <w:tc>
          <w:tcPr>
            <w:tcW w:w="1417" w:type="dxa"/>
            <w:vAlign w:val="bottom"/>
          </w:tcPr>
          <w:p w14:paraId="4E4AE413"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20 000</w:t>
            </w:r>
          </w:p>
        </w:tc>
        <w:tc>
          <w:tcPr>
            <w:tcW w:w="1417" w:type="dxa"/>
            <w:vAlign w:val="bottom"/>
          </w:tcPr>
          <w:p w14:paraId="2A1C9EA5"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24 949</w:t>
            </w:r>
          </w:p>
        </w:tc>
        <w:tc>
          <w:tcPr>
            <w:tcW w:w="1417" w:type="dxa"/>
            <w:vAlign w:val="bottom"/>
          </w:tcPr>
          <w:p w14:paraId="26FEEF71"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124,7</w:t>
            </w:r>
          </w:p>
        </w:tc>
      </w:tr>
      <w:tr w:rsidR="007300EB" w:rsidRPr="007300EB" w14:paraId="317C2B6D" w14:textId="77777777" w:rsidTr="00D833C2">
        <w:trPr>
          <w:trHeight w:val="70"/>
        </w:trPr>
        <w:tc>
          <w:tcPr>
            <w:tcW w:w="640" w:type="dxa"/>
            <w:vAlign w:val="bottom"/>
          </w:tcPr>
          <w:p w14:paraId="04B23DFF"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5.2.</w:t>
            </w:r>
          </w:p>
        </w:tc>
        <w:tc>
          <w:tcPr>
            <w:tcW w:w="4848" w:type="dxa"/>
            <w:vAlign w:val="bottom"/>
          </w:tcPr>
          <w:p w14:paraId="45012086"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комиссионные доходы</w:t>
            </w:r>
          </w:p>
        </w:tc>
        <w:tc>
          <w:tcPr>
            <w:tcW w:w="1417" w:type="dxa"/>
            <w:vAlign w:val="bottom"/>
          </w:tcPr>
          <w:p w14:paraId="57499A0E"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14 981</w:t>
            </w:r>
          </w:p>
        </w:tc>
        <w:tc>
          <w:tcPr>
            <w:tcW w:w="1417" w:type="dxa"/>
            <w:vAlign w:val="bottom"/>
          </w:tcPr>
          <w:p w14:paraId="3DA80213"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19 547</w:t>
            </w:r>
          </w:p>
        </w:tc>
        <w:tc>
          <w:tcPr>
            <w:tcW w:w="1417" w:type="dxa"/>
            <w:vAlign w:val="bottom"/>
          </w:tcPr>
          <w:p w14:paraId="71645776"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130,5</w:t>
            </w:r>
          </w:p>
        </w:tc>
      </w:tr>
      <w:tr w:rsidR="007300EB" w:rsidRPr="007300EB" w14:paraId="3D246AB8" w14:textId="77777777" w:rsidTr="00D833C2">
        <w:trPr>
          <w:trHeight w:val="90"/>
        </w:trPr>
        <w:tc>
          <w:tcPr>
            <w:tcW w:w="640" w:type="dxa"/>
            <w:vAlign w:val="bottom"/>
          </w:tcPr>
          <w:p w14:paraId="039ABB42"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5.3.</w:t>
            </w:r>
          </w:p>
        </w:tc>
        <w:tc>
          <w:tcPr>
            <w:tcW w:w="4848" w:type="dxa"/>
            <w:vAlign w:val="bottom"/>
          </w:tcPr>
          <w:p w14:paraId="620E9177"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 xml:space="preserve">доходы по операциям с памятными (юбилейными)  банкнотами и монетами </w:t>
            </w:r>
          </w:p>
        </w:tc>
        <w:tc>
          <w:tcPr>
            <w:tcW w:w="1417" w:type="dxa"/>
            <w:vAlign w:val="bottom"/>
          </w:tcPr>
          <w:p w14:paraId="63EF6ECD"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2 476</w:t>
            </w:r>
          </w:p>
        </w:tc>
        <w:tc>
          <w:tcPr>
            <w:tcW w:w="1417" w:type="dxa"/>
            <w:vAlign w:val="bottom"/>
          </w:tcPr>
          <w:p w14:paraId="737A8FE0"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2 169</w:t>
            </w:r>
          </w:p>
        </w:tc>
        <w:tc>
          <w:tcPr>
            <w:tcW w:w="1417" w:type="dxa"/>
            <w:vAlign w:val="bottom"/>
          </w:tcPr>
          <w:p w14:paraId="3FEE89AC"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87,6</w:t>
            </w:r>
          </w:p>
        </w:tc>
      </w:tr>
      <w:tr w:rsidR="007300EB" w:rsidRPr="007300EB" w14:paraId="1CA96879" w14:textId="77777777" w:rsidTr="00D833C2">
        <w:trPr>
          <w:trHeight w:val="84"/>
        </w:trPr>
        <w:tc>
          <w:tcPr>
            <w:tcW w:w="640" w:type="dxa"/>
            <w:vAlign w:val="bottom"/>
          </w:tcPr>
          <w:p w14:paraId="391EE983"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5.4.</w:t>
            </w:r>
          </w:p>
        </w:tc>
        <w:tc>
          <w:tcPr>
            <w:tcW w:w="4848" w:type="dxa"/>
            <w:vAlign w:val="bottom"/>
          </w:tcPr>
          <w:p w14:paraId="71F12A2B"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доходы от аренды и финансовой аренды (лизинга)</w:t>
            </w:r>
          </w:p>
        </w:tc>
        <w:tc>
          <w:tcPr>
            <w:tcW w:w="1417" w:type="dxa"/>
            <w:vAlign w:val="bottom"/>
          </w:tcPr>
          <w:p w14:paraId="4BEB9CD2"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w:t>
            </w:r>
          </w:p>
        </w:tc>
        <w:tc>
          <w:tcPr>
            <w:tcW w:w="1417" w:type="dxa"/>
            <w:vAlign w:val="bottom"/>
          </w:tcPr>
          <w:p w14:paraId="28EBFF07"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w:t>
            </w:r>
          </w:p>
        </w:tc>
        <w:tc>
          <w:tcPr>
            <w:tcW w:w="1417" w:type="dxa"/>
            <w:vAlign w:val="bottom"/>
          </w:tcPr>
          <w:p w14:paraId="00A3881D"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100,0</w:t>
            </w:r>
          </w:p>
        </w:tc>
      </w:tr>
      <w:tr w:rsidR="007300EB" w:rsidRPr="007300EB" w14:paraId="080322F4" w14:textId="77777777" w:rsidTr="00D833C2">
        <w:trPr>
          <w:trHeight w:val="135"/>
        </w:trPr>
        <w:tc>
          <w:tcPr>
            <w:tcW w:w="640" w:type="dxa"/>
            <w:vAlign w:val="bottom"/>
          </w:tcPr>
          <w:p w14:paraId="2A19BCAE"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5.5.</w:t>
            </w:r>
          </w:p>
        </w:tc>
        <w:tc>
          <w:tcPr>
            <w:tcW w:w="4848" w:type="dxa"/>
            <w:vAlign w:val="bottom"/>
          </w:tcPr>
          <w:p w14:paraId="38683292"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доходы от выбытия (реализации) активов</w:t>
            </w:r>
          </w:p>
        </w:tc>
        <w:tc>
          <w:tcPr>
            <w:tcW w:w="1417" w:type="dxa"/>
            <w:vAlign w:val="bottom"/>
          </w:tcPr>
          <w:p w14:paraId="1068D496"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124</w:t>
            </w:r>
          </w:p>
        </w:tc>
        <w:tc>
          <w:tcPr>
            <w:tcW w:w="1417" w:type="dxa"/>
            <w:vAlign w:val="bottom"/>
          </w:tcPr>
          <w:p w14:paraId="20B02981"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105</w:t>
            </w:r>
          </w:p>
        </w:tc>
        <w:tc>
          <w:tcPr>
            <w:tcW w:w="1417" w:type="dxa"/>
            <w:vAlign w:val="bottom"/>
          </w:tcPr>
          <w:p w14:paraId="2134F762"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84,7</w:t>
            </w:r>
          </w:p>
        </w:tc>
      </w:tr>
      <w:tr w:rsidR="007300EB" w:rsidRPr="007300EB" w14:paraId="53D86262" w14:textId="77777777" w:rsidTr="00D833C2">
        <w:trPr>
          <w:trHeight w:val="70"/>
        </w:trPr>
        <w:tc>
          <w:tcPr>
            <w:tcW w:w="640" w:type="dxa"/>
            <w:vAlign w:val="bottom"/>
          </w:tcPr>
          <w:p w14:paraId="7B608E87"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5.6.</w:t>
            </w:r>
          </w:p>
        </w:tc>
        <w:tc>
          <w:tcPr>
            <w:tcW w:w="4848" w:type="dxa"/>
            <w:vAlign w:val="bottom"/>
          </w:tcPr>
          <w:p w14:paraId="4248D178"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другие доходы</w:t>
            </w:r>
          </w:p>
        </w:tc>
        <w:tc>
          <w:tcPr>
            <w:tcW w:w="1417" w:type="dxa"/>
            <w:vAlign w:val="bottom"/>
          </w:tcPr>
          <w:p w14:paraId="7E98CF51"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19</w:t>
            </w:r>
          </w:p>
        </w:tc>
        <w:tc>
          <w:tcPr>
            <w:tcW w:w="1417" w:type="dxa"/>
            <w:vAlign w:val="bottom"/>
          </w:tcPr>
          <w:p w14:paraId="475657C0"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586</w:t>
            </w:r>
          </w:p>
        </w:tc>
        <w:tc>
          <w:tcPr>
            <w:tcW w:w="1417" w:type="dxa"/>
            <w:vAlign w:val="bottom"/>
          </w:tcPr>
          <w:p w14:paraId="56714E5E"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3 084,2</w:t>
            </w:r>
          </w:p>
        </w:tc>
      </w:tr>
      <w:tr w:rsidR="007300EB" w:rsidRPr="007300EB" w14:paraId="44F8E87E" w14:textId="77777777" w:rsidTr="00D833C2">
        <w:trPr>
          <w:trHeight w:val="126"/>
        </w:trPr>
        <w:tc>
          <w:tcPr>
            <w:tcW w:w="640" w:type="dxa"/>
            <w:shd w:val="clear" w:color="auto" w:fill="CCCCCC"/>
            <w:vAlign w:val="bottom"/>
          </w:tcPr>
          <w:p w14:paraId="2F433B92" w14:textId="77777777" w:rsidR="007300EB" w:rsidRPr="007300EB" w:rsidRDefault="007300EB" w:rsidP="007300EB">
            <w:pPr>
              <w:pBdr>
                <w:bottom w:val="dotted" w:sz="6" w:space="1" w:color="4F81BD" w:themeColor="accent1"/>
              </w:pBdr>
              <w:spacing w:before="0" w:after="0" w:line="240" w:lineRule="auto"/>
              <w:ind w:right="-108"/>
              <w:jc w:val="center"/>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6.</w:t>
            </w:r>
          </w:p>
        </w:tc>
        <w:tc>
          <w:tcPr>
            <w:tcW w:w="4848" w:type="dxa"/>
            <w:shd w:val="clear" w:color="auto" w:fill="CCCCCC"/>
            <w:vAlign w:val="bottom"/>
          </w:tcPr>
          <w:p w14:paraId="41510E14" w14:textId="77777777" w:rsidR="007300EB" w:rsidRPr="007300EB" w:rsidRDefault="007300EB" w:rsidP="007300EB">
            <w:pPr>
              <w:pBdr>
                <w:bottom w:val="dotted" w:sz="6" w:space="1" w:color="4F81BD" w:themeColor="accent1"/>
              </w:pBdr>
              <w:spacing w:before="0" w:after="0" w:line="240" w:lineRule="auto"/>
              <w:ind w:right="-108"/>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 xml:space="preserve"> Итого доходов</w:t>
            </w:r>
          </w:p>
        </w:tc>
        <w:tc>
          <w:tcPr>
            <w:tcW w:w="1417" w:type="dxa"/>
            <w:shd w:val="clear" w:color="auto" w:fill="CCCCCC"/>
            <w:vAlign w:val="bottom"/>
          </w:tcPr>
          <w:p w14:paraId="5D95FE63"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71 870</w:t>
            </w:r>
          </w:p>
        </w:tc>
        <w:tc>
          <w:tcPr>
            <w:tcW w:w="1417" w:type="dxa"/>
            <w:shd w:val="clear" w:color="auto" w:fill="CCCCCC"/>
            <w:vAlign w:val="bottom"/>
          </w:tcPr>
          <w:p w14:paraId="5E4D1619"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71 959</w:t>
            </w:r>
          </w:p>
        </w:tc>
        <w:tc>
          <w:tcPr>
            <w:tcW w:w="1417" w:type="dxa"/>
            <w:shd w:val="clear" w:color="auto" w:fill="CCCCCC"/>
            <w:vAlign w:val="bottom"/>
          </w:tcPr>
          <w:p w14:paraId="4E5599C5"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100,1</w:t>
            </w:r>
          </w:p>
        </w:tc>
      </w:tr>
      <w:tr w:rsidR="007300EB" w:rsidRPr="007300EB" w14:paraId="16DC0DEC" w14:textId="77777777" w:rsidTr="00D833C2">
        <w:trPr>
          <w:trHeight w:val="70"/>
        </w:trPr>
        <w:tc>
          <w:tcPr>
            <w:tcW w:w="640" w:type="dxa"/>
            <w:tcBorders>
              <w:top w:val="nil"/>
            </w:tcBorders>
            <w:vAlign w:val="bottom"/>
          </w:tcPr>
          <w:p w14:paraId="1BFC0005" w14:textId="77777777" w:rsidR="007300EB" w:rsidRPr="007300EB" w:rsidRDefault="007300EB" w:rsidP="007300EB">
            <w:pPr>
              <w:pBdr>
                <w:bottom w:val="dotted" w:sz="6" w:space="1" w:color="4F81BD" w:themeColor="accent1"/>
              </w:pBdr>
              <w:spacing w:before="0" w:after="0" w:line="240" w:lineRule="auto"/>
              <w:ind w:right="-108"/>
              <w:jc w:val="center"/>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II</w:t>
            </w:r>
          </w:p>
        </w:tc>
        <w:tc>
          <w:tcPr>
            <w:tcW w:w="4848" w:type="dxa"/>
            <w:tcBorders>
              <w:top w:val="nil"/>
            </w:tcBorders>
            <w:vAlign w:val="bottom"/>
          </w:tcPr>
          <w:p w14:paraId="2D9975EB" w14:textId="77777777" w:rsidR="007300EB" w:rsidRPr="007300EB" w:rsidRDefault="007300EB" w:rsidP="007300EB">
            <w:pPr>
              <w:pBdr>
                <w:bottom w:val="dotted" w:sz="6" w:space="1" w:color="4F81BD" w:themeColor="accent1"/>
              </w:pBdr>
              <w:spacing w:before="0" w:after="0" w:line="240" w:lineRule="auto"/>
              <w:ind w:right="-108"/>
              <w:jc w:val="center"/>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РАСХОДЫ</w:t>
            </w:r>
          </w:p>
        </w:tc>
        <w:tc>
          <w:tcPr>
            <w:tcW w:w="1417" w:type="dxa"/>
            <w:tcBorders>
              <w:top w:val="nil"/>
            </w:tcBorders>
            <w:vAlign w:val="bottom"/>
          </w:tcPr>
          <w:p w14:paraId="734D7164"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p>
        </w:tc>
        <w:tc>
          <w:tcPr>
            <w:tcW w:w="1417" w:type="dxa"/>
            <w:tcBorders>
              <w:top w:val="nil"/>
            </w:tcBorders>
            <w:vAlign w:val="bottom"/>
          </w:tcPr>
          <w:p w14:paraId="7D03EBEE"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p>
        </w:tc>
        <w:tc>
          <w:tcPr>
            <w:tcW w:w="1417" w:type="dxa"/>
            <w:tcBorders>
              <w:top w:val="nil"/>
            </w:tcBorders>
            <w:vAlign w:val="bottom"/>
          </w:tcPr>
          <w:p w14:paraId="1A7F0B2A"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p>
        </w:tc>
      </w:tr>
      <w:tr w:rsidR="007300EB" w:rsidRPr="007300EB" w14:paraId="21A5B0F8" w14:textId="77777777" w:rsidTr="00D833C2">
        <w:trPr>
          <w:trHeight w:val="70"/>
        </w:trPr>
        <w:tc>
          <w:tcPr>
            <w:tcW w:w="640" w:type="dxa"/>
            <w:vAlign w:val="bottom"/>
          </w:tcPr>
          <w:p w14:paraId="130ECB0A"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7.</w:t>
            </w:r>
          </w:p>
        </w:tc>
        <w:tc>
          <w:tcPr>
            <w:tcW w:w="4848" w:type="dxa"/>
            <w:vAlign w:val="bottom"/>
          </w:tcPr>
          <w:p w14:paraId="398FE9DE"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 xml:space="preserve">Процентные расходы </w:t>
            </w:r>
          </w:p>
        </w:tc>
        <w:tc>
          <w:tcPr>
            <w:tcW w:w="1417" w:type="dxa"/>
            <w:vAlign w:val="bottom"/>
          </w:tcPr>
          <w:p w14:paraId="610BBC11"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w:t>
            </w:r>
          </w:p>
        </w:tc>
        <w:tc>
          <w:tcPr>
            <w:tcW w:w="1417" w:type="dxa"/>
            <w:vAlign w:val="bottom"/>
          </w:tcPr>
          <w:p w14:paraId="1A3AD0E3"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291</w:t>
            </w:r>
          </w:p>
        </w:tc>
        <w:tc>
          <w:tcPr>
            <w:tcW w:w="1417" w:type="dxa"/>
            <w:vAlign w:val="bottom"/>
          </w:tcPr>
          <w:p w14:paraId="5D6C5FD7"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14 550,0</w:t>
            </w:r>
          </w:p>
        </w:tc>
      </w:tr>
      <w:tr w:rsidR="007300EB" w:rsidRPr="007300EB" w14:paraId="79A0A7BC" w14:textId="77777777" w:rsidTr="00D833C2">
        <w:trPr>
          <w:trHeight w:val="327"/>
        </w:trPr>
        <w:tc>
          <w:tcPr>
            <w:tcW w:w="640" w:type="dxa"/>
            <w:vAlign w:val="bottom"/>
          </w:tcPr>
          <w:p w14:paraId="6C82E937"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8.</w:t>
            </w:r>
          </w:p>
        </w:tc>
        <w:tc>
          <w:tcPr>
            <w:tcW w:w="4848" w:type="dxa"/>
            <w:vAlign w:val="bottom"/>
          </w:tcPr>
          <w:p w14:paraId="7539DBFD"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Расходы по организации наличного денежного обращения</w:t>
            </w:r>
          </w:p>
        </w:tc>
        <w:tc>
          <w:tcPr>
            <w:tcW w:w="1417" w:type="dxa"/>
            <w:vAlign w:val="bottom"/>
          </w:tcPr>
          <w:p w14:paraId="47B9603C"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7 024</w:t>
            </w:r>
          </w:p>
        </w:tc>
        <w:tc>
          <w:tcPr>
            <w:tcW w:w="1417" w:type="dxa"/>
            <w:vAlign w:val="bottom"/>
          </w:tcPr>
          <w:p w14:paraId="2DADCA38"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4 877</w:t>
            </w:r>
          </w:p>
        </w:tc>
        <w:tc>
          <w:tcPr>
            <w:tcW w:w="1417" w:type="dxa"/>
            <w:vAlign w:val="bottom"/>
          </w:tcPr>
          <w:p w14:paraId="7F3399CF"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69,4</w:t>
            </w:r>
          </w:p>
        </w:tc>
      </w:tr>
      <w:tr w:rsidR="007300EB" w:rsidRPr="007300EB" w14:paraId="38F061F2" w14:textId="77777777" w:rsidTr="00D833C2">
        <w:trPr>
          <w:trHeight w:val="70"/>
        </w:trPr>
        <w:tc>
          <w:tcPr>
            <w:tcW w:w="640" w:type="dxa"/>
            <w:vAlign w:val="bottom"/>
          </w:tcPr>
          <w:p w14:paraId="234FDC26"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9.</w:t>
            </w:r>
          </w:p>
        </w:tc>
        <w:tc>
          <w:tcPr>
            <w:tcW w:w="4848" w:type="dxa"/>
            <w:vAlign w:val="bottom"/>
          </w:tcPr>
          <w:p w14:paraId="49BD533A"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Прочие расходы, в том числе:</w:t>
            </w:r>
          </w:p>
        </w:tc>
        <w:tc>
          <w:tcPr>
            <w:tcW w:w="1417" w:type="dxa"/>
            <w:vAlign w:val="bottom"/>
          </w:tcPr>
          <w:p w14:paraId="7F2EC576"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42 254</w:t>
            </w:r>
          </w:p>
        </w:tc>
        <w:tc>
          <w:tcPr>
            <w:tcW w:w="1417" w:type="dxa"/>
            <w:vAlign w:val="bottom"/>
          </w:tcPr>
          <w:p w14:paraId="405A4790"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38 875</w:t>
            </w:r>
          </w:p>
        </w:tc>
        <w:tc>
          <w:tcPr>
            <w:tcW w:w="1417" w:type="dxa"/>
            <w:vAlign w:val="bottom"/>
          </w:tcPr>
          <w:p w14:paraId="6278375A"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92,0</w:t>
            </w:r>
          </w:p>
        </w:tc>
      </w:tr>
      <w:tr w:rsidR="007300EB" w:rsidRPr="007300EB" w14:paraId="5077B073" w14:textId="77777777" w:rsidTr="00D833C2">
        <w:trPr>
          <w:trHeight w:val="70"/>
        </w:trPr>
        <w:tc>
          <w:tcPr>
            <w:tcW w:w="640" w:type="dxa"/>
            <w:vAlign w:val="bottom"/>
          </w:tcPr>
          <w:p w14:paraId="78EA4A1E"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9.1.</w:t>
            </w:r>
          </w:p>
        </w:tc>
        <w:tc>
          <w:tcPr>
            <w:tcW w:w="4848" w:type="dxa"/>
            <w:vAlign w:val="bottom"/>
          </w:tcPr>
          <w:p w14:paraId="4F2A4C7F"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 xml:space="preserve"> административно-хозяйственные расходы</w:t>
            </w:r>
          </w:p>
        </w:tc>
        <w:tc>
          <w:tcPr>
            <w:tcW w:w="1417" w:type="dxa"/>
            <w:vAlign w:val="bottom"/>
          </w:tcPr>
          <w:p w14:paraId="24C577AF"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10 411</w:t>
            </w:r>
          </w:p>
        </w:tc>
        <w:tc>
          <w:tcPr>
            <w:tcW w:w="1417" w:type="dxa"/>
            <w:vAlign w:val="bottom"/>
          </w:tcPr>
          <w:p w14:paraId="468D3C5B"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7 881</w:t>
            </w:r>
          </w:p>
        </w:tc>
        <w:tc>
          <w:tcPr>
            <w:tcW w:w="1417" w:type="dxa"/>
            <w:vAlign w:val="bottom"/>
          </w:tcPr>
          <w:p w14:paraId="33514959"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75,7</w:t>
            </w:r>
          </w:p>
        </w:tc>
      </w:tr>
      <w:tr w:rsidR="007300EB" w:rsidRPr="007300EB" w14:paraId="30783B47" w14:textId="77777777" w:rsidTr="00D833C2">
        <w:trPr>
          <w:trHeight w:val="131"/>
        </w:trPr>
        <w:tc>
          <w:tcPr>
            <w:tcW w:w="640" w:type="dxa"/>
            <w:vAlign w:val="bottom"/>
          </w:tcPr>
          <w:p w14:paraId="1AB912CE"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9.2.</w:t>
            </w:r>
          </w:p>
        </w:tc>
        <w:tc>
          <w:tcPr>
            <w:tcW w:w="4848" w:type="dxa"/>
            <w:vAlign w:val="bottom"/>
          </w:tcPr>
          <w:p w14:paraId="4913394F"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 xml:space="preserve"> расходы на содержание служащих </w:t>
            </w:r>
          </w:p>
        </w:tc>
        <w:tc>
          <w:tcPr>
            <w:tcW w:w="1417" w:type="dxa"/>
            <w:vAlign w:val="bottom"/>
          </w:tcPr>
          <w:p w14:paraId="018A68B0"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30 923</w:t>
            </w:r>
          </w:p>
        </w:tc>
        <w:tc>
          <w:tcPr>
            <w:tcW w:w="1417" w:type="dxa"/>
            <w:vAlign w:val="bottom"/>
          </w:tcPr>
          <w:p w14:paraId="35DEEB60"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30 923</w:t>
            </w:r>
          </w:p>
        </w:tc>
        <w:tc>
          <w:tcPr>
            <w:tcW w:w="1417" w:type="dxa"/>
            <w:vAlign w:val="bottom"/>
          </w:tcPr>
          <w:p w14:paraId="43F887A2"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100,0</w:t>
            </w:r>
          </w:p>
        </w:tc>
      </w:tr>
      <w:tr w:rsidR="007300EB" w:rsidRPr="007300EB" w14:paraId="4AE03CA8" w14:textId="77777777" w:rsidTr="00D833C2">
        <w:trPr>
          <w:trHeight w:val="131"/>
        </w:trPr>
        <w:tc>
          <w:tcPr>
            <w:tcW w:w="640" w:type="dxa"/>
            <w:vAlign w:val="bottom"/>
          </w:tcPr>
          <w:p w14:paraId="0F86DC13" w14:textId="77777777" w:rsidR="007300EB" w:rsidRPr="007300EB" w:rsidRDefault="007300EB" w:rsidP="007300EB">
            <w:pPr>
              <w:spacing w:before="0" w:after="0" w:line="240" w:lineRule="auto"/>
              <w:ind w:right="-108"/>
              <w:jc w:val="center"/>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9.3.</w:t>
            </w:r>
          </w:p>
        </w:tc>
        <w:tc>
          <w:tcPr>
            <w:tcW w:w="4848" w:type="dxa"/>
            <w:vAlign w:val="bottom"/>
          </w:tcPr>
          <w:p w14:paraId="43B5911B" w14:textId="77777777" w:rsidR="007300EB" w:rsidRPr="007300EB" w:rsidRDefault="007300EB" w:rsidP="007300EB">
            <w:pPr>
              <w:spacing w:before="0" w:after="0" w:line="240" w:lineRule="auto"/>
              <w:ind w:right="-108"/>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 xml:space="preserve"> другие расходы</w:t>
            </w:r>
          </w:p>
        </w:tc>
        <w:tc>
          <w:tcPr>
            <w:tcW w:w="1417" w:type="dxa"/>
            <w:vAlign w:val="bottom"/>
          </w:tcPr>
          <w:p w14:paraId="278C883C"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920</w:t>
            </w:r>
          </w:p>
        </w:tc>
        <w:tc>
          <w:tcPr>
            <w:tcW w:w="1417" w:type="dxa"/>
            <w:vAlign w:val="bottom"/>
          </w:tcPr>
          <w:p w14:paraId="55532DF4"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71</w:t>
            </w:r>
          </w:p>
        </w:tc>
        <w:tc>
          <w:tcPr>
            <w:tcW w:w="1417" w:type="dxa"/>
            <w:vAlign w:val="bottom"/>
          </w:tcPr>
          <w:p w14:paraId="7316C068" w14:textId="77777777" w:rsidR="007300EB" w:rsidRPr="007300EB" w:rsidRDefault="007300EB" w:rsidP="007300EB">
            <w:pPr>
              <w:spacing w:before="0" w:after="0" w:line="240" w:lineRule="auto"/>
              <w:ind w:right="237"/>
              <w:jc w:val="right"/>
              <w:rPr>
                <w:rFonts w:ascii="Times New Roman" w:eastAsia="Times New Roman" w:hAnsi="Times New Roman" w:cs="Times New Roman"/>
                <w:sz w:val="22"/>
                <w:szCs w:val="22"/>
              </w:rPr>
            </w:pPr>
            <w:r w:rsidRPr="007300EB">
              <w:rPr>
                <w:rFonts w:ascii="Times New Roman" w:eastAsia="Times New Roman" w:hAnsi="Times New Roman" w:cs="Times New Roman"/>
                <w:sz w:val="22"/>
                <w:szCs w:val="22"/>
              </w:rPr>
              <w:t>7,7</w:t>
            </w:r>
          </w:p>
        </w:tc>
      </w:tr>
      <w:tr w:rsidR="007300EB" w:rsidRPr="007300EB" w14:paraId="0484BC8F" w14:textId="77777777" w:rsidTr="00D833C2">
        <w:trPr>
          <w:trHeight w:val="70"/>
        </w:trPr>
        <w:tc>
          <w:tcPr>
            <w:tcW w:w="640" w:type="dxa"/>
            <w:shd w:val="clear" w:color="auto" w:fill="CCCCCC"/>
            <w:vAlign w:val="bottom"/>
          </w:tcPr>
          <w:p w14:paraId="1783E202" w14:textId="77777777" w:rsidR="007300EB" w:rsidRPr="007300EB" w:rsidRDefault="007300EB" w:rsidP="007300EB">
            <w:pPr>
              <w:pBdr>
                <w:bottom w:val="dotted" w:sz="6" w:space="1" w:color="4F81BD" w:themeColor="accent1"/>
              </w:pBdr>
              <w:spacing w:before="0" w:after="0" w:line="240" w:lineRule="auto"/>
              <w:ind w:right="-108"/>
              <w:jc w:val="center"/>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10.</w:t>
            </w:r>
          </w:p>
        </w:tc>
        <w:tc>
          <w:tcPr>
            <w:tcW w:w="4848" w:type="dxa"/>
            <w:shd w:val="clear" w:color="auto" w:fill="CCCCCC"/>
            <w:vAlign w:val="bottom"/>
          </w:tcPr>
          <w:p w14:paraId="39822C8F" w14:textId="47B0E50E" w:rsidR="007300EB" w:rsidRPr="007300EB" w:rsidRDefault="007300EB" w:rsidP="007300EB">
            <w:pPr>
              <w:pBdr>
                <w:bottom w:val="dotted" w:sz="6" w:space="1" w:color="4F81BD" w:themeColor="accent1"/>
              </w:pBdr>
              <w:spacing w:before="0" w:after="0" w:line="240" w:lineRule="auto"/>
              <w:ind w:right="-108"/>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Итого расходов</w:t>
            </w:r>
          </w:p>
        </w:tc>
        <w:tc>
          <w:tcPr>
            <w:tcW w:w="1417" w:type="dxa"/>
            <w:shd w:val="clear" w:color="auto" w:fill="CCCCCC"/>
            <w:vAlign w:val="bottom"/>
          </w:tcPr>
          <w:p w14:paraId="51F44EE0"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49 280</w:t>
            </w:r>
          </w:p>
        </w:tc>
        <w:tc>
          <w:tcPr>
            <w:tcW w:w="1417" w:type="dxa"/>
            <w:shd w:val="clear" w:color="auto" w:fill="CCCCCC"/>
            <w:vAlign w:val="bottom"/>
          </w:tcPr>
          <w:p w14:paraId="2482DAEB"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44 043</w:t>
            </w:r>
          </w:p>
        </w:tc>
        <w:tc>
          <w:tcPr>
            <w:tcW w:w="1417" w:type="dxa"/>
            <w:shd w:val="clear" w:color="auto" w:fill="CCCCCC"/>
            <w:vAlign w:val="bottom"/>
          </w:tcPr>
          <w:p w14:paraId="4B15204B"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89,4</w:t>
            </w:r>
          </w:p>
        </w:tc>
      </w:tr>
      <w:tr w:rsidR="007300EB" w:rsidRPr="007300EB" w14:paraId="3781F4D1" w14:textId="77777777" w:rsidTr="00D833C2">
        <w:trPr>
          <w:trHeight w:val="70"/>
        </w:trPr>
        <w:tc>
          <w:tcPr>
            <w:tcW w:w="640" w:type="dxa"/>
            <w:shd w:val="clear" w:color="auto" w:fill="CCCCCC"/>
            <w:vAlign w:val="bottom"/>
          </w:tcPr>
          <w:p w14:paraId="73426F38" w14:textId="77777777" w:rsidR="007300EB" w:rsidRPr="007300EB" w:rsidRDefault="007300EB" w:rsidP="007300EB">
            <w:pPr>
              <w:pBdr>
                <w:bottom w:val="dotted" w:sz="6" w:space="1" w:color="4F81BD" w:themeColor="accent1"/>
              </w:pBdr>
              <w:spacing w:before="0" w:after="0" w:line="240" w:lineRule="auto"/>
              <w:ind w:right="-108"/>
              <w:jc w:val="center"/>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III</w:t>
            </w:r>
          </w:p>
        </w:tc>
        <w:tc>
          <w:tcPr>
            <w:tcW w:w="4848" w:type="dxa"/>
            <w:shd w:val="clear" w:color="auto" w:fill="CCCCCC"/>
            <w:vAlign w:val="bottom"/>
          </w:tcPr>
          <w:p w14:paraId="56B1BD2A" w14:textId="77777777" w:rsidR="007300EB" w:rsidRPr="007300EB" w:rsidRDefault="007300EB" w:rsidP="007300EB">
            <w:pPr>
              <w:pBdr>
                <w:bottom w:val="dotted" w:sz="6" w:space="1" w:color="4F81BD" w:themeColor="accent1"/>
              </w:pBdr>
              <w:spacing w:before="0" w:after="0" w:line="240" w:lineRule="auto"/>
              <w:ind w:right="-108"/>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БАЛАНСОВАЯ ПРИБЫЛЬ (УБЫТОК)</w:t>
            </w:r>
          </w:p>
        </w:tc>
        <w:tc>
          <w:tcPr>
            <w:tcW w:w="1417" w:type="dxa"/>
            <w:shd w:val="clear" w:color="auto" w:fill="CCCCCC"/>
            <w:vAlign w:val="bottom"/>
          </w:tcPr>
          <w:p w14:paraId="7BB2DDFA"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22 590</w:t>
            </w:r>
          </w:p>
        </w:tc>
        <w:tc>
          <w:tcPr>
            <w:tcW w:w="1417" w:type="dxa"/>
            <w:shd w:val="clear" w:color="auto" w:fill="CCCCCC"/>
            <w:vAlign w:val="bottom"/>
          </w:tcPr>
          <w:p w14:paraId="17FACB57"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27 916</w:t>
            </w:r>
          </w:p>
        </w:tc>
        <w:tc>
          <w:tcPr>
            <w:tcW w:w="1417" w:type="dxa"/>
            <w:shd w:val="clear" w:color="auto" w:fill="CCCCCC"/>
            <w:vAlign w:val="bottom"/>
          </w:tcPr>
          <w:p w14:paraId="0B57847A" w14:textId="77777777" w:rsidR="007300EB" w:rsidRPr="007300EB" w:rsidRDefault="007300EB" w:rsidP="007300EB">
            <w:pPr>
              <w:pBdr>
                <w:bottom w:val="dotted" w:sz="6" w:space="1" w:color="4F81BD" w:themeColor="accent1"/>
              </w:pBdr>
              <w:spacing w:before="0" w:after="0" w:line="240" w:lineRule="auto"/>
              <w:ind w:right="237"/>
              <w:jc w:val="right"/>
              <w:rPr>
                <w:rFonts w:ascii="Times New Roman" w:eastAsia="Times New Roman" w:hAnsi="Times New Roman" w:cs="Times New Roman"/>
                <w:b/>
                <w:sz w:val="22"/>
                <w:szCs w:val="22"/>
              </w:rPr>
            </w:pPr>
            <w:r w:rsidRPr="007300EB">
              <w:rPr>
                <w:rFonts w:ascii="Times New Roman" w:eastAsia="Times New Roman" w:hAnsi="Times New Roman" w:cs="Times New Roman"/>
                <w:b/>
                <w:sz w:val="22"/>
                <w:szCs w:val="22"/>
              </w:rPr>
              <w:t>123,6</w:t>
            </w:r>
          </w:p>
        </w:tc>
      </w:tr>
    </w:tbl>
    <w:p w14:paraId="0F99CE1F"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jc w:val="center"/>
        <w:rPr>
          <w:rFonts w:ascii="Times New Roman" w:eastAsia="Times New Roman" w:hAnsi="Times New Roman" w:cs="Times New Roman"/>
          <w:b/>
          <w:bCs/>
          <w:i/>
          <w:iCs/>
          <w:caps w:val="0"/>
          <w:spacing w:val="0"/>
          <w:sz w:val="24"/>
          <w:szCs w:val="24"/>
        </w:rPr>
      </w:pPr>
    </w:p>
    <w:p w14:paraId="1A8526B9"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jc w:val="center"/>
        <w:rPr>
          <w:rFonts w:ascii="Times New Roman" w:eastAsia="Times New Roman" w:hAnsi="Times New Roman" w:cs="Times New Roman"/>
          <w:b/>
          <w:bCs/>
          <w:i/>
          <w:iCs/>
          <w:caps w:val="0"/>
          <w:spacing w:val="0"/>
          <w:sz w:val="24"/>
          <w:szCs w:val="24"/>
        </w:rPr>
      </w:pPr>
    </w:p>
    <w:p w14:paraId="012B482D"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jc w:val="center"/>
        <w:rPr>
          <w:rFonts w:ascii="Times New Roman" w:eastAsia="Times New Roman" w:hAnsi="Times New Roman" w:cs="Times New Roman"/>
          <w:bCs/>
          <w:iCs/>
          <w:caps w:val="0"/>
          <w:spacing w:val="0"/>
          <w:sz w:val="24"/>
          <w:szCs w:val="24"/>
        </w:rPr>
      </w:pPr>
    </w:p>
    <w:p w14:paraId="747C85F7"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rPr>
          <w:rFonts w:ascii="Times New Roman" w:eastAsia="Times New Roman" w:hAnsi="Times New Roman" w:cs="Times New Roman"/>
          <w:bCs/>
          <w:iCs/>
          <w:caps w:val="0"/>
          <w:spacing w:val="0"/>
          <w:sz w:val="24"/>
          <w:szCs w:val="24"/>
        </w:rPr>
      </w:pPr>
      <w:r w:rsidRPr="007300EB">
        <w:rPr>
          <w:rFonts w:ascii="Times New Roman" w:eastAsia="Times New Roman" w:hAnsi="Times New Roman" w:cs="Times New Roman"/>
          <w:bCs/>
          <w:iCs/>
          <w:caps w:val="0"/>
          <w:spacing w:val="0"/>
          <w:sz w:val="24"/>
          <w:szCs w:val="24"/>
        </w:rPr>
        <w:t>Председатель                                                                                                              В.С. Тидва</w:t>
      </w:r>
    </w:p>
    <w:p w14:paraId="682C4798"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jc w:val="center"/>
        <w:rPr>
          <w:rFonts w:ascii="Times New Roman" w:eastAsia="Times New Roman" w:hAnsi="Times New Roman" w:cs="Times New Roman"/>
          <w:bCs/>
          <w:iCs/>
          <w:caps w:val="0"/>
          <w:spacing w:val="0"/>
          <w:sz w:val="24"/>
          <w:szCs w:val="24"/>
        </w:rPr>
      </w:pPr>
    </w:p>
    <w:p w14:paraId="05C38922"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jc w:val="center"/>
        <w:rPr>
          <w:rFonts w:ascii="Times New Roman" w:eastAsia="Times New Roman" w:hAnsi="Times New Roman" w:cs="Times New Roman"/>
          <w:bCs/>
          <w:iCs/>
          <w:caps w:val="0"/>
          <w:spacing w:val="0"/>
          <w:sz w:val="24"/>
          <w:szCs w:val="24"/>
        </w:rPr>
      </w:pPr>
    </w:p>
    <w:p w14:paraId="39709AF1" w14:textId="77777777" w:rsidR="007300EB" w:rsidRPr="007300EB" w:rsidRDefault="007300EB" w:rsidP="007300EB">
      <w:pPr>
        <w:pStyle w:val="2"/>
        <w:keepNext/>
        <w:pBdr>
          <w:top w:val="none" w:sz="0" w:space="0" w:color="auto"/>
          <w:left w:val="none" w:sz="0" w:space="0" w:color="auto"/>
          <w:bottom w:val="none" w:sz="0" w:space="0" w:color="auto"/>
          <w:right w:val="none" w:sz="0" w:space="0" w:color="auto"/>
        </w:pBdr>
        <w:shd w:val="clear" w:color="auto" w:fill="auto"/>
        <w:spacing w:before="0" w:line="240" w:lineRule="auto"/>
        <w:rPr>
          <w:rFonts w:ascii="Times New Roman" w:eastAsia="Times New Roman" w:hAnsi="Times New Roman" w:cs="Times New Roman"/>
          <w:bCs/>
          <w:iCs/>
          <w:caps w:val="0"/>
          <w:spacing w:val="0"/>
          <w:sz w:val="24"/>
          <w:szCs w:val="24"/>
        </w:rPr>
      </w:pPr>
      <w:r w:rsidRPr="007300EB">
        <w:rPr>
          <w:rFonts w:ascii="Times New Roman" w:eastAsia="Times New Roman" w:hAnsi="Times New Roman" w:cs="Times New Roman"/>
          <w:bCs/>
          <w:iCs/>
          <w:caps w:val="0"/>
          <w:spacing w:val="0"/>
          <w:sz w:val="24"/>
          <w:szCs w:val="24"/>
        </w:rPr>
        <w:t>Главный бухгалтер                                                                                                     О.И. Плешко</w:t>
      </w:r>
    </w:p>
    <w:p w14:paraId="2FF4F53B" w14:textId="77777777" w:rsidR="007300EB" w:rsidRPr="007206E3" w:rsidRDefault="007300EB" w:rsidP="007300EB">
      <w:pPr>
        <w:jc w:val="center"/>
        <w:rPr>
          <w:sz w:val="24"/>
          <w:szCs w:val="24"/>
        </w:rPr>
      </w:pPr>
    </w:p>
    <w:sectPr w:rsidR="007300EB" w:rsidRPr="007206E3" w:rsidSect="005416B5">
      <w:headerReference w:type="default" r:id="rId11"/>
      <w:footerReference w:type="default" r:id="rId12"/>
      <w:footnotePr>
        <w:numRestart w:val="eachSect"/>
      </w:footnotePr>
      <w:pgSz w:w="11906" w:h="16838" w:code="9"/>
      <w:pgMar w:top="1392" w:right="851" w:bottom="993" w:left="1418" w:header="992" w:footer="6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CA14" w14:textId="77777777" w:rsidR="0007539D" w:rsidRDefault="0007539D">
      <w:r>
        <w:separator/>
      </w:r>
    </w:p>
  </w:endnote>
  <w:endnote w:type="continuationSeparator" w:id="0">
    <w:p w14:paraId="0C9CB841" w14:textId="77777777" w:rsidR="0007539D" w:rsidRDefault="0007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FreeSetC">
    <w:altName w:val="FreeSetC"/>
    <w:panose1 w:val="00000000000000000000"/>
    <w:charset w:val="CC"/>
    <w:family w:val="auto"/>
    <w:notTrueType/>
    <w:pitch w:val="default"/>
    <w:sig w:usb0="00000201" w:usb1="00000000" w:usb2="00000000" w:usb3="00000000" w:csb0="00000004"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ira Sans">
    <w:altName w:val="Corbel"/>
    <w:panose1 w:val="00000000000000000000"/>
    <w:charset w:val="00"/>
    <w:family w:val="swiss"/>
    <w:notTrueType/>
    <w:pitch w:val="variable"/>
    <w:sig w:usb0="00000001" w:usb1="00000001" w:usb2="0000000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16CA" w14:textId="79CD7957" w:rsidR="00FD1356" w:rsidRPr="008E7F6E" w:rsidRDefault="00FD1356" w:rsidP="00BF235E">
    <w:pPr>
      <w:pStyle w:val="a7"/>
      <w:framePr w:w="374" w:wrap="auto" w:vAnchor="text" w:hAnchor="page" w:x="5974" w:y="15"/>
      <w:jc w:val="center"/>
      <w:rPr>
        <w:rStyle w:val="a9"/>
        <w:sz w:val="22"/>
        <w:szCs w:val="22"/>
      </w:rPr>
    </w:pPr>
    <w:r w:rsidRPr="008E7F6E">
      <w:rPr>
        <w:rStyle w:val="a9"/>
        <w:sz w:val="22"/>
        <w:szCs w:val="22"/>
      </w:rPr>
      <w:fldChar w:fldCharType="begin"/>
    </w:r>
    <w:r w:rsidRPr="008E7F6E">
      <w:rPr>
        <w:rStyle w:val="a9"/>
        <w:sz w:val="22"/>
        <w:szCs w:val="22"/>
      </w:rPr>
      <w:instrText xml:space="preserve">PAGE  </w:instrText>
    </w:r>
    <w:r w:rsidRPr="008E7F6E">
      <w:rPr>
        <w:rStyle w:val="a9"/>
        <w:sz w:val="22"/>
        <w:szCs w:val="22"/>
      </w:rPr>
      <w:fldChar w:fldCharType="separate"/>
    </w:r>
    <w:r w:rsidR="00A75EA0">
      <w:rPr>
        <w:rStyle w:val="a9"/>
        <w:noProof/>
        <w:sz w:val="22"/>
        <w:szCs w:val="22"/>
      </w:rPr>
      <w:t>3</w:t>
    </w:r>
    <w:r w:rsidRPr="008E7F6E">
      <w:rPr>
        <w:rStyle w:val="a9"/>
        <w:sz w:val="22"/>
        <w:szCs w:val="22"/>
      </w:rPr>
      <w:fldChar w:fldCharType="end"/>
    </w:r>
  </w:p>
  <w:p w14:paraId="030A095F" w14:textId="77777777" w:rsidR="00FD1356" w:rsidRPr="003326A1" w:rsidRDefault="00FD1356" w:rsidP="003326A1">
    <w:pPr>
      <w:pStyle w:val="a7"/>
      <w:ind w:left="-142"/>
      <w:jc w:val="center"/>
    </w:pPr>
    <w: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4561" w:type="pct"/>
      <w:tblLayout w:type="fixed"/>
      <w:tblLook w:val="04A0" w:firstRow="1" w:lastRow="0" w:firstColumn="1" w:lastColumn="0" w:noHBand="0" w:noVBand="1"/>
    </w:tblPr>
    <w:tblGrid>
      <w:gridCol w:w="8366"/>
      <w:gridCol w:w="425"/>
    </w:tblGrid>
    <w:sdt>
      <w:sdtPr>
        <w:rPr>
          <w:rFonts w:asciiTheme="majorHAnsi" w:eastAsiaTheme="majorEastAsia" w:hAnsiTheme="majorHAnsi" w:cstheme="majorBidi"/>
        </w:rPr>
        <w:id w:val="-577525297"/>
        <w:docPartObj>
          <w:docPartGallery w:val="Page Numbers (Bottom of Page)"/>
          <w:docPartUnique/>
        </w:docPartObj>
      </w:sdtPr>
      <w:sdtEndPr>
        <w:rPr>
          <w:rFonts w:asciiTheme="minorHAnsi" w:eastAsiaTheme="minorEastAsia" w:hAnsiTheme="minorHAnsi" w:cstheme="minorBidi"/>
        </w:rPr>
      </w:sdtEndPr>
      <w:sdtContent>
        <w:tr w:rsidR="00FD1356" w14:paraId="32C14C10" w14:textId="77777777" w:rsidTr="0081436F">
          <w:trPr>
            <w:trHeight w:val="727"/>
          </w:trPr>
          <w:tc>
            <w:tcPr>
              <w:tcW w:w="4758" w:type="pct"/>
              <w:tcBorders>
                <w:right w:val="triple" w:sz="4" w:space="0" w:color="4F81BD" w:themeColor="accent1"/>
              </w:tcBorders>
            </w:tcPr>
            <w:p w14:paraId="6FEBA0E5" w14:textId="77777777" w:rsidR="00FD1356" w:rsidRDefault="00FD1356">
              <w:pPr>
                <w:tabs>
                  <w:tab w:val="left" w:pos="620"/>
                  <w:tab w:val="center" w:pos="4320"/>
                </w:tabs>
                <w:jc w:val="right"/>
                <w:rPr>
                  <w:rFonts w:asciiTheme="majorHAnsi" w:eastAsiaTheme="majorEastAsia" w:hAnsiTheme="majorHAnsi" w:cstheme="majorBidi"/>
                </w:rPr>
              </w:pPr>
            </w:p>
          </w:tc>
          <w:tc>
            <w:tcPr>
              <w:tcW w:w="242" w:type="pct"/>
              <w:tcBorders>
                <w:left w:val="triple" w:sz="4" w:space="0" w:color="4F81BD" w:themeColor="accent1"/>
              </w:tcBorders>
            </w:tcPr>
            <w:p w14:paraId="3D8858BE" w14:textId="4ADE6F6A" w:rsidR="00FD1356" w:rsidRDefault="00FD1356">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E15044">
                <w:rPr>
                  <w:noProof/>
                </w:rPr>
                <w:t>2</w:t>
              </w:r>
              <w:r>
                <w:fldChar w:fldCharType="end"/>
              </w:r>
            </w:p>
          </w:tc>
        </w:tr>
      </w:sdtContent>
    </w:sdt>
  </w:tbl>
  <w:p w14:paraId="3C8FCFE3" w14:textId="77777777" w:rsidR="00FD1356" w:rsidRPr="00BD340B" w:rsidRDefault="00FD1356" w:rsidP="009F21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0EA78" w14:textId="77777777" w:rsidR="0007539D" w:rsidRDefault="0007539D">
      <w:r>
        <w:separator/>
      </w:r>
    </w:p>
  </w:footnote>
  <w:footnote w:type="continuationSeparator" w:id="0">
    <w:p w14:paraId="0D093B24" w14:textId="77777777" w:rsidR="0007539D" w:rsidRDefault="0007539D">
      <w:r>
        <w:continuationSeparator/>
      </w:r>
    </w:p>
  </w:footnote>
  <w:footnote w:id="1">
    <w:p w14:paraId="0F61A8F8" w14:textId="77777777" w:rsidR="00FD1356" w:rsidRPr="000C007E" w:rsidRDefault="00FD1356" w:rsidP="001A30F0">
      <w:pPr>
        <w:pStyle w:val="ac"/>
        <w:spacing w:before="0" w:after="0" w:line="240" w:lineRule="auto"/>
        <w:rPr>
          <w:rFonts w:ascii="Times New Roman" w:hAnsi="Times New Roman" w:cs="Times New Roman"/>
          <w:sz w:val="22"/>
          <w:szCs w:val="22"/>
        </w:rPr>
      </w:pPr>
      <w:r w:rsidRPr="000C007E">
        <w:rPr>
          <w:rStyle w:val="ae"/>
          <w:rFonts w:ascii="Times New Roman" w:hAnsi="Times New Roman"/>
          <w:sz w:val="22"/>
          <w:szCs w:val="22"/>
        </w:rPr>
        <w:footnoteRef/>
      </w:r>
      <w:r w:rsidRPr="000C007E">
        <w:rPr>
          <w:rFonts w:ascii="Times New Roman" w:hAnsi="Times New Roman" w:cs="Times New Roman"/>
          <w:sz w:val="22"/>
          <w:szCs w:val="22"/>
        </w:rPr>
        <w:t xml:space="preserve"> https://www.markiteconomics.com</w:t>
      </w:r>
    </w:p>
  </w:footnote>
  <w:footnote w:id="2">
    <w:p w14:paraId="6AAC8EDE" w14:textId="77777777" w:rsidR="00FD1356" w:rsidRDefault="00FD1356" w:rsidP="000229BE">
      <w:pPr>
        <w:pStyle w:val="ac"/>
        <w:spacing w:before="0" w:after="0" w:line="240" w:lineRule="auto"/>
        <w:jc w:val="both"/>
      </w:pPr>
      <w:r>
        <w:rPr>
          <w:rStyle w:val="ae"/>
        </w:rPr>
        <w:footnoteRef/>
      </w:r>
      <w:r>
        <w:t xml:space="preserve"> </w:t>
      </w:r>
      <w:r w:rsidRPr="00E078CE">
        <w:rPr>
          <w:rFonts w:ascii="Times New Roman" w:hAnsi="Times New Roman" w:cs="Times New Roman"/>
          <w:sz w:val="22"/>
          <w:szCs w:val="22"/>
        </w:rPr>
        <w:t>показатель изменения международных цен на корзину продовольственных сырьевых товаров, рассчитываемый Продовольственной и сельскохозяйственной организацией (ФАО) ООН</w:t>
      </w:r>
    </w:p>
  </w:footnote>
  <w:footnote w:id="3">
    <w:p w14:paraId="06F13751" w14:textId="135D2989" w:rsidR="00FD1356" w:rsidRPr="002D537B" w:rsidRDefault="00FD1356" w:rsidP="00A709DE">
      <w:pPr>
        <w:pStyle w:val="ac"/>
        <w:spacing w:before="0" w:after="0" w:line="240" w:lineRule="auto"/>
        <w:jc w:val="both"/>
        <w:rPr>
          <w:rFonts w:ascii="Times New Roman" w:hAnsi="Times New Roman" w:cs="Times New Roman"/>
          <w:sz w:val="22"/>
          <w:szCs w:val="22"/>
        </w:rPr>
      </w:pPr>
      <w:r w:rsidRPr="002D537B">
        <w:rPr>
          <w:rStyle w:val="ae"/>
          <w:rFonts w:ascii="Times New Roman" w:hAnsi="Times New Roman"/>
          <w:sz w:val="22"/>
          <w:szCs w:val="22"/>
        </w:rPr>
        <w:footnoteRef/>
      </w:r>
      <w:r w:rsidRPr="002D537B">
        <w:rPr>
          <w:rFonts w:ascii="Times New Roman" w:hAnsi="Times New Roman" w:cs="Times New Roman"/>
          <w:sz w:val="22"/>
          <w:szCs w:val="22"/>
        </w:rPr>
        <w:t xml:space="preserve"> в сопоставимых ценах </w:t>
      </w:r>
      <w:r w:rsidRPr="002D537B">
        <w:rPr>
          <w:rFonts w:ascii="Times New Roman" w:hAnsi="Times New Roman" w:cs="Times New Roman"/>
          <w:color w:val="000000"/>
          <w:sz w:val="22"/>
          <w:szCs w:val="22"/>
        </w:rPr>
        <w:t>к базисному периоду</w:t>
      </w:r>
      <w:r w:rsidRPr="002D537B">
        <w:rPr>
          <w:rFonts w:ascii="Times New Roman" w:hAnsi="Times New Roman" w:cs="Times New Roman"/>
          <w:sz w:val="22"/>
          <w:szCs w:val="22"/>
        </w:rPr>
        <w:t xml:space="preserve"> – далее </w:t>
      </w:r>
      <w:r w:rsidRPr="001F43D7">
        <w:rPr>
          <w:rFonts w:ascii="Times New Roman" w:hAnsi="Times New Roman" w:cs="Times New Roman"/>
          <w:sz w:val="22"/>
          <w:szCs w:val="22"/>
        </w:rPr>
        <w:t>по тексту в подразделе «Экономическая активность»</w:t>
      </w:r>
    </w:p>
  </w:footnote>
  <w:footnote w:id="4">
    <w:p w14:paraId="649CCFAE" w14:textId="5BFC9F48" w:rsidR="00FD1356" w:rsidRPr="00A61FE6" w:rsidRDefault="00FD1356" w:rsidP="00531CD0">
      <w:pPr>
        <w:pStyle w:val="ac"/>
        <w:spacing w:before="0" w:after="0" w:line="240" w:lineRule="auto"/>
        <w:jc w:val="both"/>
        <w:rPr>
          <w:rFonts w:ascii="Times New Roman" w:hAnsi="Times New Roman" w:cs="Times New Roman"/>
          <w:sz w:val="22"/>
          <w:szCs w:val="22"/>
        </w:rPr>
      </w:pPr>
      <w:r w:rsidRPr="00A61FE6">
        <w:rPr>
          <w:rStyle w:val="ae"/>
          <w:rFonts w:ascii="Times New Roman" w:hAnsi="Times New Roman"/>
          <w:sz w:val="22"/>
          <w:szCs w:val="22"/>
        </w:rPr>
        <w:footnoteRef/>
      </w:r>
      <w:r w:rsidRPr="00A61FE6">
        <w:rPr>
          <w:rFonts w:ascii="Times New Roman" w:hAnsi="Times New Roman" w:cs="Times New Roman"/>
          <w:sz w:val="22"/>
          <w:szCs w:val="22"/>
        </w:rPr>
        <w:t xml:space="preserve"> индекс представляет собой среднее арифметическое значение балансов (разностей) четырёх </w:t>
      </w:r>
      <w:r w:rsidRPr="008F3B0F">
        <w:rPr>
          <w:rFonts w:ascii="Times New Roman" w:hAnsi="Times New Roman" w:cs="Times New Roman"/>
          <w:sz w:val="22"/>
          <w:szCs w:val="22"/>
        </w:rPr>
        <w:t>показателей: фактическое изменение спроса, оценка достаточности спроса, оценка запасов готовой продукции и прогноз изменения выпуска. Регламент ПРБ от 30.06.2020 №108-Р «О порядке расчёта индексов экономической конъюнктуры»</w:t>
      </w:r>
    </w:p>
  </w:footnote>
  <w:footnote w:id="5">
    <w:p w14:paraId="31D0213B" w14:textId="64A36869" w:rsidR="00FD1356" w:rsidRPr="00B95552" w:rsidRDefault="00FD1356" w:rsidP="004079AC">
      <w:pPr>
        <w:pStyle w:val="ac"/>
        <w:spacing w:before="0" w:after="0" w:line="240" w:lineRule="auto"/>
        <w:jc w:val="both"/>
        <w:rPr>
          <w:rFonts w:ascii="Fira Sans" w:hAnsi="Fira Sans"/>
        </w:rPr>
      </w:pPr>
      <w:r w:rsidRPr="00A61FE6">
        <w:rPr>
          <w:rStyle w:val="ae"/>
          <w:rFonts w:ascii="Times New Roman" w:hAnsi="Times New Roman"/>
          <w:sz w:val="22"/>
          <w:szCs w:val="22"/>
        </w:rPr>
        <w:footnoteRef/>
      </w:r>
      <w:r w:rsidRPr="00A61FE6">
        <w:rPr>
          <w:rFonts w:ascii="Times New Roman" w:hAnsi="Times New Roman" w:cs="Times New Roman"/>
          <w:sz w:val="22"/>
          <w:szCs w:val="22"/>
        </w:rPr>
        <w:t xml:space="preserve"> индекс представляет собой средневзвешенное значение пяти </w:t>
      </w:r>
      <w:r>
        <w:rPr>
          <w:rFonts w:ascii="Times New Roman" w:hAnsi="Times New Roman" w:cs="Times New Roman"/>
          <w:sz w:val="22"/>
          <w:szCs w:val="22"/>
        </w:rPr>
        <w:t>под</w:t>
      </w:r>
      <w:r w:rsidRPr="00A61FE6">
        <w:rPr>
          <w:rFonts w:ascii="Times New Roman" w:hAnsi="Times New Roman" w:cs="Times New Roman"/>
          <w:sz w:val="22"/>
          <w:szCs w:val="22"/>
        </w:rPr>
        <w:t>индексов: количество новых заказов, объём выпуска, уровень занятости, сроки поставки сырья и материалов</w:t>
      </w:r>
      <w:r>
        <w:rPr>
          <w:rFonts w:ascii="Times New Roman" w:hAnsi="Times New Roman" w:cs="Times New Roman"/>
          <w:sz w:val="22"/>
          <w:szCs w:val="22"/>
        </w:rPr>
        <w:t>,</w:t>
      </w:r>
      <w:r w:rsidRPr="00A61FE6">
        <w:rPr>
          <w:rFonts w:ascii="Times New Roman" w:hAnsi="Times New Roman" w:cs="Times New Roman"/>
          <w:sz w:val="22"/>
          <w:szCs w:val="22"/>
        </w:rPr>
        <w:t xml:space="preserve"> объём запасов сырья и материалов. Регламент ПРБ от 30.06.2020 №108-Р </w:t>
      </w:r>
    </w:p>
  </w:footnote>
  <w:footnote w:id="6">
    <w:p w14:paraId="4AFE6C92" w14:textId="4E686F19" w:rsidR="00FD1356" w:rsidRDefault="00FD1356" w:rsidP="008F3B0F">
      <w:pPr>
        <w:pStyle w:val="ac"/>
        <w:spacing w:before="0" w:after="0" w:line="240" w:lineRule="auto"/>
        <w:jc w:val="both"/>
      </w:pPr>
      <w:r w:rsidRPr="00D82385">
        <w:rPr>
          <w:rStyle w:val="ae"/>
          <w:rFonts w:ascii="Times New Roman" w:hAnsi="Times New Roman"/>
          <w:sz w:val="22"/>
          <w:szCs w:val="22"/>
        </w:rPr>
        <w:footnoteRef/>
      </w:r>
      <w:r w:rsidRPr="00D82385">
        <w:rPr>
          <w:rStyle w:val="ae"/>
          <w:rFonts w:ascii="Times New Roman" w:hAnsi="Times New Roman"/>
          <w:sz w:val="22"/>
          <w:szCs w:val="22"/>
        </w:rPr>
        <w:t xml:space="preserve"> </w:t>
      </w:r>
      <w:r w:rsidRPr="00D82385">
        <w:rPr>
          <w:rFonts w:ascii="Times New Roman" w:hAnsi="Times New Roman" w:cs="Times New Roman"/>
          <w:sz w:val="22"/>
          <w:szCs w:val="22"/>
        </w:rPr>
        <w:t xml:space="preserve">согласно уточнённым данным, размещённым на официальном сайте Государственной службы статистики </w:t>
      </w:r>
      <w:r w:rsidRPr="00AD7716">
        <w:rPr>
          <w:rFonts w:ascii="Times New Roman" w:hAnsi="Times New Roman" w:cs="Times New Roman"/>
          <w:sz w:val="22"/>
          <w:szCs w:val="22"/>
        </w:rPr>
        <w:t xml:space="preserve">Приднестровской Молдавской Республики </w:t>
      </w:r>
      <w:r w:rsidRPr="00D82385">
        <w:rPr>
          <w:rFonts w:ascii="Times New Roman" w:hAnsi="Times New Roman" w:cs="Times New Roman"/>
          <w:sz w:val="22"/>
          <w:szCs w:val="22"/>
        </w:rPr>
        <w:t>04.03.2021</w:t>
      </w:r>
    </w:p>
  </w:footnote>
  <w:footnote w:id="7">
    <w:p w14:paraId="4068AE2E" w14:textId="77777777" w:rsidR="00FD1356" w:rsidRPr="00683E52" w:rsidRDefault="00FD1356" w:rsidP="00FC4AA1">
      <w:pPr>
        <w:pStyle w:val="ac"/>
        <w:spacing w:before="0" w:after="0" w:line="240" w:lineRule="auto"/>
        <w:jc w:val="both"/>
        <w:rPr>
          <w:rFonts w:ascii="Times New Roman" w:hAnsi="Times New Roman" w:cs="Times New Roman"/>
          <w:sz w:val="22"/>
        </w:rPr>
      </w:pPr>
      <w:r w:rsidRPr="00683E52">
        <w:rPr>
          <w:rStyle w:val="ae"/>
          <w:rFonts w:ascii="Times New Roman" w:hAnsi="Times New Roman"/>
          <w:sz w:val="22"/>
        </w:rPr>
        <w:footnoteRef/>
      </w:r>
      <w:r w:rsidRPr="00683E52">
        <w:rPr>
          <w:rFonts w:ascii="Times New Roman" w:hAnsi="Times New Roman" w:cs="Times New Roman"/>
          <w:sz w:val="22"/>
        </w:rPr>
        <w:t xml:space="preserve"> базовый индекс потребительских цен (базовая инфляция) отражает долгосрочную динамику изменения цен, не подверженную влиянию факторов административного и сезонного характера</w:t>
      </w:r>
    </w:p>
  </w:footnote>
  <w:footnote w:id="8">
    <w:p w14:paraId="0AEEE232" w14:textId="77777777" w:rsidR="00FD1356" w:rsidRPr="00683E52" w:rsidRDefault="00FD1356" w:rsidP="005210BC">
      <w:pPr>
        <w:pStyle w:val="ac"/>
        <w:spacing w:before="0" w:after="0" w:line="240" w:lineRule="auto"/>
        <w:jc w:val="both"/>
        <w:rPr>
          <w:rFonts w:ascii="Times New Roman" w:hAnsi="Times New Roman" w:cs="Times New Roman"/>
          <w:sz w:val="22"/>
        </w:rPr>
      </w:pPr>
      <w:r w:rsidRPr="00683E52">
        <w:rPr>
          <w:rStyle w:val="ae"/>
          <w:rFonts w:ascii="Times New Roman" w:hAnsi="Times New Roman"/>
          <w:sz w:val="22"/>
        </w:rPr>
        <w:footnoteRef/>
      </w:r>
      <w:r w:rsidRPr="00683E52">
        <w:rPr>
          <w:rFonts w:ascii="Times New Roman" w:hAnsi="Times New Roman" w:cs="Times New Roman"/>
          <w:sz w:val="22"/>
        </w:rPr>
        <w:t xml:space="preserve"> небазовая инфляция рассчитывается по товарам и услугам, цены на которые формируются под влиянием административного регулирования и подвержены сезонным колебаниям</w:t>
      </w:r>
    </w:p>
  </w:footnote>
  <w:footnote w:id="9">
    <w:p w14:paraId="2AC24088" w14:textId="77777777" w:rsidR="00FD1356" w:rsidRPr="008F41E6" w:rsidRDefault="00FD1356" w:rsidP="000905A1">
      <w:pPr>
        <w:pStyle w:val="ac"/>
        <w:spacing w:before="0" w:after="0" w:line="240" w:lineRule="auto"/>
        <w:jc w:val="both"/>
        <w:rPr>
          <w:rFonts w:ascii="Times New Roman" w:hAnsi="Times New Roman" w:cs="Times New Roman"/>
          <w:sz w:val="22"/>
          <w:szCs w:val="22"/>
        </w:rPr>
      </w:pPr>
      <w:r w:rsidRPr="008F41E6">
        <w:rPr>
          <w:rStyle w:val="ae"/>
          <w:rFonts w:ascii="Times New Roman" w:hAnsi="Times New Roman"/>
          <w:sz w:val="22"/>
          <w:szCs w:val="22"/>
        </w:rPr>
        <w:footnoteRef/>
      </w:r>
      <w:r w:rsidRPr="008F41E6">
        <w:rPr>
          <w:rFonts w:ascii="Times New Roman" w:hAnsi="Times New Roman" w:cs="Times New Roman"/>
          <w:sz w:val="22"/>
          <w:szCs w:val="22"/>
        </w:rPr>
        <w:t xml:space="preserve"> без субъектов малого предпринимательства, некоммерческих организаций, силовых структур и таможенных органов</w:t>
      </w:r>
    </w:p>
  </w:footnote>
  <w:footnote w:id="10">
    <w:p w14:paraId="793275FF" w14:textId="77777777" w:rsidR="00FD1356" w:rsidRPr="008F41E6" w:rsidRDefault="00FD1356" w:rsidP="00C93D36">
      <w:pPr>
        <w:pStyle w:val="ac"/>
        <w:spacing w:before="0" w:after="0" w:line="240" w:lineRule="auto"/>
        <w:rPr>
          <w:rFonts w:ascii="Times New Roman" w:hAnsi="Times New Roman" w:cs="Times New Roman"/>
          <w:sz w:val="22"/>
          <w:szCs w:val="22"/>
        </w:rPr>
      </w:pPr>
      <w:r w:rsidRPr="008F41E6">
        <w:rPr>
          <w:rStyle w:val="ae"/>
          <w:rFonts w:ascii="Times New Roman" w:hAnsi="Times New Roman"/>
          <w:sz w:val="22"/>
          <w:szCs w:val="22"/>
        </w:rPr>
        <w:footnoteRef/>
      </w:r>
      <w:r w:rsidRPr="008F41E6">
        <w:rPr>
          <w:rFonts w:ascii="Times New Roman" w:hAnsi="Times New Roman" w:cs="Times New Roman"/>
          <w:sz w:val="22"/>
          <w:szCs w:val="22"/>
        </w:rPr>
        <w:t xml:space="preserve"> отношение количества людей, зарегистрированных на бирже труда, к числу вакансий</w:t>
      </w:r>
    </w:p>
  </w:footnote>
  <w:footnote w:id="11">
    <w:p w14:paraId="1FE5BA9D" w14:textId="3822A8B0" w:rsidR="00FD1356" w:rsidRPr="00C93D36" w:rsidRDefault="00FD1356" w:rsidP="00AD7716">
      <w:pPr>
        <w:pStyle w:val="ac"/>
        <w:spacing w:before="0" w:after="0" w:line="240" w:lineRule="auto"/>
        <w:jc w:val="both"/>
        <w:rPr>
          <w:rFonts w:ascii="Times New Roman" w:hAnsi="Times New Roman" w:cs="Times New Roman"/>
        </w:rPr>
      </w:pPr>
      <w:r w:rsidRPr="008F41E6">
        <w:rPr>
          <w:rStyle w:val="ae"/>
          <w:rFonts w:ascii="Times New Roman" w:hAnsi="Times New Roman"/>
          <w:sz w:val="22"/>
          <w:szCs w:val="22"/>
        </w:rPr>
        <w:footnoteRef/>
      </w:r>
      <w:r w:rsidRPr="008F41E6">
        <w:rPr>
          <w:rFonts w:ascii="Times New Roman" w:hAnsi="Times New Roman" w:cs="Times New Roman"/>
          <w:sz w:val="22"/>
          <w:szCs w:val="22"/>
        </w:rPr>
        <w:t xml:space="preserve"> согласно данным Единого государственного фонда социального страхования </w:t>
      </w:r>
      <w:r w:rsidRPr="00AD7716">
        <w:rPr>
          <w:rFonts w:ascii="Times New Roman" w:hAnsi="Times New Roman" w:cs="Times New Roman"/>
          <w:sz w:val="22"/>
          <w:szCs w:val="22"/>
        </w:rPr>
        <w:t>Приднестровской Молдавской Республики</w:t>
      </w:r>
    </w:p>
  </w:footnote>
  <w:footnote w:id="12">
    <w:p w14:paraId="40F23E3F" w14:textId="0D740A4C" w:rsidR="00FD1356" w:rsidRPr="00DF7D73" w:rsidRDefault="00FD1356" w:rsidP="00DF7D73">
      <w:pPr>
        <w:pStyle w:val="ac"/>
        <w:spacing w:before="0" w:after="0" w:line="240" w:lineRule="auto"/>
        <w:rPr>
          <w:rFonts w:ascii="Times New Roman" w:hAnsi="Times New Roman" w:cs="Times New Roman"/>
        </w:rPr>
      </w:pPr>
      <w:r w:rsidRPr="00DF7D73">
        <w:rPr>
          <w:rStyle w:val="ae"/>
          <w:rFonts w:ascii="Times New Roman" w:hAnsi="Times New Roman"/>
          <w:sz w:val="22"/>
          <w:szCs w:val="22"/>
        </w:rPr>
        <w:footnoteRef/>
      </w:r>
      <w:r>
        <w:rPr>
          <w:rFonts w:ascii="Times New Roman" w:hAnsi="Times New Roman" w:cs="Times New Roman"/>
          <w:sz w:val="22"/>
          <w:szCs w:val="22"/>
        </w:rPr>
        <w:t xml:space="preserve"> д</w:t>
      </w:r>
      <w:r w:rsidRPr="00DF7D73">
        <w:rPr>
          <w:rFonts w:ascii="Times New Roman" w:hAnsi="Times New Roman" w:cs="Times New Roman"/>
          <w:sz w:val="22"/>
          <w:szCs w:val="22"/>
        </w:rPr>
        <w:t xml:space="preserve">анные за </w:t>
      </w:r>
      <w:r w:rsidRPr="00B0620C">
        <w:rPr>
          <w:rFonts w:ascii="Times New Roman" w:hAnsi="Times New Roman" w:cs="Times New Roman"/>
          <w:sz w:val="22"/>
          <w:szCs w:val="22"/>
        </w:rPr>
        <w:t>2018 и 20</w:t>
      </w:r>
      <w:r>
        <w:rPr>
          <w:rFonts w:ascii="Times New Roman" w:hAnsi="Times New Roman" w:cs="Times New Roman"/>
          <w:sz w:val="22"/>
          <w:szCs w:val="22"/>
        </w:rPr>
        <w:t>19</w:t>
      </w:r>
      <w:r w:rsidRPr="00DF7D73">
        <w:rPr>
          <w:rFonts w:ascii="Times New Roman" w:hAnsi="Times New Roman" w:cs="Times New Roman"/>
          <w:sz w:val="22"/>
          <w:szCs w:val="22"/>
        </w:rPr>
        <w:t xml:space="preserve"> годы уточнены</w:t>
      </w:r>
    </w:p>
  </w:footnote>
  <w:footnote w:id="13">
    <w:p w14:paraId="128D46B3" w14:textId="2D55D2C5" w:rsidR="00FD1356" w:rsidRPr="0081080B" w:rsidRDefault="00FD1356" w:rsidP="00622FEE">
      <w:pPr>
        <w:pStyle w:val="ac"/>
        <w:tabs>
          <w:tab w:val="left" w:pos="284"/>
        </w:tabs>
        <w:rPr>
          <w:rFonts w:ascii="Sylfaen" w:hAnsi="Sylfaen"/>
          <w:sz w:val="22"/>
          <w:szCs w:val="22"/>
        </w:rPr>
      </w:pPr>
      <w:r w:rsidRPr="0081080B">
        <w:rPr>
          <w:rStyle w:val="ae"/>
          <w:rFonts w:ascii="Sylfaen" w:hAnsi="Sylfaen"/>
          <w:sz w:val="22"/>
          <w:szCs w:val="22"/>
        </w:rPr>
        <w:footnoteRef/>
      </w:r>
      <w:r w:rsidRPr="0081080B">
        <w:rPr>
          <w:rFonts w:ascii="Sylfaen" w:hAnsi="Sylfaen"/>
          <w:sz w:val="22"/>
          <w:szCs w:val="22"/>
        </w:rPr>
        <w:t xml:space="preserve"> </w:t>
      </w:r>
      <w:r w:rsidRPr="00622FEE">
        <w:rPr>
          <w:rFonts w:ascii="Times New Roman" w:hAnsi="Times New Roman" w:cs="Times New Roman"/>
          <w:sz w:val="22"/>
          <w:szCs w:val="22"/>
        </w:rPr>
        <w:t>без специальных бюджетных счетов и без гуманитарной помощи</w:t>
      </w:r>
    </w:p>
  </w:footnote>
  <w:footnote w:id="14">
    <w:p w14:paraId="3BF37561" w14:textId="32890234" w:rsidR="00FD1356" w:rsidRPr="00E07CE9" w:rsidRDefault="00FD1356" w:rsidP="008B0A05">
      <w:pPr>
        <w:pStyle w:val="ac"/>
        <w:spacing w:before="0" w:after="0" w:line="240" w:lineRule="auto"/>
        <w:jc w:val="both"/>
        <w:rPr>
          <w:rFonts w:ascii="Times New Roman" w:hAnsi="Times New Roman" w:cs="Times New Roman"/>
          <w:sz w:val="22"/>
          <w:szCs w:val="22"/>
        </w:rPr>
      </w:pPr>
      <w:r w:rsidRPr="00C11ACE">
        <w:rPr>
          <w:rStyle w:val="ae"/>
          <w:rFonts w:ascii="Times New Roman" w:hAnsi="Times New Roman"/>
          <w:sz w:val="22"/>
          <w:szCs w:val="22"/>
        </w:rPr>
        <w:footnoteRef/>
      </w:r>
      <w:r w:rsidRPr="00C11ACE">
        <w:rPr>
          <w:rFonts w:ascii="Times New Roman" w:hAnsi="Times New Roman" w:cs="Times New Roman"/>
          <w:sz w:val="22"/>
          <w:szCs w:val="22"/>
        </w:rPr>
        <w:t xml:space="preserve"> с 01.01.2020 средства в кассах кредитных организаций включают наличные денежные средства, находящиеся в пути между структурными подразд</w:t>
      </w:r>
      <w:r>
        <w:rPr>
          <w:rFonts w:ascii="Times New Roman" w:hAnsi="Times New Roman" w:cs="Times New Roman"/>
          <w:sz w:val="22"/>
          <w:szCs w:val="22"/>
        </w:rPr>
        <w:t>елениями кредитных организаций</w:t>
      </w:r>
    </w:p>
  </w:footnote>
  <w:footnote w:id="15">
    <w:p w14:paraId="209085E8" w14:textId="77777777" w:rsidR="00FD1356" w:rsidRPr="00CB7E72" w:rsidRDefault="00FD1356" w:rsidP="006C6CD1">
      <w:pPr>
        <w:pStyle w:val="ac"/>
        <w:spacing w:before="0" w:after="0" w:line="240" w:lineRule="auto"/>
        <w:jc w:val="both"/>
        <w:rPr>
          <w:rFonts w:ascii="Sylfaen" w:hAnsi="Sylfaen"/>
        </w:rPr>
      </w:pPr>
      <w:r w:rsidRPr="00CB7E72">
        <w:rPr>
          <w:rStyle w:val="ae"/>
          <w:rFonts w:ascii="Sylfaen" w:hAnsi="Sylfaen"/>
        </w:rPr>
        <w:footnoteRef/>
      </w:r>
      <w:r w:rsidRPr="00CB7E72">
        <w:rPr>
          <w:rFonts w:ascii="Sylfaen" w:hAnsi="Sylfaen"/>
        </w:rPr>
        <w:t xml:space="preserve"> </w:t>
      </w:r>
      <w:r w:rsidRPr="006C6CD1">
        <w:rPr>
          <w:rFonts w:ascii="Times New Roman" w:hAnsi="Times New Roman" w:cs="Times New Roman"/>
          <w:sz w:val="22"/>
        </w:rPr>
        <w:t>операции физических и юридических лиц (кроме кредитных организаций) по покупке и продаже безналичной иностранной валюты, включая обязательную продажу части валютной выручки в ПРБ, продажу валюты коммерческими банками за счёт валютных интервенций ПРБ</w:t>
      </w:r>
    </w:p>
  </w:footnote>
  <w:footnote w:id="16">
    <w:p w14:paraId="5B51EC26" w14:textId="77777777" w:rsidR="00FD1356" w:rsidRPr="00181472" w:rsidRDefault="00FD1356" w:rsidP="00181472">
      <w:pPr>
        <w:pStyle w:val="ac"/>
        <w:spacing w:before="0" w:after="0" w:line="240" w:lineRule="auto"/>
        <w:jc w:val="both"/>
        <w:rPr>
          <w:rFonts w:ascii="Times New Roman" w:hAnsi="Times New Roman" w:cs="Times New Roman"/>
          <w:sz w:val="22"/>
        </w:rPr>
      </w:pPr>
      <w:r w:rsidRPr="00181472">
        <w:rPr>
          <w:rStyle w:val="ae"/>
          <w:rFonts w:ascii="Times New Roman" w:hAnsi="Times New Roman"/>
          <w:sz w:val="22"/>
        </w:rPr>
        <w:footnoteRef/>
      </w:r>
      <w:r w:rsidRPr="00181472">
        <w:rPr>
          <w:rFonts w:ascii="Times New Roman" w:hAnsi="Times New Roman" w:cs="Times New Roman"/>
          <w:sz w:val="22"/>
        </w:rPr>
        <w:t xml:space="preserve"> разница между отношением процентных доходов к величине активов, приносящих доход, и отношением процентных расходов к обязательствам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ayout w:type="fixed"/>
      <w:tblLook w:val="0000" w:firstRow="0" w:lastRow="0" w:firstColumn="0" w:lastColumn="0" w:noHBand="0" w:noVBand="0"/>
    </w:tblPr>
    <w:tblGrid>
      <w:gridCol w:w="9639"/>
    </w:tblGrid>
    <w:tr w:rsidR="00FD1356" w14:paraId="7BCFE2F1" w14:textId="77777777">
      <w:tc>
        <w:tcPr>
          <w:tcW w:w="9639" w:type="dxa"/>
          <w:tcBorders>
            <w:bottom w:val="double" w:sz="6" w:space="0" w:color="auto"/>
          </w:tcBorders>
        </w:tcPr>
        <w:p w14:paraId="127A605F" w14:textId="7CE59B38" w:rsidR="00FD1356" w:rsidRDefault="00FD1356" w:rsidP="00826C7A">
          <w:pPr>
            <w:pStyle w:val="aa"/>
            <w:spacing w:after="0"/>
            <w:jc w:val="center"/>
            <w:rPr>
              <w:rFonts w:ascii="Verdana" w:hAnsi="Verdana" w:cs="Verdana"/>
              <w:b/>
              <w:bCs/>
              <w:i/>
              <w:iCs/>
              <w:color w:val="C0C0C0"/>
              <w:sz w:val="24"/>
              <w:szCs w:val="24"/>
            </w:rPr>
          </w:pPr>
          <w:r w:rsidRPr="00625D25">
            <w:rPr>
              <w:b/>
              <w:bCs/>
              <w:i/>
              <w:iCs/>
              <w:color w:val="A6A6A6"/>
              <w:sz w:val="22"/>
              <w:szCs w:val="22"/>
            </w:rPr>
            <w:t>ОТЧЁТ ЦЕНТРАЛЬНОГО БАНКА ПРИДНЕСТРОВСКОЙ МОЛДАВСКОЙ РЕСПУБЛИКИ ЗА 2020 ГОД</w:t>
          </w:r>
        </w:p>
      </w:tc>
    </w:tr>
  </w:tbl>
  <w:p w14:paraId="71422DDC" w14:textId="77777777" w:rsidR="00FD1356" w:rsidRPr="00AD4E1E" w:rsidRDefault="00FD1356">
    <w:pPr>
      <w:pStyle w:val="aa"/>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F69A" w14:textId="01E942A5" w:rsidR="00FD1356" w:rsidRPr="00826C7A" w:rsidRDefault="00FD1356" w:rsidP="00BD340B">
    <w:pPr>
      <w:pStyle w:val="aa"/>
      <w:pBdr>
        <w:bottom w:val="double" w:sz="4" w:space="1" w:color="auto"/>
      </w:pBdr>
      <w:jc w:val="center"/>
      <w:rPr>
        <w:color w:val="A6A6A6" w:themeColor="background1" w:themeShade="A6"/>
        <w:sz w:val="22"/>
        <w:szCs w:val="22"/>
      </w:rPr>
    </w:pPr>
    <w:r w:rsidRPr="00826C7A">
      <w:rPr>
        <w:b/>
        <w:bCs/>
        <w:i/>
        <w:iCs/>
        <w:color w:val="A6A6A6" w:themeColor="background1" w:themeShade="A6"/>
        <w:sz w:val="22"/>
        <w:szCs w:val="22"/>
      </w:rPr>
      <w:t>ОТЧЁТ ЦЕНТРАЛЬНОГО БАНКА ПРИДНЕСТРОВСКОЙ МОЛДАВСКОЙ РЕСПУБЛИКИ ЗА 2020 ГОД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D0"/>
    <w:multiLevelType w:val="hybridMultilevel"/>
    <w:tmpl w:val="735E7444"/>
    <w:lvl w:ilvl="0" w:tplc="0DE0D02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D0B076C"/>
    <w:multiLevelType w:val="hybridMultilevel"/>
    <w:tmpl w:val="50BA46C8"/>
    <w:lvl w:ilvl="0" w:tplc="DBC00B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E52066D"/>
    <w:multiLevelType w:val="hybridMultilevel"/>
    <w:tmpl w:val="69AA2662"/>
    <w:lvl w:ilvl="0" w:tplc="D780F05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114F32FF"/>
    <w:multiLevelType w:val="hybridMultilevel"/>
    <w:tmpl w:val="3ECEE1AE"/>
    <w:lvl w:ilvl="0" w:tplc="0419000F">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15:restartNumberingAfterBreak="0">
    <w:nsid w:val="11715BE6"/>
    <w:multiLevelType w:val="hybridMultilevel"/>
    <w:tmpl w:val="7E8C400C"/>
    <w:lvl w:ilvl="0" w:tplc="D5DA9AF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14BE0310"/>
    <w:multiLevelType w:val="hybridMultilevel"/>
    <w:tmpl w:val="60B200B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B45407"/>
    <w:multiLevelType w:val="hybridMultilevel"/>
    <w:tmpl w:val="FE88609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93F3C4B"/>
    <w:multiLevelType w:val="hybridMultilevel"/>
    <w:tmpl w:val="4C4A16E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392A8A"/>
    <w:multiLevelType w:val="hybridMultilevel"/>
    <w:tmpl w:val="301E638E"/>
    <w:lvl w:ilvl="0" w:tplc="D780F0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41161B3"/>
    <w:multiLevelType w:val="hybridMultilevel"/>
    <w:tmpl w:val="F9B2C2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3C5DE4"/>
    <w:multiLevelType w:val="hybridMultilevel"/>
    <w:tmpl w:val="61E4F114"/>
    <w:lvl w:ilvl="0" w:tplc="0DE0D02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5CD6FE9"/>
    <w:multiLevelType w:val="hybridMultilevel"/>
    <w:tmpl w:val="0F50E8E6"/>
    <w:lvl w:ilvl="0" w:tplc="D780F056">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2" w15:restartNumberingAfterBreak="0">
    <w:nsid w:val="2FA763E1"/>
    <w:multiLevelType w:val="hybridMultilevel"/>
    <w:tmpl w:val="D8D2723C"/>
    <w:lvl w:ilvl="0" w:tplc="0419000F">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39A35135"/>
    <w:multiLevelType w:val="hybridMultilevel"/>
    <w:tmpl w:val="61CEAA90"/>
    <w:lvl w:ilvl="0" w:tplc="3ADA40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A8A02DF"/>
    <w:multiLevelType w:val="multilevel"/>
    <w:tmpl w:val="1CE49E8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D006B12"/>
    <w:multiLevelType w:val="multilevel"/>
    <w:tmpl w:val="DFC63ACA"/>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36E2596"/>
    <w:multiLevelType w:val="hybridMultilevel"/>
    <w:tmpl w:val="5732B5B4"/>
    <w:lvl w:ilvl="0" w:tplc="0246800C">
      <w:start w:val="1"/>
      <w:numFmt w:val="bullet"/>
      <w:lvlText w:val=""/>
      <w:lvlJc w:val="left"/>
      <w:pPr>
        <w:ind w:left="1252" w:hanging="360"/>
      </w:pPr>
      <w:rPr>
        <w:rFonts w:ascii="Symbol" w:hAnsi="Symbol" w:hint="default"/>
      </w:rPr>
    </w:lvl>
    <w:lvl w:ilvl="1" w:tplc="04190003" w:tentative="1">
      <w:start w:val="1"/>
      <w:numFmt w:val="bullet"/>
      <w:lvlText w:val="o"/>
      <w:lvlJc w:val="left"/>
      <w:pPr>
        <w:ind w:left="1972" w:hanging="360"/>
      </w:pPr>
      <w:rPr>
        <w:rFonts w:ascii="Courier New" w:hAnsi="Courier New" w:cs="Courier New" w:hint="default"/>
      </w:rPr>
    </w:lvl>
    <w:lvl w:ilvl="2" w:tplc="04190005" w:tentative="1">
      <w:start w:val="1"/>
      <w:numFmt w:val="bullet"/>
      <w:lvlText w:val=""/>
      <w:lvlJc w:val="left"/>
      <w:pPr>
        <w:ind w:left="2692" w:hanging="360"/>
      </w:pPr>
      <w:rPr>
        <w:rFonts w:ascii="Wingdings" w:hAnsi="Wingdings" w:hint="default"/>
      </w:rPr>
    </w:lvl>
    <w:lvl w:ilvl="3" w:tplc="04190001" w:tentative="1">
      <w:start w:val="1"/>
      <w:numFmt w:val="bullet"/>
      <w:lvlText w:val=""/>
      <w:lvlJc w:val="left"/>
      <w:pPr>
        <w:ind w:left="3412" w:hanging="360"/>
      </w:pPr>
      <w:rPr>
        <w:rFonts w:ascii="Symbol" w:hAnsi="Symbol" w:hint="default"/>
      </w:rPr>
    </w:lvl>
    <w:lvl w:ilvl="4" w:tplc="04190003" w:tentative="1">
      <w:start w:val="1"/>
      <w:numFmt w:val="bullet"/>
      <w:lvlText w:val="o"/>
      <w:lvlJc w:val="left"/>
      <w:pPr>
        <w:ind w:left="4132" w:hanging="360"/>
      </w:pPr>
      <w:rPr>
        <w:rFonts w:ascii="Courier New" w:hAnsi="Courier New" w:cs="Courier New" w:hint="default"/>
      </w:rPr>
    </w:lvl>
    <w:lvl w:ilvl="5" w:tplc="04190005" w:tentative="1">
      <w:start w:val="1"/>
      <w:numFmt w:val="bullet"/>
      <w:lvlText w:val=""/>
      <w:lvlJc w:val="left"/>
      <w:pPr>
        <w:ind w:left="4852" w:hanging="360"/>
      </w:pPr>
      <w:rPr>
        <w:rFonts w:ascii="Wingdings" w:hAnsi="Wingdings" w:hint="default"/>
      </w:rPr>
    </w:lvl>
    <w:lvl w:ilvl="6" w:tplc="04190001" w:tentative="1">
      <w:start w:val="1"/>
      <w:numFmt w:val="bullet"/>
      <w:lvlText w:val=""/>
      <w:lvlJc w:val="left"/>
      <w:pPr>
        <w:ind w:left="5572" w:hanging="360"/>
      </w:pPr>
      <w:rPr>
        <w:rFonts w:ascii="Symbol" w:hAnsi="Symbol" w:hint="default"/>
      </w:rPr>
    </w:lvl>
    <w:lvl w:ilvl="7" w:tplc="04190003" w:tentative="1">
      <w:start w:val="1"/>
      <w:numFmt w:val="bullet"/>
      <w:lvlText w:val="o"/>
      <w:lvlJc w:val="left"/>
      <w:pPr>
        <w:ind w:left="6292" w:hanging="360"/>
      </w:pPr>
      <w:rPr>
        <w:rFonts w:ascii="Courier New" w:hAnsi="Courier New" w:cs="Courier New" w:hint="default"/>
      </w:rPr>
    </w:lvl>
    <w:lvl w:ilvl="8" w:tplc="04190005" w:tentative="1">
      <w:start w:val="1"/>
      <w:numFmt w:val="bullet"/>
      <w:lvlText w:val=""/>
      <w:lvlJc w:val="left"/>
      <w:pPr>
        <w:ind w:left="7012" w:hanging="360"/>
      </w:pPr>
      <w:rPr>
        <w:rFonts w:ascii="Wingdings" w:hAnsi="Wingdings" w:hint="default"/>
      </w:rPr>
    </w:lvl>
  </w:abstractNum>
  <w:abstractNum w:abstractNumId="17" w15:restartNumberingAfterBreak="0">
    <w:nsid w:val="4D9174BA"/>
    <w:multiLevelType w:val="hybridMultilevel"/>
    <w:tmpl w:val="CD4EC072"/>
    <w:lvl w:ilvl="0" w:tplc="D780F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CB3FA7"/>
    <w:multiLevelType w:val="multilevel"/>
    <w:tmpl w:val="298A1B4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ascii="Times New Roman" w:hAnsi="Times New Roman"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B3A017C"/>
    <w:multiLevelType w:val="hybridMultilevel"/>
    <w:tmpl w:val="A8FEBB3C"/>
    <w:lvl w:ilvl="0" w:tplc="FD3226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D013C5A"/>
    <w:multiLevelType w:val="hybridMultilevel"/>
    <w:tmpl w:val="379CD254"/>
    <w:lvl w:ilvl="0" w:tplc="0419000F">
      <w:start w:val="1"/>
      <w:numFmt w:val="decimal"/>
      <w:lvlText w:val="%1."/>
      <w:lvlJc w:val="left"/>
      <w:pPr>
        <w:ind w:left="105" w:firstLine="604"/>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5906F8"/>
    <w:multiLevelType w:val="hybridMultilevel"/>
    <w:tmpl w:val="000ABDFC"/>
    <w:lvl w:ilvl="0" w:tplc="0419000F">
      <w:start w:val="1"/>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2" w15:restartNumberingAfterBreak="0">
    <w:nsid w:val="6E7725C9"/>
    <w:multiLevelType w:val="hybridMultilevel"/>
    <w:tmpl w:val="F9B2C2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A2C39BF"/>
    <w:multiLevelType w:val="hybridMultilevel"/>
    <w:tmpl w:val="4E0A42C2"/>
    <w:lvl w:ilvl="0" w:tplc="0419000F">
      <w:start w:val="1"/>
      <w:numFmt w:val="decimal"/>
      <w:lvlText w:val="%1."/>
      <w:lvlJc w:val="left"/>
      <w:pPr>
        <w:tabs>
          <w:tab w:val="num" w:pos="785"/>
        </w:tabs>
        <w:ind w:left="785" w:hanging="360"/>
      </w:pPr>
      <w:rPr>
        <w:rFonts w:hint="default"/>
      </w:rPr>
    </w:lvl>
    <w:lvl w:ilvl="1" w:tplc="04190019">
      <w:start w:val="1"/>
      <w:numFmt w:val="lowerLetter"/>
      <w:lvlText w:val="%2."/>
      <w:lvlJc w:val="left"/>
      <w:pPr>
        <w:tabs>
          <w:tab w:val="num" w:pos="1505"/>
        </w:tabs>
        <w:ind w:left="1505" w:hanging="360"/>
      </w:pPr>
      <w:rPr>
        <w:rFonts w:cs="Times New Roman"/>
      </w:rPr>
    </w:lvl>
    <w:lvl w:ilvl="2" w:tplc="0419001B">
      <w:start w:val="1"/>
      <w:numFmt w:val="lowerRoman"/>
      <w:lvlText w:val="%3."/>
      <w:lvlJc w:val="right"/>
      <w:pPr>
        <w:tabs>
          <w:tab w:val="num" w:pos="2225"/>
        </w:tabs>
        <w:ind w:left="2225" w:hanging="180"/>
      </w:pPr>
      <w:rPr>
        <w:rFonts w:cs="Times New Roman"/>
      </w:rPr>
    </w:lvl>
    <w:lvl w:ilvl="3" w:tplc="0419000F">
      <w:start w:val="1"/>
      <w:numFmt w:val="decimal"/>
      <w:lvlText w:val="%4."/>
      <w:lvlJc w:val="left"/>
      <w:pPr>
        <w:tabs>
          <w:tab w:val="num" w:pos="2945"/>
        </w:tabs>
        <w:ind w:left="2945" w:hanging="360"/>
      </w:pPr>
      <w:rPr>
        <w:rFonts w:cs="Times New Roman"/>
      </w:rPr>
    </w:lvl>
    <w:lvl w:ilvl="4" w:tplc="04190019">
      <w:start w:val="1"/>
      <w:numFmt w:val="lowerLetter"/>
      <w:lvlText w:val="%5."/>
      <w:lvlJc w:val="left"/>
      <w:pPr>
        <w:tabs>
          <w:tab w:val="num" w:pos="3665"/>
        </w:tabs>
        <w:ind w:left="3665" w:hanging="360"/>
      </w:pPr>
      <w:rPr>
        <w:rFonts w:cs="Times New Roman"/>
      </w:rPr>
    </w:lvl>
    <w:lvl w:ilvl="5" w:tplc="0419001B">
      <w:start w:val="1"/>
      <w:numFmt w:val="lowerRoman"/>
      <w:lvlText w:val="%6."/>
      <w:lvlJc w:val="right"/>
      <w:pPr>
        <w:tabs>
          <w:tab w:val="num" w:pos="4385"/>
        </w:tabs>
        <w:ind w:left="4385" w:hanging="180"/>
      </w:pPr>
      <w:rPr>
        <w:rFonts w:cs="Times New Roman"/>
      </w:rPr>
    </w:lvl>
    <w:lvl w:ilvl="6" w:tplc="0419000F">
      <w:start w:val="1"/>
      <w:numFmt w:val="decimal"/>
      <w:lvlText w:val="%7."/>
      <w:lvlJc w:val="left"/>
      <w:pPr>
        <w:tabs>
          <w:tab w:val="num" w:pos="5105"/>
        </w:tabs>
        <w:ind w:left="5105" w:hanging="360"/>
      </w:pPr>
      <w:rPr>
        <w:rFonts w:cs="Times New Roman"/>
      </w:rPr>
    </w:lvl>
    <w:lvl w:ilvl="7" w:tplc="04190019">
      <w:start w:val="1"/>
      <w:numFmt w:val="lowerLetter"/>
      <w:lvlText w:val="%8."/>
      <w:lvlJc w:val="left"/>
      <w:pPr>
        <w:tabs>
          <w:tab w:val="num" w:pos="5825"/>
        </w:tabs>
        <w:ind w:left="5825" w:hanging="360"/>
      </w:pPr>
      <w:rPr>
        <w:rFonts w:cs="Times New Roman"/>
      </w:rPr>
    </w:lvl>
    <w:lvl w:ilvl="8" w:tplc="0419001B">
      <w:start w:val="1"/>
      <w:numFmt w:val="lowerRoman"/>
      <w:lvlText w:val="%9."/>
      <w:lvlJc w:val="right"/>
      <w:pPr>
        <w:tabs>
          <w:tab w:val="num" w:pos="6545"/>
        </w:tabs>
        <w:ind w:left="6545" w:hanging="180"/>
      </w:pPr>
      <w:rPr>
        <w:rFonts w:cs="Times New Roman"/>
      </w:rPr>
    </w:lvl>
  </w:abstractNum>
  <w:abstractNum w:abstractNumId="24" w15:restartNumberingAfterBreak="0">
    <w:nsid w:val="7BF54671"/>
    <w:multiLevelType w:val="hybridMultilevel"/>
    <w:tmpl w:val="44CE274A"/>
    <w:lvl w:ilvl="0" w:tplc="D780F0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14"/>
  </w:num>
  <w:num w:numId="3">
    <w:abstractNumId w:val="15"/>
  </w:num>
  <w:num w:numId="4">
    <w:abstractNumId w:val="23"/>
  </w:num>
  <w:num w:numId="5">
    <w:abstractNumId w:val="5"/>
  </w:num>
  <w:num w:numId="6">
    <w:abstractNumId w:val="7"/>
  </w:num>
  <w:num w:numId="7">
    <w:abstractNumId w:val="19"/>
  </w:num>
  <w:num w:numId="8">
    <w:abstractNumId w:val="11"/>
  </w:num>
  <w:num w:numId="9">
    <w:abstractNumId w:val="2"/>
  </w:num>
  <w:num w:numId="10">
    <w:abstractNumId w:val="6"/>
  </w:num>
  <w:num w:numId="11">
    <w:abstractNumId w:val="1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9"/>
  </w:num>
  <w:num w:numId="16">
    <w:abstractNumId w:val="22"/>
  </w:num>
  <w:num w:numId="17">
    <w:abstractNumId w:val="17"/>
  </w:num>
  <w:num w:numId="18">
    <w:abstractNumId w:val="1"/>
  </w:num>
  <w:num w:numId="19">
    <w:abstractNumId w:val="10"/>
  </w:num>
  <w:num w:numId="20">
    <w:abstractNumId w:val="16"/>
  </w:num>
  <w:num w:numId="21">
    <w:abstractNumId w:val="20"/>
  </w:num>
  <w:num w:numId="22">
    <w:abstractNumId w:val="12"/>
  </w:num>
  <w:num w:numId="23">
    <w:abstractNumId w:val="21"/>
  </w:num>
  <w:num w:numId="24">
    <w:abstractNumId w:val="3"/>
  </w:num>
  <w:num w:numId="25">
    <w:abstractNumId w:val="8"/>
  </w:num>
  <w:num w:numId="2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F6"/>
    <w:rsid w:val="000002ED"/>
    <w:rsid w:val="000006D9"/>
    <w:rsid w:val="00000AEE"/>
    <w:rsid w:val="00000DB1"/>
    <w:rsid w:val="000013EB"/>
    <w:rsid w:val="000015AE"/>
    <w:rsid w:val="000015CB"/>
    <w:rsid w:val="000020E5"/>
    <w:rsid w:val="00002215"/>
    <w:rsid w:val="000023CC"/>
    <w:rsid w:val="00002915"/>
    <w:rsid w:val="000033AC"/>
    <w:rsid w:val="00003E6F"/>
    <w:rsid w:val="00004586"/>
    <w:rsid w:val="00004D45"/>
    <w:rsid w:val="0000565B"/>
    <w:rsid w:val="0000631E"/>
    <w:rsid w:val="000067BF"/>
    <w:rsid w:val="00006BDA"/>
    <w:rsid w:val="00006C41"/>
    <w:rsid w:val="000076C1"/>
    <w:rsid w:val="000077FF"/>
    <w:rsid w:val="0001009B"/>
    <w:rsid w:val="0001069B"/>
    <w:rsid w:val="00010AC0"/>
    <w:rsid w:val="00011401"/>
    <w:rsid w:val="000117F0"/>
    <w:rsid w:val="000126FB"/>
    <w:rsid w:val="00012E69"/>
    <w:rsid w:val="0001321F"/>
    <w:rsid w:val="00013937"/>
    <w:rsid w:val="000139F8"/>
    <w:rsid w:val="00013EFF"/>
    <w:rsid w:val="00013FFE"/>
    <w:rsid w:val="00014034"/>
    <w:rsid w:val="00014336"/>
    <w:rsid w:val="00014992"/>
    <w:rsid w:val="00014BF2"/>
    <w:rsid w:val="00015243"/>
    <w:rsid w:val="0001525B"/>
    <w:rsid w:val="00015D87"/>
    <w:rsid w:val="00015FA8"/>
    <w:rsid w:val="000163D5"/>
    <w:rsid w:val="000166BA"/>
    <w:rsid w:val="00016893"/>
    <w:rsid w:val="00017214"/>
    <w:rsid w:val="00017227"/>
    <w:rsid w:val="00017672"/>
    <w:rsid w:val="00017914"/>
    <w:rsid w:val="00017925"/>
    <w:rsid w:val="00020ACA"/>
    <w:rsid w:val="000214CD"/>
    <w:rsid w:val="0002193A"/>
    <w:rsid w:val="0002224A"/>
    <w:rsid w:val="000229BE"/>
    <w:rsid w:val="000229D5"/>
    <w:rsid w:val="0002329A"/>
    <w:rsid w:val="0002422F"/>
    <w:rsid w:val="00025361"/>
    <w:rsid w:val="0002542F"/>
    <w:rsid w:val="00025753"/>
    <w:rsid w:val="00025851"/>
    <w:rsid w:val="00025BF5"/>
    <w:rsid w:val="00026088"/>
    <w:rsid w:val="0002621D"/>
    <w:rsid w:val="00026637"/>
    <w:rsid w:val="00026A35"/>
    <w:rsid w:val="00026A3C"/>
    <w:rsid w:val="000273C9"/>
    <w:rsid w:val="00032167"/>
    <w:rsid w:val="000323D0"/>
    <w:rsid w:val="00032409"/>
    <w:rsid w:val="00032669"/>
    <w:rsid w:val="00032E75"/>
    <w:rsid w:val="00032F5D"/>
    <w:rsid w:val="00033332"/>
    <w:rsid w:val="0003335B"/>
    <w:rsid w:val="00033AD1"/>
    <w:rsid w:val="000345D6"/>
    <w:rsid w:val="000348DA"/>
    <w:rsid w:val="00035082"/>
    <w:rsid w:val="000356DB"/>
    <w:rsid w:val="00035DD5"/>
    <w:rsid w:val="00036223"/>
    <w:rsid w:val="0003627D"/>
    <w:rsid w:val="0003760F"/>
    <w:rsid w:val="00037FF0"/>
    <w:rsid w:val="00040079"/>
    <w:rsid w:val="000408C9"/>
    <w:rsid w:val="00040A61"/>
    <w:rsid w:val="00041331"/>
    <w:rsid w:val="000415AF"/>
    <w:rsid w:val="000418BC"/>
    <w:rsid w:val="00041EBB"/>
    <w:rsid w:val="00042448"/>
    <w:rsid w:val="00042797"/>
    <w:rsid w:val="00042B48"/>
    <w:rsid w:val="0004302C"/>
    <w:rsid w:val="000430F3"/>
    <w:rsid w:val="0004328A"/>
    <w:rsid w:val="0004384B"/>
    <w:rsid w:val="00043AB9"/>
    <w:rsid w:val="00044E7E"/>
    <w:rsid w:val="00044F4D"/>
    <w:rsid w:val="00045214"/>
    <w:rsid w:val="0004566B"/>
    <w:rsid w:val="00045DAB"/>
    <w:rsid w:val="000467E0"/>
    <w:rsid w:val="00046AC9"/>
    <w:rsid w:val="000479D0"/>
    <w:rsid w:val="00047D8D"/>
    <w:rsid w:val="000502F7"/>
    <w:rsid w:val="000503C3"/>
    <w:rsid w:val="000503D6"/>
    <w:rsid w:val="000507B8"/>
    <w:rsid w:val="00050970"/>
    <w:rsid w:val="00050F2F"/>
    <w:rsid w:val="00051740"/>
    <w:rsid w:val="00051B4B"/>
    <w:rsid w:val="000523A9"/>
    <w:rsid w:val="00052792"/>
    <w:rsid w:val="000528B9"/>
    <w:rsid w:val="00052EE8"/>
    <w:rsid w:val="0005320B"/>
    <w:rsid w:val="00053828"/>
    <w:rsid w:val="00053953"/>
    <w:rsid w:val="00054970"/>
    <w:rsid w:val="00054BDB"/>
    <w:rsid w:val="00055344"/>
    <w:rsid w:val="00055B55"/>
    <w:rsid w:val="00056715"/>
    <w:rsid w:val="00056F4E"/>
    <w:rsid w:val="00057C31"/>
    <w:rsid w:val="00057C64"/>
    <w:rsid w:val="00057E54"/>
    <w:rsid w:val="000601A7"/>
    <w:rsid w:val="00060515"/>
    <w:rsid w:val="000606A4"/>
    <w:rsid w:val="000609BF"/>
    <w:rsid w:val="00060AAA"/>
    <w:rsid w:val="0006149B"/>
    <w:rsid w:val="00061A8E"/>
    <w:rsid w:val="000624CC"/>
    <w:rsid w:val="00063754"/>
    <w:rsid w:val="00063AA7"/>
    <w:rsid w:val="00063E3E"/>
    <w:rsid w:val="00063F8D"/>
    <w:rsid w:val="00064509"/>
    <w:rsid w:val="00064C03"/>
    <w:rsid w:val="00065556"/>
    <w:rsid w:val="0006584D"/>
    <w:rsid w:val="000659A9"/>
    <w:rsid w:val="00066B6D"/>
    <w:rsid w:val="00066CE5"/>
    <w:rsid w:val="00067325"/>
    <w:rsid w:val="00067610"/>
    <w:rsid w:val="00067D98"/>
    <w:rsid w:val="00070507"/>
    <w:rsid w:val="00070687"/>
    <w:rsid w:val="0007082E"/>
    <w:rsid w:val="00070A95"/>
    <w:rsid w:val="0007119A"/>
    <w:rsid w:val="00071AA5"/>
    <w:rsid w:val="00072422"/>
    <w:rsid w:val="000725C3"/>
    <w:rsid w:val="0007283D"/>
    <w:rsid w:val="0007294D"/>
    <w:rsid w:val="00072AFF"/>
    <w:rsid w:val="00072ED7"/>
    <w:rsid w:val="00073587"/>
    <w:rsid w:val="000739FA"/>
    <w:rsid w:val="00073FD6"/>
    <w:rsid w:val="00074A1C"/>
    <w:rsid w:val="00074E9F"/>
    <w:rsid w:val="0007539D"/>
    <w:rsid w:val="00076A4C"/>
    <w:rsid w:val="00076D76"/>
    <w:rsid w:val="00076D9F"/>
    <w:rsid w:val="00076E19"/>
    <w:rsid w:val="0007709F"/>
    <w:rsid w:val="00077177"/>
    <w:rsid w:val="00077642"/>
    <w:rsid w:val="000776A1"/>
    <w:rsid w:val="00077ACE"/>
    <w:rsid w:val="00077C78"/>
    <w:rsid w:val="00077EAA"/>
    <w:rsid w:val="000803C1"/>
    <w:rsid w:val="000805B7"/>
    <w:rsid w:val="00080BA6"/>
    <w:rsid w:val="00080C67"/>
    <w:rsid w:val="00082717"/>
    <w:rsid w:val="00082FDE"/>
    <w:rsid w:val="00083696"/>
    <w:rsid w:val="00083CAB"/>
    <w:rsid w:val="00083EAB"/>
    <w:rsid w:val="00083ECC"/>
    <w:rsid w:val="00087DAF"/>
    <w:rsid w:val="000902D5"/>
    <w:rsid w:val="000902DC"/>
    <w:rsid w:val="000905A1"/>
    <w:rsid w:val="00090763"/>
    <w:rsid w:val="000907CE"/>
    <w:rsid w:val="000909A0"/>
    <w:rsid w:val="00090E5D"/>
    <w:rsid w:val="000910DB"/>
    <w:rsid w:val="00091112"/>
    <w:rsid w:val="000919D3"/>
    <w:rsid w:val="00091B2F"/>
    <w:rsid w:val="00091D9C"/>
    <w:rsid w:val="0009207A"/>
    <w:rsid w:val="000926F9"/>
    <w:rsid w:val="00092948"/>
    <w:rsid w:val="0009325E"/>
    <w:rsid w:val="00093604"/>
    <w:rsid w:val="0009387E"/>
    <w:rsid w:val="00093B88"/>
    <w:rsid w:val="0009481C"/>
    <w:rsid w:val="000949B6"/>
    <w:rsid w:val="00094A2A"/>
    <w:rsid w:val="00094B59"/>
    <w:rsid w:val="00094CC5"/>
    <w:rsid w:val="000956EF"/>
    <w:rsid w:val="00095BA5"/>
    <w:rsid w:val="00095ECA"/>
    <w:rsid w:val="00096679"/>
    <w:rsid w:val="00097B32"/>
    <w:rsid w:val="000A07F8"/>
    <w:rsid w:val="000A1961"/>
    <w:rsid w:val="000A1DB4"/>
    <w:rsid w:val="000A21C8"/>
    <w:rsid w:val="000A21FF"/>
    <w:rsid w:val="000A243D"/>
    <w:rsid w:val="000A266C"/>
    <w:rsid w:val="000A27DA"/>
    <w:rsid w:val="000A27FC"/>
    <w:rsid w:val="000A32F7"/>
    <w:rsid w:val="000A3875"/>
    <w:rsid w:val="000A3CED"/>
    <w:rsid w:val="000A45F0"/>
    <w:rsid w:val="000A4E36"/>
    <w:rsid w:val="000A5517"/>
    <w:rsid w:val="000A5871"/>
    <w:rsid w:val="000A58F3"/>
    <w:rsid w:val="000A5B68"/>
    <w:rsid w:val="000A6BE3"/>
    <w:rsid w:val="000A75D0"/>
    <w:rsid w:val="000A77D5"/>
    <w:rsid w:val="000A79FE"/>
    <w:rsid w:val="000A7F1D"/>
    <w:rsid w:val="000B0656"/>
    <w:rsid w:val="000B097A"/>
    <w:rsid w:val="000B1CA5"/>
    <w:rsid w:val="000B2356"/>
    <w:rsid w:val="000B28B7"/>
    <w:rsid w:val="000B35F6"/>
    <w:rsid w:val="000B3BC6"/>
    <w:rsid w:val="000B3CB8"/>
    <w:rsid w:val="000B4A6A"/>
    <w:rsid w:val="000B4BB6"/>
    <w:rsid w:val="000B51EE"/>
    <w:rsid w:val="000B58B8"/>
    <w:rsid w:val="000B5C32"/>
    <w:rsid w:val="000B5C71"/>
    <w:rsid w:val="000B6489"/>
    <w:rsid w:val="000B6975"/>
    <w:rsid w:val="000B7634"/>
    <w:rsid w:val="000B7D82"/>
    <w:rsid w:val="000B7EA0"/>
    <w:rsid w:val="000C007E"/>
    <w:rsid w:val="000C04DE"/>
    <w:rsid w:val="000C060C"/>
    <w:rsid w:val="000C0C16"/>
    <w:rsid w:val="000C0C7C"/>
    <w:rsid w:val="000C0CA5"/>
    <w:rsid w:val="000C13FB"/>
    <w:rsid w:val="000C2726"/>
    <w:rsid w:val="000C3033"/>
    <w:rsid w:val="000C398F"/>
    <w:rsid w:val="000C47E4"/>
    <w:rsid w:val="000C48B3"/>
    <w:rsid w:val="000C4E3C"/>
    <w:rsid w:val="000C50BA"/>
    <w:rsid w:val="000C598D"/>
    <w:rsid w:val="000C5BAA"/>
    <w:rsid w:val="000C6FB6"/>
    <w:rsid w:val="000D002A"/>
    <w:rsid w:val="000D047C"/>
    <w:rsid w:val="000D0822"/>
    <w:rsid w:val="000D082A"/>
    <w:rsid w:val="000D0A9F"/>
    <w:rsid w:val="000D1CE0"/>
    <w:rsid w:val="000D2ECA"/>
    <w:rsid w:val="000D36D0"/>
    <w:rsid w:val="000D3750"/>
    <w:rsid w:val="000D3B39"/>
    <w:rsid w:val="000D3D31"/>
    <w:rsid w:val="000D3F86"/>
    <w:rsid w:val="000D4647"/>
    <w:rsid w:val="000D46C6"/>
    <w:rsid w:val="000D529E"/>
    <w:rsid w:val="000D5444"/>
    <w:rsid w:val="000D5E80"/>
    <w:rsid w:val="000D71F9"/>
    <w:rsid w:val="000E04ED"/>
    <w:rsid w:val="000E0777"/>
    <w:rsid w:val="000E1B7E"/>
    <w:rsid w:val="000E21DD"/>
    <w:rsid w:val="000E2D35"/>
    <w:rsid w:val="000E2E33"/>
    <w:rsid w:val="000E3014"/>
    <w:rsid w:val="000E32BD"/>
    <w:rsid w:val="000E350D"/>
    <w:rsid w:val="000E40D8"/>
    <w:rsid w:val="000E443F"/>
    <w:rsid w:val="000E4E94"/>
    <w:rsid w:val="000E51ED"/>
    <w:rsid w:val="000E64F1"/>
    <w:rsid w:val="000E68A0"/>
    <w:rsid w:val="000E68CF"/>
    <w:rsid w:val="000E6F62"/>
    <w:rsid w:val="000E753C"/>
    <w:rsid w:val="000E789B"/>
    <w:rsid w:val="000E7984"/>
    <w:rsid w:val="000E7A5A"/>
    <w:rsid w:val="000F01B9"/>
    <w:rsid w:val="000F01E9"/>
    <w:rsid w:val="000F03C4"/>
    <w:rsid w:val="000F0BF5"/>
    <w:rsid w:val="000F0D53"/>
    <w:rsid w:val="000F0E4A"/>
    <w:rsid w:val="000F0EA6"/>
    <w:rsid w:val="000F119D"/>
    <w:rsid w:val="000F1699"/>
    <w:rsid w:val="000F185A"/>
    <w:rsid w:val="000F1B11"/>
    <w:rsid w:val="000F1DCE"/>
    <w:rsid w:val="000F2094"/>
    <w:rsid w:val="000F27C3"/>
    <w:rsid w:val="000F3414"/>
    <w:rsid w:val="000F3426"/>
    <w:rsid w:val="000F3A4F"/>
    <w:rsid w:val="000F3E51"/>
    <w:rsid w:val="000F45E8"/>
    <w:rsid w:val="000F4EE2"/>
    <w:rsid w:val="000F50A3"/>
    <w:rsid w:val="000F580B"/>
    <w:rsid w:val="000F5A7A"/>
    <w:rsid w:val="000F5BC7"/>
    <w:rsid w:val="000F610A"/>
    <w:rsid w:val="000F68C5"/>
    <w:rsid w:val="000F6B24"/>
    <w:rsid w:val="000F6BE3"/>
    <w:rsid w:val="000F6E55"/>
    <w:rsid w:val="000F6E6A"/>
    <w:rsid w:val="000F740A"/>
    <w:rsid w:val="000F796D"/>
    <w:rsid w:val="000F79A6"/>
    <w:rsid w:val="00100197"/>
    <w:rsid w:val="00100C32"/>
    <w:rsid w:val="00100DE5"/>
    <w:rsid w:val="00101333"/>
    <w:rsid w:val="001014D8"/>
    <w:rsid w:val="001014EF"/>
    <w:rsid w:val="0010178E"/>
    <w:rsid w:val="0010250A"/>
    <w:rsid w:val="00102848"/>
    <w:rsid w:val="00103393"/>
    <w:rsid w:val="001039F8"/>
    <w:rsid w:val="00103D1B"/>
    <w:rsid w:val="00104E8F"/>
    <w:rsid w:val="0010549D"/>
    <w:rsid w:val="00105626"/>
    <w:rsid w:val="00105BDB"/>
    <w:rsid w:val="00105D59"/>
    <w:rsid w:val="00105F07"/>
    <w:rsid w:val="00105F0B"/>
    <w:rsid w:val="00106095"/>
    <w:rsid w:val="001060F0"/>
    <w:rsid w:val="0010630D"/>
    <w:rsid w:val="001067DC"/>
    <w:rsid w:val="00106B29"/>
    <w:rsid w:val="00106F4D"/>
    <w:rsid w:val="00106FA9"/>
    <w:rsid w:val="001076CC"/>
    <w:rsid w:val="00107B7F"/>
    <w:rsid w:val="00107FB6"/>
    <w:rsid w:val="00111017"/>
    <w:rsid w:val="00111678"/>
    <w:rsid w:val="00111754"/>
    <w:rsid w:val="00111AC4"/>
    <w:rsid w:val="00111B2A"/>
    <w:rsid w:val="00112609"/>
    <w:rsid w:val="00112B66"/>
    <w:rsid w:val="00112B81"/>
    <w:rsid w:val="001136F8"/>
    <w:rsid w:val="001139ED"/>
    <w:rsid w:val="001147F0"/>
    <w:rsid w:val="00115038"/>
    <w:rsid w:val="00115BB5"/>
    <w:rsid w:val="00115BDD"/>
    <w:rsid w:val="00115CF5"/>
    <w:rsid w:val="00116070"/>
    <w:rsid w:val="001163E6"/>
    <w:rsid w:val="001168C2"/>
    <w:rsid w:val="00116BA3"/>
    <w:rsid w:val="001176F9"/>
    <w:rsid w:val="00117B47"/>
    <w:rsid w:val="00117F05"/>
    <w:rsid w:val="001202C2"/>
    <w:rsid w:val="0012039D"/>
    <w:rsid w:val="00120B2F"/>
    <w:rsid w:val="00121362"/>
    <w:rsid w:val="001215F9"/>
    <w:rsid w:val="001220BE"/>
    <w:rsid w:val="00122119"/>
    <w:rsid w:val="001225AA"/>
    <w:rsid w:val="001226F3"/>
    <w:rsid w:val="00122861"/>
    <w:rsid w:val="00122C47"/>
    <w:rsid w:val="00122C50"/>
    <w:rsid w:val="001232B7"/>
    <w:rsid w:val="00123AEA"/>
    <w:rsid w:val="00123CE2"/>
    <w:rsid w:val="0012445F"/>
    <w:rsid w:val="00124824"/>
    <w:rsid w:val="00125665"/>
    <w:rsid w:val="00126ECC"/>
    <w:rsid w:val="001270E4"/>
    <w:rsid w:val="0012730B"/>
    <w:rsid w:val="00127846"/>
    <w:rsid w:val="00127EE8"/>
    <w:rsid w:val="00130425"/>
    <w:rsid w:val="001304A6"/>
    <w:rsid w:val="001306DE"/>
    <w:rsid w:val="00130993"/>
    <w:rsid w:val="001311A6"/>
    <w:rsid w:val="001311E2"/>
    <w:rsid w:val="001318A7"/>
    <w:rsid w:val="00131B43"/>
    <w:rsid w:val="00131D2B"/>
    <w:rsid w:val="00131FD8"/>
    <w:rsid w:val="0013273F"/>
    <w:rsid w:val="00132D8C"/>
    <w:rsid w:val="00133679"/>
    <w:rsid w:val="00134253"/>
    <w:rsid w:val="001347EF"/>
    <w:rsid w:val="00134EEF"/>
    <w:rsid w:val="001357E9"/>
    <w:rsid w:val="001360C0"/>
    <w:rsid w:val="0013653B"/>
    <w:rsid w:val="00136BA9"/>
    <w:rsid w:val="00136C68"/>
    <w:rsid w:val="00136DDC"/>
    <w:rsid w:val="00136F7C"/>
    <w:rsid w:val="001370F7"/>
    <w:rsid w:val="0013752B"/>
    <w:rsid w:val="0013757E"/>
    <w:rsid w:val="00137C66"/>
    <w:rsid w:val="00140711"/>
    <w:rsid w:val="00140831"/>
    <w:rsid w:val="00140911"/>
    <w:rsid w:val="00140CD7"/>
    <w:rsid w:val="00141375"/>
    <w:rsid w:val="00141B50"/>
    <w:rsid w:val="00141C21"/>
    <w:rsid w:val="001420EA"/>
    <w:rsid w:val="0014227D"/>
    <w:rsid w:val="00142364"/>
    <w:rsid w:val="001423F2"/>
    <w:rsid w:val="0014251C"/>
    <w:rsid w:val="00142F2B"/>
    <w:rsid w:val="00142F96"/>
    <w:rsid w:val="0014379D"/>
    <w:rsid w:val="001439FC"/>
    <w:rsid w:val="00143A66"/>
    <w:rsid w:val="00143B49"/>
    <w:rsid w:val="00143B97"/>
    <w:rsid w:val="00143BFF"/>
    <w:rsid w:val="00143CEA"/>
    <w:rsid w:val="00143DB1"/>
    <w:rsid w:val="001442F8"/>
    <w:rsid w:val="00144713"/>
    <w:rsid w:val="0014485E"/>
    <w:rsid w:val="00144A36"/>
    <w:rsid w:val="00144B13"/>
    <w:rsid w:val="00145062"/>
    <w:rsid w:val="0014549B"/>
    <w:rsid w:val="0014562E"/>
    <w:rsid w:val="00145673"/>
    <w:rsid w:val="001457A5"/>
    <w:rsid w:val="001463E4"/>
    <w:rsid w:val="00146E29"/>
    <w:rsid w:val="00146E97"/>
    <w:rsid w:val="001470C7"/>
    <w:rsid w:val="001471AD"/>
    <w:rsid w:val="00147664"/>
    <w:rsid w:val="00147710"/>
    <w:rsid w:val="00147F55"/>
    <w:rsid w:val="00147FF5"/>
    <w:rsid w:val="00150009"/>
    <w:rsid w:val="001504E3"/>
    <w:rsid w:val="00151016"/>
    <w:rsid w:val="0015176E"/>
    <w:rsid w:val="00151E78"/>
    <w:rsid w:val="00152247"/>
    <w:rsid w:val="00152B76"/>
    <w:rsid w:val="00152B81"/>
    <w:rsid w:val="001538FE"/>
    <w:rsid w:val="00153F1D"/>
    <w:rsid w:val="001549A1"/>
    <w:rsid w:val="00154C69"/>
    <w:rsid w:val="00154D13"/>
    <w:rsid w:val="001553E5"/>
    <w:rsid w:val="00155A8E"/>
    <w:rsid w:val="00155C08"/>
    <w:rsid w:val="00155DCF"/>
    <w:rsid w:val="00156343"/>
    <w:rsid w:val="001569CC"/>
    <w:rsid w:val="00156A16"/>
    <w:rsid w:val="00156CF4"/>
    <w:rsid w:val="001570CD"/>
    <w:rsid w:val="00157541"/>
    <w:rsid w:val="00157736"/>
    <w:rsid w:val="001600E2"/>
    <w:rsid w:val="00160336"/>
    <w:rsid w:val="00160362"/>
    <w:rsid w:val="001607D3"/>
    <w:rsid w:val="00160A97"/>
    <w:rsid w:val="001616D8"/>
    <w:rsid w:val="0016183F"/>
    <w:rsid w:val="00161D65"/>
    <w:rsid w:val="00162243"/>
    <w:rsid w:val="00162BE8"/>
    <w:rsid w:val="00162C75"/>
    <w:rsid w:val="00162EFA"/>
    <w:rsid w:val="00163B6C"/>
    <w:rsid w:val="00163DE0"/>
    <w:rsid w:val="0016444E"/>
    <w:rsid w:val="0016469C"/>
    <w:rsid w:val="00164A66"/>
    <w:rsid w:val="00165670"/>
    <w:rsid w:val="00165AB5"/>
    <w:rsid w:val="00166727"/>
    <w:rsid w:val="001669BE"/>
    <w:rsid w:val="00166C9D"/>
    <w:rsid w:val="00167205"/>
    <w:rsid w:val="00167876"/>
    <w:rsid w:val="0016791C"/>
    <w:rsid w:val="00167A7F"/>
    <w:rsid w:val="00167AD1"/>
    <w:rsid w:val="00170687"/>
    <w:rsid w:val="00171438"/>
    <w:rsid w:val="00171C51"/>
    <w:rsid w:val="0017246A"/>
    <w:rsid w:val="00172879"/>
    <w:rsid w:val="00172985"/>
    <w:rsid w:val="001734A0"/>
    <w:rsid w:val="00173F22"/>
    <w:rsid w:val="00174419"/>
    <w:rsid w:val="0017455A"/>
    <w:rsid w:val="001749BC"/>
    <w:rsid w:val="00174FA4"/>
    <w:rsid w:val="00175516"/>
    <w:rsid w:val="00175738"/>
    <w:rsid w:val="00175B24"/>
    <w:rsid w:val="00175E8B"/>
    <w:rsid w:val="001761C4"/>
    <w:rsid w:val="00176315"/>
    <w:rsid w:val="001763E6"/>
    <w:rsid w:val="0017660F"/>
    <w:rsid w:val="00176637"/>
    <w:rsid w:val="001769EA"/>
    <w:rsid w:val="00177257"/>
    <w:rsid w:val="001772AD"/>
    <w:rsid w:val="00177642"/>
    <w:rsid w:val="00177656"/>
    <w:rsid w:val="001776E3"/>
    <w:rsid w:val="0017771B"/>
    <w:rsid w:val="00177861"/>
    <w:rsid w:val="001803EC"/>
    <w:rsid w:val="00180723"/>
    <w:rsid w:val="00181171"/>
    <w:rsid w:val="00181209"/>
    <w:rsid w:val="00181398"/>
    <w:rsid w:val="00181472"/>
    <w:rsid w:val="001819C2"/>
    <w:rsid w:val="00181ADE"/>
    <w:rsid w:val="001821D5"/>
    <w:rsid w:val="00182465"/>
    <w:rsid w:val="00182680"/>
    <w:rsid w:val="00182A0F"/>
    <w:rsid w:val="0018326E"/>
    <w:rsid w:val="00183902"/>
    <w:rsid w:val="00183D6D"/>
    <w:rsid w:val="001848F3"/>
    <w:rsid w:val="00184B95"/>
    <w:rsid w:val="00184D46"/>
    <w:rsid w:val="00184F72"/>
    <w:rsid w:val="00185302"/>
    <w:rsid w:val="00185444"/>
    <w:rsid w:val="00185637"/>
    <w:rsid w:val="00185A02"/>
    <w:rsid w:val="001869A1"/>
    <w:rsid w:val="001869C9"/>
    <w:rsid w:val="001878AA"/>
    <w:rsid w:val="00187979"/>
    <w:rsid w:val="00187B85"/>
    <w:rsid w:val="00187D45"/>
    <w:rsid w:val="00187E37"/>
    <w:rsid w:val="00190034"/>
    <w:rsid w:val="001905A7"/>
    <w:rsid w:val="001915E3"/>
    <w:rsid w:val="0019192B"/>
    <w:rsid w:val="00192506"/>
    <w:rsid w:val="00192F1D"/>
    <w:rsid w:val="0019302D"/>
    <w:rsid w:val="0019306D"/>
    <w:rsid w:val="001932A3"/>
    <w:rsid w:val="0019335E"/>
    <w:rsid w:val="00193ADB"/>
    <w:rsid w:val="00193CCA"/>
    <w:rsid w:val="00194285"/>
    <w:rsid w:val="00194E83"/>
    <w:rsid w:val="001969DC"/>
    <w:rsid w:val="001969F2"/>
    <w:rsid w:val="00196F53"/>
    <w:rsid w:val="00197ABA"/>
    <w:rsid w:val="001A0019"/>
    <w:rsid w:val="001A012F"/>
    <w:rsid w:val="001A074E"/>
    <w:rsid w:val="001A0CF5"/>
    <w:rsid w:val="001A139D"/>
    <w:rsid w:val="001A1A33"/>
    <w:rsid w:val="001A30F0"/>
    <w:rsid w:val="001A3FD4"/>
    <w:rsid w:val="001A5383"/>
    <w:rsid w:val="001A5BF3"/>
    <w:rsid w:val="001A5C0D"/>
    <w:rsid w:val="001A5D6A"/>
    <w:rsid w:val="001A5E90"/>
    <w:rsid w:val="001A618C"/>
    <w:rsid w:val="001A6265"/>
    <w:rsid w:val="001A6EF5"/>
    <w:rsid w:val="001A7CC0"/>
    <w:rsid w:val="001A7F3C"/>
    <w:rsid w:val="001B00A8"/>
    <w:rsid w:val="001B0EB7"/>
    <w:rsid w:val="001B1959"/>
    <w:rsid w:val="001B200C"/>
    <w:rsid w:val="001B2450"/>
    <w:rsid w:val="001B253B"/>
    <w:rsid w:val="001B2605"/>
    <w:rsid w:val="001B2D2D"/>
    <w:rsid w:val="001B2D53"/>
    <w:rsid w:val="001B3050"/>
    <w:rsid w:val="001B3B94"/>
    <w:rsid w:val="001B3EC2"/>
    <w:rsid w:val="001B3F4A"/>
    <w:rsid w:val="001B435E"/>
    <w:rsid w:val="001B4A73"/>
    <w:rsid w:val="001B54E9"/>
    <w:rsid w:val="001B5FB7"/>
    <w:rsid w:val="001B6395"/>
    <w:rsid w:val="001B656B"/>
    <w:rsid w:val="001B6ED2"/>
    <w:rsid w:val="001B6FD1"/>
    <w:rsid w:val="001B720A"/>
    <w:rsid w:val="001B7326"/>
    <w:rsid w:val="001B761F"/>
    <w:rsid w:val="001B7697"/>
    <w:rsid w:val="001B771B"/>
    <w:rsid w:val="001B77E0"/>
    <w:rsid w:val="001B7B2B"/>
    <w:rsid w:val="001B7DD6"/>
    <w:rsid w:val="001C01D7"/>
    <w:rsid w:val="001C08E4"/>
    <w:rsid w:val="001C11A8"/>
    <w:rsid w:val="001C1864"/>
    <w:rsid w:val="001C1D99"/>
    <w:rsid w:val="001C2941"/>
    <w:rsid w:val="001C3049"/>
    <w:rsid w:val="001C3370"/>
    <w:rsid w:val="001C3A3B"/>
    <w:rsid w:val="001C3C2A"/>
    <w:rsid w:val="001C433D"/>
    <w:rsid w:val="001C45F7"/>
    <w:rsid w:val="001C47FF"/>
    <w:rsid w:val="001C4E9C"/>
    <w:rsid w:val="001C5716"/>
    <w:rsid w:val="001C5765"/>
    <w:rsid w:val="001C657D"/>
    <w:rsid w:val="001C65D9"/>
    <w:rsid w:val="001C66C2"/>
    <w:rsid w:val="001C6966"/>
    <w:rsid w:val="001C6E7E"/>
    <w:rsid w:val="001C6FDF"/>
    <w:rsid w:val="001D1174"/>
    <w:rsid w:val="001D1D17"/>
    <w:rsid w:val="001D1F94"/>
    <w:rsid w:val="001D23ED"/>
    <w:rsid w:val="001D2948"/>
    <w:rsid w:val="001D2A65"/>
    <w:rsid w:val="001D2B39"/>
    <w:rsid w:val="001D31B8"/>
    <w:rsid w:val="001D386B"/>
    <w:rsid w:val="001D3AB5"/>
    <w:rsid w:val="001D3D1D"/>
    <w:rsid w:val="001D426F"/>
    <w:rsid w:val="001D486D"/>
    <w:rsid w:val="001D5A09"/>
    <w:rsid w:val="001D61FF"/>
    <w:rsid w:val="001D6311"/>
    <w:rsid w:val="001D6B48"/>
    <w:rsid w:val="001D77EC"/>
    <w:rsid w:val="001E028B"/>
    <w:rsid w:val="001E05E3"/>
    <w:rsid w:val="001E0BAB"/>
    <w:rsid w:val="001E0BE6"/>
    <w:rsid w:val="001E0C36"/>
    <w:rsid w:val="001E1C45"/>
    <w:rsid w:val="001E1CB9"/>
    <w:rsid w:val="001E1E0E"/>
    <w:rsid w:val="001E2028"/>
    <w:rsid w:val="001E2049"/>
    <w:rsid w:val="001E251F"/>
    <w:rsid w:val="001E2CEF"/>
    <w:rsid w:val="001E3095"/>
    <w:rsid w:val="001E33ED"/>
    <w:rsid w:val="001E3B93"/>
    <w:rsid w:val="001E4E7E"/>
    <w:rsid w:val="001E509D"/>
    <w:rsid w:val="001E5228"/>
    <w:rsid w:val="001E61A8"/>
    <w:rsid w:val="001E69D9"/>
    <w:rsid w:val="001E6B9B"/>
    <w:rsid w:val="001E70C3"/>
    <w:rsid w:val="001E7118"/>
    <w:rsid w:val="001F0915"/>
    <w:rsid w:val="001F1241"/>
    <w:rsid w:val="001F17A4"/>
    <w:rsid w:val="001F1F27"/>
    <w:rsid w:val="001F1F5A"/>
    <w:rsid w:val="001F2788"/>
    <w:rsid w:val="001F2F3B"/>
    <w:rsid w:val="001F3121"/>
    <w:rsid w:val="001F3BA6"/>
    <w:rsid w:val="001F3DF7"/>
    <w:rsid w:val="001F3E4E"/>
    <w:rsid w:val="001F4036"/>
    <w:rsid w:val="001F43D7"/>
    <w:rsid w:val="001F4621"/>
    <w:rsid w:val="001F482B"/>
    <w:rsid w:val="001F4F71"/>
    <w:rsid w:val="001F5012"/>
    <w:rsid w:val="001F6270"/>
    <w:rsid w:val="001F65BC"/>
    <w:rsid w:val="001F72DC"/>
    <w:rsid w:val="001F763E"/>
    <w:rsid w:val="001F7A51"/>
    <w:rsid w:val="00200417"/>
    <w:rsid w:val="002012B5"/>
    <w:rsid w:val="002017F5"/>
    <w:rsid w:val="00201980"/>
    <w:rsid w:val="00201C65"/>
    <w:rsid w:val="00201FE3"/>
    <w:rsid w:val="00202F8E"/>
    <w:rsid w:val="00203113"/>
    <w:rsid w:val="00203736"/>
    <w:rsid w:val="002037BB"/>
    <w:rsid w:val="00204444"/>
    <w:rsid w:val="0020538B"/>
    <w:rsid w:val="00205398"/>
    <w:rsid w:val="00205DD4"/>
    <w:rsid w:val="00205FC0"/>
    <w:rsid w:val="00206188"/>
    <w:rsid w:val="002064AC"/>
    <w:rsid w:val="002066E6"/>
    <w:rsid w:val="00206A0F"/>
    <w:rsid w:val="00206FEF"/>
    <w:rsid w:val="002077DF"/>
    <w:rsid w:val="00207A4A"/>
    <w:rsid w:val="00207BA1"/>
    <w:rsid w:val="00207D56"/>
    <w:rsid w:val="00210B2B"/>
    <w:rsid w:val="00210FFA"/>
    <w:rsid w:val="00211937"/>
    <w:rsid w:val="00212162"/>
    <w:rsid w:val="00212312"/>
    <w:rsid w:val="002124E5"/>
    <w:rsid w:val="00212A24"/>
    <w:rsid w:val="00212C9A"/>
    <w:rsid w:val="002140A7"/>
    <w:rsid w:val="002163A1"/>
    <w:rsid w:val="00216EC0"/>
    <w:rsid w:val="002173E7"/>
    <w:rsid w:val="0022129D"/>
    <w:rsid w:val="00221B3C"/>
    <w:rsid w:val="00221EC7"/>
    <w:rsid w:val="00222DC8"/>
    <w:rsid w:val="002235A9"/>
    <w:rsid w:val="00223888"/>
    <w:rsid w:val="00223CDA"/>
    <w:rsid w:val="00224264"/>
    <w:rsid w:val="00224747"/>
    <w:rsid w:val="00224A0E"/>
    <w:rsid w:val="00224C61"/>
    <w:rsid w:val="00224D62"/>
    <w:rsid w:val="002252DF"/>
    <w:rsid w:val="002258BB"/>
    <w:rsid w:val="0022630F"/>
    <w:rsid w:val="002268AF"/>
    <w:rsid w:val="0022692E"/>
    <w:rsid w:val="00226B50"/>
    <w:rsid w:val="00226D6F"/>
    <w:rsid w:val="002273ED"/>
    <w:rsid w:val="00227E29"/>
    <w:rsid w:val="0023032A"/>
    <w:rsid w:val="0023039B"/>
    <w:rsid w:val="0023070B"/>
    <w:rsid w:val="00230847"/>
    <w:rsid w:val="00231007"/>
    <w:rsid w:val="00231AB4"/>
    <w:rsid w:val="00231F94"/>
    <w:rsid w:val="00232784"/>
    <w:rsid w:val="002333F6"/>
    <w:rsid w:val="00233929"/>
    <w:rsid w:val="00233B58"/>
    <w:rsid w:val="00233B75"/>
    <w:rsid w:val="002340E3"/>
    <w:rsid w:val="00235099"/>
    <w:rsid w:val="002355E4"/>
    <w:rsid w:val="0023590F"/>
    <w:rsid w:val="00235CA5"/>
    <w:rsid w:val="00237936"/>
    <w:rsid w:val="00237BE2"/>
    <w:rsid w:val="00237BFB"/>
    <w:rsid w:val="00240144"/>
    <w:rsid w:val="00240168"/>
    <w:rsid w:val="00240622"/>
    <w:rsid w:val="00241206"/>
    <w:rsid w:val="002419CC"/>
    <w:rsid w:val="00242451"/>
    <w:rsid w:val="00242C5A"/>
    <w:rsid w:val="00243025"/>
    <w:rsid w:val="00243034"/>
    <w:rsid w:val="002433F8"/>
    <w:rsid w:val="00243B34"/>
    <w:rsid w:val="00243CB6"/>
    <w:rsid w:val="00243D6A"/>
    <w:rsid w:val="00244824"/>
    <w:rsid w:val="00244AE1"/>
    <w:rsid w:val="00245410"/>
    <w:rsid w:val="002454B7"/>
    <w:rsid w:val="00245924"/>
    <w:rsid w:val="00245AE4"/>
    <w:rsid w:val="00245CA2"/>
    <w:rsid w:val="0024627E"/>
    <w:rsid w:val="00246D6D"/>
    <w:rsid w:val="00246DBD"/>
    <w:rsid w:val="0024723A"/>
    <w:rsid w:val="002504CA"/>
    <w:rsid w:val="002509E4"/>
    <w:rsid w:val="00250F02"/>
    <w:rsid w:val="00251124"/>
    <w:rsid w:val="002513ED"/>
    <w:rsid w:val="0025141B"/>
    <w:rsid w:val="0025173A"/>
    <w:rsid w:val="00251B52"/>
    <w:rsid w:val="00251CBE"/>
    <w:rsid w:val="00251F1E"/>
    <w:rsid w:val="00251FD0"/>
    <w:rsid w:val="00252596"/>
    <w:rsid w:val="00252EDA"/>
    <w:rsid w:val="00253523"/>
    <w:rsid w:val="00253BBC"/>
    <w:rsid w:val="00253C0D"/>
    <w:rsid w:val="00253E18"/>
    <w:rsid w:val="002546DC"/>
    <w:rsid w:val="00254D16"/>
    <w:rsid w:val="0025659C"/>
    <w:rsid w:val="00256C22"/>
    <w:rsid w:val="0025723D"/>
    <w:rsid w:val="00257396"/>
    <w:rsid w:val="00257419"/>
    <w:rsid w:val="002578BD"/>
    <w:rsid w:val="00257C32"/>
    <w:rsid w:val="002613AE"/>
    <w:rsid w:val="00261503"/>
    <w:rsid w:val="00261F70"/>
    <w:rsid w:val="00262514"/>
    <w:rsid w:val="00262B9D"/>
    <w:rsid w:val="002633FB"/>
    <w:rsid w:val="002637D2"/>
    <w:rsid w:val="00263968"/>
    <w:rsid w:val="00263AC3"/>
    <w:rsid w:val="00263B5D"/>
    <w:rsid w:val="00263C29"/>
    <w:rsid w:val="002659DD"/>
    <w:rsid w:val="002664C3"/>
    <w:rsid w:val="0026661D"/>
    <w:rsid w:val="0026686C"/>
    <w:rsid w:val="00266AFA"/>
    <w:rsid w:val="00267807"/>
    <w:rsid w:val="00267FF8"/>
    <w:rsid w:val="0027045B"/>
    <w:rsid w:val="0027053B"/>
    <w:rsid w:val="00270544"/>
    <w:rsid w:val="0027181C"/>
    <w:rsid w:val="00271BCB"/>
    <w:rsid w:val="00271BF9"/>
    <w:rsid w:val="00271C5C"/>
    <w:rsid w:val="00271C81"/>
    <w:rsid w:val="002722FD"/>
    <w:rsid w:val="00273131"/>
    <w:rsid w:val="00274841"/>
    <w:rsid w:val="00274B8E"/>
    <w:rsid w:val="00275B45"/>
    <w:rsid w:val="00275F6C"/>
    <w:rsid w:val="00276881"/>
    <w:rsid w:val="00276899"/>
    <w:rsid w:val="00276E5C"/>
    <w:rsid w:val="0027767C"/>
    <w:rsid w:val="002800D2"/>
    <w:rsid w:val="00280B9F"/>
    <w:rsid w:val="002827DF"/>
    <w:rsid w:val="00282963"/>
    <w:rsid w:val="00282E57"/>
    <w:rsid w:val="00282ED3"/>
    <w:rsid w:val="002839C2"/>
    <w:rsid w:val="00284391"/>
    <w:rsid w:val="00284603"/>
    <w:rsid w:val="00284DD4"/>
    <w:rsid w:val="00284E2E"/>
    <w:rsid w:val="00285084"/>
    <w:rsid w:val="0028509D"/>
    <w:rsid w:val="00285194"/>
    <w:rsid w:val="0028555C"/>
    <w:rsid w:val="00285745"/>
    <w:rsid w:val="00286177"/>
    <w:rsid w:val="00286760"/>
    <w:rsid w:val="002869EF"/>
    <w:rsid w:val="00286A4B"/>
    <w:rsid w:val="00286C93"/>
    <w:rsid w:val="0028719F"/>
    <w:rsid w:val="00287610"/>
    <w:rsid w:val="00287830"/>
    <w:rsid w:val="002879A6"/>
    <w:rsid w:val="00287E3A"/>
    <w:rsid w:val="00287E5F"/>
    <w:rsid w:val="00287FCE"/>
    <w:rsid w:val="0029032D"/>
    <w:rsid w:val="002904D3"/>
    <w:rsid w:val="0029089D"/>
    <w:rsid w:val="002909A1"/>
    <w:rsid w:val="00290A13"/>
    <w:rsid w:val="00291451"/>
    <w:rsid w:val="0029187C"/>
    <w:rsid w:val="00291A75"/>
    <w:rsid w:val="00291CBE"/>
    <w:rsid w:val="002922B1"/>
    <w:rsid w:val="002930A4"/>
    <w:rsid w:val="0029387B"/>
    <w:rsid w:val="00293C22"/>
    <w:rsid w:val="00293E31"/>
    <w:rsid w:val="002943E9"/>
    <w:rsid w:val="00294A15"/>
    <w:rsid w:val="0029599D"/>
    <w:rsid w:val="00295F26"/>
    <w:rsid w:val="0029605C"/>
    <w:rsid w:val="00297A52"/>
    <w:rsid w:val="002A029E"/>
    <w:rsid w:val="002A0682"/>
    <w:rsid w:val="002A0AA5"/>
    <w:rsid w:val="002A0AB4"/>
    <w:rsid w:val="002A0B48"/>
    <w:rsid w:val="002A15DD"/>
    <w:rsid w:val="002A27AC"/>
    <w:rsid w:val="002A2DC6"/>
    <w:rsid w:val="002A43E5"/>
    <w:rsid w:val="002A4A1C"/>
    <w:rsid w:val="002A5049"/>
    <w:rsid w:val="002A64FC"/>
    <w:rsid w:val="002A69AD"/>
    <w:rsid w:val="002A6A47"/>
    <w:rsid w:val="002A6D90"/>
    <w:rsid w:val="002A6E68"/>
    <w:rsid w:val="002A711A"/>
    <w:rsid w:val="002A76C0"/>
    <w:rsid w:val="002A78E9"/>
    <w:rsid w:val="002B0AF3"/>
    <w:rsid w:val="002B0D28"/>
    <w:rsid w:val="002B0E29"/>
    <w:rsid w:val="002B1832"/>
    <w:rsid w:val="002B1D1D"/>
    <w:rsid w:val="002B2447"/>
    <w:rsid w:val="002B2AD9"/>
    <w:rsid w:val="002B2BD0"/>
    <w:rsid w:val="002B2C09"/>
    <w:rsid w:val="002B309E"/>
    <w:rsid w:val="002B4449"/>
    <w:rsid w:val="002B5035"/>
    <w:rsid w:val="002B56FC"/>
    <w:rsid w:val="002B5740"/>
    <w:rsid w:val="002B59FE"/>
    <w:rsid w:val="002B5EA8"/>
    <w:rsid w:val="002B5F1D"/>
    <w:rsid w:val="002B637B"/>
    <w:rsid w:val="002B6380"/>
    <w:rsid w:val="002B663C"/>
    <w:rsid w:val="002B6AC5"/>
    <w:rsid w:val="002B6E1D"/>
    <w:rsid w:val="002B77F2"/>
    <w:rsid w:val="002B7853"/>
    <w:rsid w:val="002B7871"/>
    <w:rsid w:val="002B7C0C"/>
    <w:rsid w:val="002B7E17"/>
    <w:rsid w:val="002C026D"/>
    <w:rsid w:val="002C043C"/>
    <w:rsid w:val="002C0986"/>
    <w:rsid w:val="002C0A81"/>
    <w:rsid w:val="002C13D6"/>
    <w:rsid w:val="002C2178"/>
    <w:rsid w:val="002C2312"/>
    <w:rsid w:val="002C2BF4"/>
    <w:rsid w:val="002C2CD7"/>
    <w:rsid w:val="002C32BA"/>
    <w:rsid w:val="002C3305"/>
    <w:rsid w:val="002C3A39"/>
    <w:rsid w:val="002C45B0"/>
    <w:rsid w:val="002C54D9"/>
    <w:rsid w:val="002C5747"/>
    <w:rsid w:val="002C5C79"/>
    <w:rsid w:val="002C64A1"/>
    <w:rsid w:val="002C6A89"/>
    <w:rsid w:val="002C71A8"/>
    <w:rsid w:val="002C7262"/>
    <w:rsid w:val="002C79D2"/>
    <w:rsid w:val="002C7CA4"/>
    <w:rsid w:val="002D02B8"/>
    <w:rsid w:val="002D036A"/>
    <w:rsid w:val="002D079C"/>
    <w:rsid w:val="002D08B1"/>
    <w:rsid w:val="002D20B4"/>
    <w:rsid w:val="002D20EB"/>
    <w:rsid w:val="002D22EF"/>
    <w:rsid w:val="002D2566"/>
    <w:rsid w:val="002D2B0D"/>
    <w:rsid w:val="002D328A"/>
    <w:rsid w:val="002D3C88"/>
    <w:rsid w:val="002D3D8D"/>
    <w:rsid w:val="002D4170"/>
    <w:rsid w:val="002D4618"/>
    <w:rsid w:val="002D4BC2"/>
    <w:rsid w:val="002D4CD4"/>
    <w:rsid w:val="002D5341"/>
    <w:rsid w:val="002D5524"/>
    <w:rsid w:val="002D564B"/>
    <w:rsid w:val="002D649C"/>
    <w:rsid w:val="002D66DD"/>
    <w:rsid w:val="002D67FA"/>
    <w:rsid w:val="002D700E"/>
    <w:rsid w:val="002D7297"/>
    <w:rsid w:val="002D72C1"/>
    <w:rsid w:val="002D77DE"/>
    <w:rsid w:val="002D7D23"/>
    <w:rsid w:val="002D7D5E"/>
    <w:rsid w:val="002D7F78"/>
    <w:rsid w:val="002E018A"/>
    <w:rsid w:val="002E0981"/>
    <w:rsid w:val="002E0C65"/>
    <w:rsid w:val="002E0F34"/>
    <w:rsid w:val="002E1FAA"/>
    <w:rsid w:val="002E20AC"/>
    <w:rsid w:val="002E2FA9"/>
    <w:rsid w:val="002E2FC8"/>
    <w:rsid w:val="002E30DB"/>
    <w:rsid w:val="002E39AC"/>
    <w:rsid w:val="002E40C8"/>
    <w:rsid w:val="002E5AE0"/>
    <w:rsid w:val="002E5F3A"/>
    <w:rsid w:val="002E6363"/>
    <w:rsid w:val="002E692E"/>
    <w:rsid w:val="002E6AB9"/>
    <w:rsid w:val="002E747E"/>
    <w:rsid w:val="002E7807"/>
    <w:rsid w:val="002E79A9"/>
    <w:rsid w:val="002E7D7B"/>
    <w:rsid w:val="002E7FCB"/>
    <w:rsid w:val="002F00C8"/>
    <w:rsid w:val="002F011A"/>
    <w:rsid w:val="002F0A50"/>
    <w:rsid w:val="002F10AC"/>
    <w:rsid w:val="002F12B7"/>
    <w:rsid w:val="002F1448"/>
    <w:rsid w:val="002F15E3"/>
    <w:rsid w:val="002F1C62"/>
    <w:rsid w:val="002F1CD4"/>
    <w:rsid w:val="002F1DA9"/>
    <w:rsid w:val="002F1F1F"/>
    <w:rsid w:val="002F27AC"/>
    <w:rsid w:val="002F3375"/>
    <w:rsid w:val="002F3456"/>
    <w:rsid w:val="002F3540"/>
    <w:rsid w:val="002F3890"/>
    <w:rsid w:val="002F4193"/>
    <w:rsid w:val="002F547B"/>
    <w:rsid w:val="002F5B1B"/>
    <w:rsid w:val="002F5DB6"/>
    <w:rsid w:val="002F5E94"/>
    <w:rsid w:val="002F5EEE"/>
    <w:rsid w:val="002F70A2"/>
    <w:rsid w:val="002F71C3"/>
    <w:rsid w:val="002F74DC"/>
    <w:rsid w:val="003000B8"/>
    <w:rsid w:val="0030041A"/>
    <w:rsid w:val="003007F9"/>
    <w:rsid w:val="00300868"/>
    <w:rsid w:val="00300FF0"/>
    <w:rsid w:val="00301CD5"/>
    <w:rsid w:val="00301F6D"/>
    <w:rsid w:val="00302B65"/>
    <w:rsid w:val="003032BB"/>
    <w:rsid w:val="00303637"/>
    <w:rsid w:val="0030381C"/>
    <w:rsid w:val="003039BC"/>
    <w:rsid w:val="003041B3"/>
    <w:rsid w:val="003042D1"/>
    <w:rsid w:val="00304621"/>
    <w:rsid w:val="00304D79"/>
    <w:rsid w:val="00305251"/>
    <w:rsid w:val="00305E15"/>
    <w:rsid w:val="00306B88"/>
    <w:rsid w:val="00306D70"/>
    <w:rsid w:val="00306F52"/>
    <w:rsid w:val="00307416"/>
    <w:rsid w:val="003075A2"/>
    <w:rsid w:val="003106D8"/>
    <w:rsid w:val="003107DB"/>
    <w:rsid w:val="00310D70"/>
    <w:rsid w:val="00311382"/>
    <w:rsid w:val="0031173B"/>
    <w:rsid w:val="00311C98"/>
    <w:rsid w:val="00312918"/>
    <w:rsid w:val="00312A17"/>
    <w:rsid w:val="00313115"/>
    <w:rsid w:val="00313203"/>
    <w:rsid w:val="00313445"/>
    <w:rsid w:val="00313B69"/>
    <w:rsid w:val="00313EC6"/>
    <w:rsid w:val="0031448E"/>
    <w:rsid w:val="00314561"/>
    <w:rsid w:val="00314792"/>
    <w:rsid w:val="003147F9"/>
    <w:rsid w:val="00314FDA"/>
    <w:rsid w:val="00314FE5"/>
    <w:rsid w:val="003152F3"/>
    <w:rsid w:val="0031557A"/>
    <w:rsid w:val="0031558F"/>
    <w:rsid w:val="003163FB"/>
    <w:rsid w:val="003164CE"/>
    <w:rsid w:val="00316673"/>
    <w:rsid w:val="00316D95"/>
    <w:rsid w:val="00317053"/>
    <w:rsid w:val="0031709D"/>
    <w:rsid w:val="0031738D"/>
    <w:rsid w:val="003173A0"/>
    <w:rsid w:val="00320315"/>
    <w:rsid w:val="00320628"/>
    <w:rsid w:val="00320828"/>
    <w:rsid w:val="003209DA"/>
    <w:rsid w:val="00321084"/>
    <w:rsid w:val="00323407"/>
    <w:rsid w:val="003235A0"/>
    <w:rsid w:val="003236FE"/>
    <w:rsid w:val="00323A23"/>
    <w:rsid w:val="00323D2E"/>
    <w:rsid w:val="00324035"/>
    <w:rsid w:val="00324786"/>
    <w:rsid w:val="003248C9"/>
    <w:rsid w:val="00324B2B"/>
    <w:rsid w:val="00324BC4"/>
    <w:rsid w:val="00324F3F"/>
    <w:rsid w:val="00325E2B"/>
    <w:rsid w:val="00325FA8"/>
    <w:rsid w:val="00326CAA"/>
    <w:rsid w:val="00327081"/>
    <w:rsid w:val="00327A24"/>
    <w:rsid w:val="00330F99"/>
    <w:rsid w:val="00331409"/>
    <w:rsid w:val="00331C95"/>
    <w:rsid w:val="00331F7F"/>
    <w:rsid w:val="003326A1"/>
    <w:rsid w:val="0033284C"/>
    <w:rsid w:val="003328E9"/>
    <w:rsid w:val="00332A6C"/>
    <w:rsid w:val="00332FB0"/>
    <w:rsid w:val="003330FA"/>
    <w:rsid w:val="0033344E"/>
    <w:rsid w:val="00333894"/>
    <w:rsid w:val="00333ED4"/>
    <w:rsid w:val="00334BE1"/>
    <w:rsid w:val="00334FA5"/>
    <w:rsid w:val="0033543C"/>
    <w:rsid w:val="003354DC"/>
    <w:rsid w:val="00335893"/>
    <w:rsid w:val="00335B9C"/>
    <w:rsid w:val="00335C5E"/>
    <w:rsid w:val="00335D5A"/>
    <w:rsid w:val="00335F5D"/>
    <w:rsid w:val="0033601D"/>
    <w:rsid w:val="00336A36"/>
    <w:rsid w:val="00337157"/>
    <w:rsid w:val="00337276"/>
    <w:rsid w:val="003374BF"/>
    <w:rsid w:val="0034065B"/>
    <w:rsid w:val="00340C09"/>
    <w:rsid w:val="00340E0B"/>
    <w:rsid w:val="00341293"/>
    <w:rsid w:val="00341F3C"/>
    <w:rsid w:val="003427A8"/>
    <w:rsid w:val="0034298D"/>
    <w:rsid w:val="003431A6"/>
    <w:rsid w:val="003434E9"/>
    <w:rsid w:val="0034405B"/>
    <w:rsid w:val="0034433A"/>
    <w:rsid w:val="00344B70"/>
    <w:rsid w:val="003465F9"/>
    <w:rsid w:val="00346C8C"/>
    <w:rsid w:val="00346EB5"/>
    <w:rsid w:val="0034729E"/>
    <w:rsid w:val="003476E1"/>
    <w:rsid w:val="0035019C"/>
    <w:rsid w:val="00350381"/>
    <w:rsid w:val="00350CA0"/>
    <w:rsid w:val="00350D5D"/>
    <w:rsid w:val="00350DE2"/>
    <w:rsid w:val="003512EA"/>
    <w:rsid w:val="003518BD"/>
    <w:rsid w:val="00351E9F"/>
    <w:rsid w:val="003520FB"/>
    <w:rsid w:val="00352999"/>
    <w:rsid w:val="00352FB7"/>
    <w:rsid w:val="00352FE8"/>
    <w:rsid w:val="003530C5"/>
    <w:rsid w:val="00353EF4"/>
    <w:rsid w:val="0035590B"/>
    <w:rsid w:val="00355F85"/>
    <w:rsid w:val="00355FBB"/>
    <w:rsid w:val="00356304"/>
    <w:rsid w:val="00356954"/>
    <w:rsid w:val="003578D5"/>
    <w:rsid w:val="003578E3"/>
    <w:rsid w:val="00357E0D"/>
    <w:rsid w:val="00360343"/>
    <w:rsid w:val="00362044"/>
    <w:rsid w:val="00362064"/>
    <w:rsid w:val="0036240D"/>
    <w:rsid w:val="003624CB"/>
    <w:rsid w:val="00362C31"/>
    <w:rsid w:val="00362C49"/>
    <w:rsid w:val="003635C5"/>
    <w:rsid w:val="0036361E"/>
    <w:rsid w:val="0036393B"/>
    <w:rsid w:val="00363D2D"/>
    <w:rsid w:val="00363F1F"/>
    <w:rsid w:val="0036413A"/>
    <w:rsid w:val="003645CD"/>
    <w:rsid w:val="00364FA4"/>
    <w:rsid w:val="00365CD4"/>
    <w:rsid w:val="00365EAA"/>
    <w:rsid w:val="00366082"/>
    <w:rsid w:val="00366448"/>
    <w:rsid w:val="0036768A"/>
    <w:rsid w:val="003706B9"/>
    <w:rsid w:val="00370A73"/>
    <w:rsid w:val="00370FFA"/>
    <w:rsid w:val="00371261"/>
    <w:rsid w:val="00372029"/>
    <w:rsid w:val="003725DB"/>
    <w:rsid w:val="00372AF2"/>
    <w:rsid w:val="00372E23"/>
    <w:rsid w:val="003731CA"/>
    <w:rsid w:val="0037352E"/>
    <w:rsid w:val="0037380F"/>
    <w:rsid w:val="00373AB7"/>
    <w:rsid w:val="00373B96"/>
    <w:rsid w:val="003740AD"/>
    <w:rsid w:val="0037484E"/>
    <w:rsid w:val="00374B2A"/>
    <w:rsid w:val="00374E38"/>
    <w:rsid w:val="003754EA"/>
    <w:rsid w:val="003757F0"/>
    <w:rsid w:val="003758BE"/>
    <w:rsid w:val="00376110"/>
    <w:rsid w:val="003763AA"/>
    <w:rsid w:val="00376494"/>
    <w:rsid w:val="003764AC"/>
    <w:rsid w:val="003766DD"/>
    <w:rsid w:val="003771D1"/>
    <w:rsid w:val="003778BF"/>
    <w:rsid w:val="00377F67"/>
    <w:rsid w:val="00380221"/>
    <w:rsid w:val="00380FB5"/>
    <w:rsid w:val="00381706"/>
    <w:rsid w:val="003822FE"/>
    <w:rsid w:val="00382AB7"/>
    <w:rsid w:val="00382DB4"/>
    <w:rsid w:val="00383532"/>
    <w:rsid w:val="00384D3D"/>
    <w:rsid w:val="00384FFF"/>
    <w:rsid w:val="003852E3"/>
    <w:rsid w:val="00385D2B"/>
    <w:rsid w:val="0038604A"/>
    <w:rsid w:val="003862F8"/>
    <w:rsid w:val="0038661C"/>
    <w:rsid w:val="0038725C"/>
    <w:rsid w:val="00387510"/>
    <w:rsid w:val="00387F73"/>
    <w:rsid w:val="00390967"/>
    <w:rsid w:val="00390F86"/>
    <w:rsid w:val="00391637"/>
    <w:rsid w:val="0039186C"/>
    <w:rsid w:val="00391A53"/>
    <w:rsid w:val="003929DA"/>
    <w:rsid w:val="00392C08"/>
    <w:rsid w:val="00393811"/>
    <w:rsid w:val="00393C98"/>
    <w:rsid w:val="00393EDC"/>
    <w:rsid w:val="00394AA6"/>
    <w:rsid w:val="0039510F"/>
    <w:rsid w:val="003951C7"/>
    <w:rsid w:val="00395C5B"/>
    <w:rsid w:val="00395F44"/>
    <w:rsid w:val="003960F4"/>
    <w:rsid w:val="003961AA"/>
    <w:rsid w:val="0039634F"/>
    <w:rsid w:val="00396704"/>
    <w:rsid w:val="00396803"/>
    <w:rsid w:val="00396EC8"/>
    <w:rsid w:val="003977D2"/>
    <w:rsid w:val="0039792F"/>
    <w:rsid w:val="003A0DFD"/>
    <w:rsid w:val="003A1606"/>
    <w:rsid w:val="003A1A9D"/>
    <w:rsid w:val="003A1BAD"/>
    <w:rsid w:val="003A27EB"/>
    <w:rsid w:val="003A29BE"/>
    <w:rsid w:val="003A2B89"/>
    <w:rsid w:val="003A2BEB"/>
    <w:rsid w:val="003A349A"/>
    <w:rsid w:val="003A3969"/>
    <w:rsid w:val="003A3DDE"/>
    <w:rsid w:val="003A4056"/>
    <w:rsid w:val="003A41D5"/>
    <w:rsid w:val="003A4BDE"/>
    <w:rsid w:val="003A5371"/>
    <w:rsid w:val="003A767F"/>
    <w:rsid w:val="003A76AA"/>
    <w:rsid w:val="003A7FE2"/>
    <w:rsid w:val="003B002C"/>
    <w:rsid w:val="003B0994"/>
    <w:rsid w:val="003B09F1"/>
    <w:rsid w:val="003B227F"/>
    <w:rsid w:val="003B2445"/>
    <w:rsid w:val="003B24DA"/>
    <w:rsid w:val="003B2C09"/>
    <w:rsid w:val="003B37A9"/>
    <w:rsid w:val="003B3BA1"/>
    <w:rsid w:val="003B4894"/>
    <w:rsid w:val="003B4994"/>
    <w:rsid w:val="003B5327"/>
    <w:rsid w:val="003B577A"/>
    <w:rsid w:val="003B57EC"/>
    <w:rsid w:val="003B5E05"/>
    <w:rsid w:val="003B6221"/>
    <w:rsid w:val="003B7361"/>
    <w:rsid w:val="003B76BD"/>
    <w:rsid w:val="003B771D"/>
    <w:rsid w:val="003B7852"/>
    <w:rsid w:val="003B797D"/>
    <w:rsid w:val="003C0152"/>
    <w:rsid w:val="003C034B"/>
    <w:rsid w:val="003C03C9"/>
    <w:rsid w:val="003C06D6"/>
    <w:rsid w:val="003C0D33"/>
    <w:rsid w:val="003C0EF3"/>
    <w:rsid w:val="003C1897"/>
    <w:rsid w:val="003C18BB"/>
    <w:rsid w:val="003C1B25"/>
    <w:rsid w:val="003C1B36"/>
    <w:rsid w:val="003C1C59"/>
    <w:rsid w:val="003C2208"/>
    <w:rsid w:val="003C2DDA"/>
    <w:rsid w:val="003C2EF1"/>
    <w:rsid w:val="003C3612"/>
    <w:rsid w:val="003C3B11"/>
    <w:rsid w:val="003C3C30"/>
    <w:rsid w:val="003C5A86"/>
    <w:rsid w:val="003C5AF6"/>
    <w:rsid w:val="003C5ED8"/>
    <w:rsid w:val="003C72AA"/>
    <w:rsid w:val="003C72B4"/>
    <w:rsid w:val="003C72E1"/>
    <w:rsid w:val="003C7893"/>
    <w:rsid w:val="003C7D91"/>
    <w:rsid w:val="003C7E07"/>
    <w:rsid w:val="003D05C6"/>
    <w:rsid w:val="003D088C"/>
    <w:rsid w:val="003D097D"/>
    <w:rsid w:val="003D1D09"/>
    <w:rsid w:val="003D1FAD"/>
    <w:rsid w:val="003D2AFB"/>
    <w:rsid w:val="003D2B7E"/>
    <w:rsid w:val="003D3202"/>
    <w:rsid w:val="003D36BF"/>
    <w:rsid w:val="003D3DD0"/>
    <w:rsid w:val="003D40AE"/>
    <w:rsid w:val="003D40C5"/>
    <w:rsid w:val="003D4451"/>
    <w:rsid w:val="003D4D4C"/>
    <w:rsid w:val="003D54FC"/>
    <w:rsid w:val="003D5CED"/>
    <w:rsid w:val="003D67C9"/>
    <w:rsid w:val="003D6C51"/>
    <w:rsid w:val="003D73E2"/>
    <w:rsid w:val="003D761A"/>
    <w:rsid w:val="003D787F"/>
    <w:rsid w:val="003E01A1"/>
    <w:rsid w:val="003E0668"/>
    <w:rsid w:val="003E06BC"/>
    <w:rsid w:val="003E105B"/>
    <w:rsid w:val="003E11E2"/>
    <w:rsid w:val="003E15E4"/>
    <w:rsid w:val="003E17DF"/>
    <w:rsid w:val="003E1D69"/>
    <w:rsid w:val="003E2CD4"/>
    <w:rsid w:val="003E2D6E"/>
    <w:rsid w:val="003E3906"/>
    <w:rsid w:val="003E3C05"/>
    <w:rsid w:val="003E3F97"/>
    <w:rsid w:val="003E4348"/>
    <w:rsid w:val="003E455A"/>
    <w:rsid w:val="003E46F5"/>
    <w:rsid w:val="003E4B12"/>
    <w:rsid w:val="003E4DC2"/>
    <w:rsid w:val="003E4DCB"/>
    <w:rsid w:val="003E4FA3"/>
    <w:rsid w:val="003E511B"/>
    <w:rsid w:val="003E5217"/>
    <w:rsid w:val="003E535C"/>
    <w:rsid w:val="003E59BC"/>
    <w:rsid w:val="003E59C0"/>
    <w:rsid w:val="003E5C43"/>
    <w:rsid w:val="003E6222"/>
    <w:rsid w:val="003E6F48"/>
    <w:rsid w:val="003E7D97"/>
    <w:rsid w:val="003F027C"/>
    <w:rsid w:val="003F0297"/>
    <w:rsid w:val="003F05F7"/>
    <w:rsid w:val="003F116F"/>
    <w:rsid w:val="003F1CC9"/>
    <w:rsid w:val="003F2BC7"/>
    <w:rsid w:val="003F3109"/>
    <w:rsid w:val="003F32DA"/>
    <w:rsid w:val="003F39E4"/>
    <w:rsid w:val="003F3C6E"/>
    <w:rsid w:val="003F4609"/>
    <w:rsid w:val="003F4B2E"/>
    <w:rsid w:val="003F4B32"/>
    <w:rsid w:val="003F5C98"/>
    <w:rsid w:val="003F61B4"/>
    <w:rsid w:val="003F6222"/>
    <w:rsid w:val="003F7016"/>
    <w:rsid w:val="003F75A1"/>
    <w:rsid w:val="003F7F85"/>
    <w:rsid w:val="00400277"/>
    <w:rsid w:val="00400429"/>
    <w:rsid w:val="00400469"/>
    <w:rsid w:val="0040046E"/>
    <w:rsid w:val="00400BE1"/>
    <w:rsid w:val="00401111"/>
    <w:rsid w:val="004011A2"/>
    <w:rsid w:val="00401B04"/>
    <w:rsid w:val="00401D0E"/>
    <w:rsid w:val="00402766"/>
    <w:rsid w:val="00403287"/>
    <w:rsid w:val="00403411"/>
    <w:rsid w:val="00403906"/>
    <w:rsid w:val="00403D61"/>
    <w:rsid w:val="00403E66"/>
    <w:rsid w:val="00403EA8"/>
    <w:rsid w:val="00406120"/>
    <w:rsid w:val="00406262"/>
    <w:rsid w:val="00406392"/>
    <w:rsid w:val="0040684F"/>
    <w:rsid w:val="004068A4"/>
    <w:rsid w:val="0040697D"/>
    <w:rsid w:val="00406E31"/>
    <w:rsid w:val="004071E6"/>
    <w:rsid w:val="004071FC"/>
    <w:rsid w:val="0040776B"/>
    <w:rsid w:val="004079AC"/>
    <w:rsid w:val="00407CC9"/>
    <w:rsid w:val="00407F6A"/>
    <w:rsid w:val="004102D1"/>
    <w:rsid w:val="004117B6"/>
    <w:rsid w:val="00411AD5"/>
    <w:rsid w:val="00411F94"/>
    <w:rsid w:val="00411FAB"/>
    <w:rsid w:val="00412104"/>
    <w:rsid w:val="0041276E"/>
    <w:rsid w:val="00412CDE"/>
    <w:rsid w:val="00413019"/>
    <w:rsid w:val="00413CCD"/>
    <w:rsid w:val="00414A0B"/>
    <w:rsid w:val="00414DD9"/>
    <w:rsid w:val="0041518C"/>
    <w:rsid w:val="00415466"/>
    <w:rsid w:val="00415C5F"/>
    <w:rsid w:val="00415FDC"/>
    <w:rsid w:val="004168A9"/>
    <w:rsid w:val="004169B8"/>
    <w:rsid w:val="00416C45"/>
    <w:rsid w:val="00417B88"/>
    <w:rsid w:val="00417EA6"/>
    <w:rsid w:val="004204DD"/>
    <w:rsid w:val="004204E7"/>
    <w:rsid w:val="00421225"/>
    <w:rsid w:val="004216F3"/>
    <w:rsid w:val="0042304C"/>
    <w:rsid w:val="00423073"/>
    <w:rsid w:val="00423697"/>
    <w:rsid w:val="00423926"/>
    <w:rsid w:val="004244FF"/>
    <w:rsid w:val="004249E9"/>
    <w:rsid w:val="00424C2D"/>
    <w:rsid w:val="0042503C"/>
    <w:rsid w:val="00425153"/>
    <w:rsid w:val="0042573D"/>
    <w:rsid w:val="00425771"/>
    <w:rsid w:val="00425917"/>
    <w:rsid w:val="00426263"/>
    <w:rsid w:val="00426493"/>
    <w:rsid w:val="004268D0"/>
    <w:rsid w:val="0042698A"/>
    <w:rsid w:val="00426C75"/>
    <w:rsid w:val="00426F56"/>
    <w:rsid w:val="00427360"/>
    <w:rsid w:val="00427BAB"/>
    <w:rsid w:val="00427E5F"/>
    <w:rsid w:val="00427F07"/>
    <w:rsid w:val="0043048F"/>
    <w:rsid w:val="004306A0"/>
    <w:rsid w:val="004307D5"/>
    <w:rsid w:val="00430F3A"/>
    <w:rsid w:val="00431549"/>
    <w:rsid w:val="004317A2"/>
    <w:rsid w:val="00431E48"/>
    <w:rsid w:val="00431EFA"/>
    <w:rsid w:val="004323BB"/>
    <w:rsid w:val="004328A6"/>
    <w:rsid w:val="00433280"/>
    <w:rsid w:val="00433BAA"/>
    <w:rsid w:val="00434319"/>
    <w:rsid w:val="0043467B"/>
    <w:rsid w:val="00434A81"/>
    <w:rsid w:val="00434F30"/>
    <w:rsid w:val="00436565"/>
    <w:rsid w:val="00436E67"/>
    <w:rsid w:val="004371B6"/>
    <w:rsid w:val="0043739B"/>
    <w:rsid w:val="00437AF9"/>
    <w:rsid w:val="00440768"/>
    <w:rsid w:val="00441393"/>
    <w:rsid w:val="00442625"/>
    <w:rsid w:val="00442A79"/>
    <w:rsid w:val="00442F8B"/>
    <w:rsid w:val="00442F8E"/>
    <w:rsid w:val="00443432"/>
    <w:rsid w:val="00443986"/>
    <w:rsid w:val="00443B5A"/>
    <w:rsid w:val="00444A74"/>
    <w:rsid w:val="00444C4D"/>
    <w:rsid w:val="00444CC6"/>
    <w:rsid w:val="00445015"/>
    <w:rsid w:val="004450B0"/>
    <w:rsid w:val="00445755"/>
    <w:rsid w:val="0044580A"/>
    <w:rsid w:val="004458D5"/>
    <w:rsid w:val="00445AE6"/>
    <w:rsid w:val="00445D3C"/>
    <w:rsid w:val="00445FDD"/>
    <w:rsid w:val="0044634C"/>
    <w:rsid w:val="00446432"/>
    <w:rsid w:val="004464BC"/>
    <w:rsid w:val="00446566"/>
    <w:rsid w:val="00447140"/>
    <w:rsid w:val="004474CE"/>
    <w:rsid w:val="004474FC"/>
    <w:rsid w:val="0044755B"/>
    <w:rsid w:val="004475A7"/>
    <w:rsid w:val="00447980"/>
    <w:rsid w:val="00447FAC"/>
    <w:rsid w:val="0045023E"/>
    <w:rsid w:val="0045061B"/>
    <w:rsid w:val="004508A5"/>
    <w:rsid w:val="00450AC8"/>
    <w:rsid w:val="00450C0C"/>
    <w:rsid w:val="004512B3"/>
    <w:rsid w:val="004512C6"/>
    <w:rsid w:val="0045157F"/>
    <w:rsid w:val="0045218F"/>
    <w:rsid w:val="00452283"/>
    <w:rsid w:val="004524C6"/>
    <w:rsid w:val="004526B5"/>
    <w:rsid w:val="00452C6D"/>
    <w:rsid w:val="004535B2"/>
    <w:rsid w:val="004540E8"/>
    <w:rsid w:val="0045488C"/>
    <w:rsid w:val="004548F5"/>
    <w:rsid w:val="00454D8F"/>
    <w:rsid w:val="00454E0D"/>
    <w:rsid w:val="0045549B"/>
    <w:rsid w:val="004557BD"/>
    <w:rsid w:val="0045596E"/>
    <w:rsid w:val="00455D11"/>
    <w:rsid w:val="00455ED0"/>
    <w:rsid w:val="00456434"/>
    <w:rsid w:val="0045688B"/>
    <w:rsid w:val="004570E0"/>
    <w:rsid w:val="004572C1"/>
    <w:rsid w:val="0045732D"/>
    <w:rsid w:val="00457843"/>
    <w:rsid w:val="0046087E"/>
    <w:rsid w:val="004615D7"/>
    <w:rsid w:val="004618F2"/>
    <w:rsid w:val="0046269F"/>
    <w:rsid w:val="00462765"/>
    <w:rsid w:val="00462775"/>
    <w:rsid w:val="00462BB3"/>
    <w:rsid w:val="00462CA0"/>
    <w:rsid w:val="00462D52"/>
    <w:rsid w:val="00463231"/>
    <w:rsid w:val="00463D12"/>
    <w:rsid w:val="00464DB7"/>
    <w:rsid w:val="00465185"/>
    <w:rsid w:val="0046537B"/>
    <w:rsid w:val="0046538D"/>
    <w:rsid w:val="00465D56"/>
    <w:rsid w:val="00466794"/>
    <w:rsid w:val="00466D89"/>
    <w:rsid w:val="00467104"/>
    <w:rsid w:val="0046724E"/>
    <w:rsid w:val="00470220"/>
    <w:rsid w:val="004704F5"/>
    <w:rsid w:val="004712F5"/>
    <w:rsid w:val="00471556"/>
    <w:rsid w:val="00471848"/>
    <w:rsid w:val="00471A5E"/>
    <w:rsid w:val="00471C23"/>
    <w:rsid w:val="00472461"/>
    <w:rsid w:val="00472843"/>
    <w:rsid w:val="004735CD"/>
    <w:rsid w:val="00473D0C"/>
    <w:rsid w:val="00473FD3"/>
    <w:rsid w:val="004744E9"/>
    <w:rsid w:val="00474C18"/>
    <w:rsid w:val="00474F43"/>
    <w:rsid w:val="0047598D"/>
    <w:rsid w:val="00476590"/>
    <w:rsid w:val="00476AD4"/>
    <w:rsid w:val="00476CD5"/>
    <w:rsid w:val="00477150"/>
    <w:rsid w:val="00477502"/>
    <w:rsid w:val="004777B6"/>
    <w:rsid w:val="00477E9B"/>
    <w:rsid w:val="004801C7"/>
    <w:rsid w:val="00480F3E"/>
    <w:rsid w:val="00481666"/>
    <w:rsid w:val="004825F5"/>
    <w:rsid w:val="0048387C"/>
    <w:rsid w:val="0048472D"/>
    <w:rsid w:val="0048496B"/>
    <w:rsid w:val="00484A39"/>
    <w:rsid w:val="00484CDC"/>
    <w:rsid w:val="00485261"/>
    <w:rsid w:val="00485336"/>
    <w:rsid w:val="004855D6"/>
    <w:rsid w:val="004856A6"/>
    <w:rsid w:val="00485726"/>
    <w:rsid w:val="00485864"/>
    <w:rsid w:val="00485C25"/>
    <w:rsid w:val="00485CDB"/>
    <w:rsid w:val="0048659E"/>
    <w:rsid w:val="0048739C"/>
    <w:rsid w:val="0049095B"/>
    <w:rsid w:val="00490D10"/>
    <w:rsid w:val="004910BA"/>
    <w:rsid w:val="004913DA"/>
    <w:rsid w:val="00491B85"/>
    <w:rsid w:val="00492251"/>
    <w:rsid w:val="004922DC"/>
    <w:rsid w:val="0049254F"/>
    <w:rsid w:val="00492872"/>
    <w:rsid w:val="00492AE4"/>
    <w:rsid w:val="00492CE6"/>
    <w:rsid w:val="004934E4"/>
    <w:rsid w:val="00493748"/>
    <w:rsid w:val="00493AC0"/>
    <w:rsid w:val="0049449E"/>
    <w:rsid w:val="004948C4"/>
    <w:rsid w:val="00494ED0"/>
    <w:rsid w:val="004953B3"/>
    <w:rsid w:val="004955A9"/>
    <w:rsid w:val="004956D1"/>
    <w:rsid w:val="00495F78"/>
    <w:rsid w:val="0049714F"/>
    <w:rsid w:val="004972D8"/>
    <w:rsid w:val="004976C2"/>
    <w:rsid w:val="00497AAB"/>
    <w:rsid w:val="00497D52"/>
    <w:rsid w:val="00497F98"/>
    <w:rsid w:val="00497FE4"/>
    <w:rsid w:val="004A0017"/>
    <w:rsid w:val="004A0061"/>
    <w:rsid w:val="004A0451"/>
    <w:rsid w:val="004A0490"/>
    <w:rsid w:val="004A059D"/>
    <w:rsid w:val="004A082B"/>
    <w:rsid w:val="004A083A"/>
    <w:rsid w:val="004A09F8"/>
    <w:rsid w:val="004A0F09"/>
    <w:rsid w:val="004A149B"/>
    <w:rsid w:val="004A1F1F"/>
    <w:rsid w:val="004A2038"/>
    <w:rsid w:val="004A20E5"/>
    <w:rsid w:val="004A26FB"/>
    <w:rsid w:val="004A2E2E"/>
    <w:rsid w:val="004A2FF1"/>
    <w:rsid w:val="004A30FB"/>
    <w:rsid w:val="004A34EE"/>
    <w:rsid w:val="004A36BF"/>
    <w:rsid w:val="004A3B68"/>
    <w:rsid w:val="004A4ABA"/>
    <w:rsid w:val="004A4CE5"/>
    <w:rsid w:val="004A5282"/>
    <w:rsid w:val="004A5361"/>
    <w:rsid w:val="004A588E"/>
    <w:rsid w:val="004A5F83"/>
    <w:rsid w:val="004A656B"/>
    <w:rsid w:val="004A6B4A"/>
    <w:rsid w:val="004A7114"/>
    <w:rsid w:val="004A73AB"/>
    <w:rsid w:val="004A740D"/>
    <w:rsid w:val="004A7DE1"/>
    <w:rsid w:val="004B0155"/>
    <w:rsid w:val="004B025A"/>
    <w:rsid w:val="004B0376"/>
    <w:rsid w:val="004B0918"/>
    <w:rsid w:val="004B1452"/>
    <w:rsid w:val="004B1F49"/>
    <w:rsid w:val="004B23AC"/>
    <w:rsid w:val="004B25C4"/>
    <w:rsid w:val="004B283E"/>
    <w:rsid w:val="004B2F1B"/>
    <w:rsid w:val="004B31DD"/>
    <w:rsid w:val="004B3817"/>
    <w:rsid w:val="004B3917"/>
    <w:rsid w:val="004B3A24"/>
    <w:rsid w:val="004B3C57"/>
    <w:rsid w:val="004B430D"/>
    <w:rsid w:val="004B551B"/>
    <w:rsid w:val="004B57AE"/>
    <w:rsid w:val="004B5C8B"/>
    <w:rsid w:val="004B6418"/>
    <w:rsid w:val="004B6B1C"/>
    <w:rsid w:val="004B7059"/>
    <w:rsid w:val="004B7417"/>
    <w:rsid w:val="004B7668"/>
    <w:rsid w:val="004B785A"/>
    <w:rsid w:val="004B7BF7"/>
    <w:rsid w:val="004B7EB4"/>
    <w:rsid w:val="004C10D3"/>
    <w:rsid w:val="004C2121"/>
    <w:rsid w:val="004C241A"/>
    <w:rsid w:val="004C29A2"/>
    <w:rsid w:val="004C2B7F"/>
    <w:rsid w:val="004C2F64"/>
    <w:rsid w:val="004C395A"/>
    <w:rsid w:val="004C3B7E"/>
    <w:rsid w:val="004C3F06"/>
    <w:rsid w:val="004C3FAF"/>
    <w:rsid w:val="004C41A8"/>
    <w:rsid w:val="004C428E"/>
    <w:rsid w:val="004C444A"/>
    <w:rsid w:val="004C4E3C"/>
    <w:rsid w:val="004C5696"/>
    <w:rsid w:val="004C5A1A"/>
    <w:rsid w:val="004C5FD3"/>
    <w:rsid w:val="004C6030"/>
    <w:rsid w:val="004C6D86"/>
    <w:rsid w:val="004C75CB"/>
    <w:rsid w:val="004D0A71"/>
    <w:rsid w:val="004D0C4D"/>
    <w:rsid w:val="004D0ECF"/>
    <w:rsid w:val="004D126E"/>
    <w:rsid w:val="004D14D0"/>
    <w:rsid w:val="004D14FB"/>
    <w:rsid w:val="004D1B30"/>
    <w:rsid w:val="004D2B47"/>
    <w:rsid w:val="004D2C23"/>
    <w:rsid w:val="004D34D9"/>
    <w:rsid w:val="004D36CB"/>
    <w:rsid w:val="004D3B13"/>
    <w:rsid w:val="004D3D05"/>
    <w:rsid w:val="004D43D4"/>
    <w:rsid w:val="004D4EB5"/>
    <w:rsid w:val="004D4FFC"/>
    <w:rsid w:val="004D5732"/>
    <w:rsid w:val="004D5D68"/>
    <w:rsid w:val="004D5F47"/>
    <w:rsid w:val="004D651A"/>
    <w:rsid w:val="004D6E47"/>
    <w:rsid w:val="004D7D79"/>
    <w:rsid w:val="004D7FB1"/>
    <w:rsid w:val="004E0139"/>
    <w:rsid w:val="004E0293"/>
    <w:rsid w:val="004E082A"/>
    <w:rsid w:val="004E215D"/>
    <w:rsid w:val="004E2827"/>
    <w:rsid w:val="004E2FA7"/>
    <w:rsid w:val="004E36A6"/>
    <w:rsid w:val="004E36E3"/>
    <w:rsid w:val="004E3E6D"/>
    <w:rsid w:val="004E4825"/>
    <w:rsid w:val="004E495C"/>
    <w:rsid w:val="004E5785"/>
    <w:rsid w:val="004E5C22"/>
    <w:rsid w:val="004E5D20"/>
    <w:rsid w:val="004E5FC7"/>
    <w:rsid w:val="004E6BC6"/>
    <w:rsid w:val="004E712E"/>
    <w:rsid w:val="004E7267"/>
    <w:rsid w:val="004E72AC"/>
    <w:rsid w:val="004E76C4"/>
    <w:rsid w:val="004E7701"/>
    <w:rsid w:val="004E7F33"/>
    <w:rsid w:val="004F0236"/>
    <w:rsid w:val="004F0392"/>
    <w:rsid w:val="004F0653"/>
    <w:rsid w:val="004F0BD7"/>
    <w:rsid w:val="004F1586"/>
    <w:rsid w:val="004F18F1"/>
    <w:rsid w:val="004F1C6A"/>
    <w:rsid w:val="004F2280"/>
    <w:rsid w:val="004F283B"/>
    <w:rsid w:val="004F2C1A"/>
    <w:rsid w:val="004F3304"/>
    <w:rsid w:val="004F3418"/>
    <w:rsid w:val="004F3C2B"/>
    <w:rsid w:val="004F41C8"/>
    <w:rsid w:val="004F53B9"/>
    <w:rsid w:val="004F5B9F"/>
    <w:rsid w:val="004F5C32"/>
    <w:rsid w:val="004F5D6A"/>
    <w:rsid w:val="004F5FA3"/>
    <w:rsid w:val="004F6358"/>
    <w:rsid w:val="004F69A9"/>
    <w:rsid w:val="004F74AA"/>
    <w:rsid w:val="004F7DDF"/>
    <w:rsid w:val="00500B8A"/>
    <w:rsid w:val="00500D4D"/>
    <w:rsid w:val="00500FC7"/>
    <w:rsid w:val="00501489"/>
    <w:rsid w:val="005014AB"/>
    <w:rsid w:val="00501E3B"/>
    <w:rsid w:val="00501FD5"/>
    <w:rsid w:val="00502DD4"/>
    <w:rsid w:val="00502F54"/>
    <w:rsid w:val="00503965"/>
    <w:rsid w:val="00503A9F"/>
    <w:rsid w:val="00504436"/>
    <w:rsid w:val="00504996"/>
    <w:rsid w:val="00504B94"/>
    <w:rsid w:val="005052F6"/>
    <w:rsid w:val="00505564"/>
    <w:rsid w:val="0050600C"/>
    <w:rsid w:val="005060B9"/>
    <w:rsid w:val="005060D2"/>
    <w:rsid w:val="00507088"/>
    <w:rsid w:val="005074D0"/>
    <w:rsid w:val="00510D1A"/>
    <w:rsid w:val="00510D5B"/>
    <w:rsid w:val="00510DB2"/>
    <w:rsid w:val="0051105D"/>
    <w:rsid w:val="00511182"/>
    <w:rsid w:val="00511D0E"/>
    <w:rsid w:val="00511D54"/>
    <w:rsid w:val="00511D8C"/>
    <w:rsid w:val="0051216B"/>
    <w:rsid w:val="0051289A"/>
    <w:rsid w:val="00512AA1"/>
    <w:rsid w:val="00512CD9"/>
    <w:rsid w:val="00513647"/>
    <w:rsid w:val="0051365E"/>
    <w:rsid w:val="00514DAE"/>
    <w:rsid w:val="00514FC2"/>
    <w:rsid w:val="0051619E"/>
    <w:rsid w:val="00516432"/>
    <w:rsid w:val="00516B9C"/>
    <w:rsid w:val="00516F19"/>
    <w:rsid w:val="00516F2B"/>
    <w:rsid w:val="0051730B"/>
    <w:rsid w:val="0051773D"/>
    <w:rsid w:val="00517E62"/>
    <w:rsid w:val="00520009"/>
    <w:rsid w:val="0052022D"/>
    <w:rsid w:val="00520314"/>
    <w:rsid w:val="0052037A"/>
    <w:rsid w:val="005210BC"/>
    <w:rsid w:val="005211EE"/>
    <w:rsid w:val="005217C6"/>
    <w:rsid w:val="00522555"/>
    <w:rsid w:val="00522F08"/>
    <w:rsid w:val="0052354A"/>
    <w:rsid w:val="00523966"/>
    <w:rsid w:val="00523BD8"/>
    <w:rsid w:val="00523E1E"/>
    <w:rsid w:val="00524041"/>
    <w:rsid w:val="005247A1"/>
    <w:rsid w:val="00524FAD"/>
    <w:rsid w:val="00525750"/>
    <w:rsid w:val="00526C08"/>
    <w:rsid w:val="00526DD0"/>
    <w:rsid w:val="00527421"/>
    <w:rsid w:val="0052768B"/>
    <w:rsid w:val="005277D1"/>
    <w:rsid w:val="00527D51"/>
    <w:rsid w:val="00530F17"/>
    <w:rsid w:val="0053117D"/>
    <w:rsid w:val="005312DA"/>
    <w:rsid w:val="00531373"/>
    <w:rsid w:val="00531652"/>
    <w:rsid w:val="00531CD0"/>
    <w:rsid w:val="00532A6D"/>
    <w:rsid w:val="00532D8C"/>
    <w:rsid w:val="00532DDC"/>
    <w:rsid w:val="00532F4C"/>
    <w:rsid w:val="0053312D"/>
    <w:rsid w:val="00533389"/>
    <w:rsid w:val="005340BF"/>
    <w:rsid w:val="0053506E"/>
    <w:rsid w:val="0053574B"/>
    <w:rsid w:val="005359E3"/>
    <w:rsid w:val="00535B6D"/>
    <w:rsid w:val="00535FE2"/>
    <w:rsid w:val="0053685E"/>
    <w:rsid w:val="0053759A"/>
    <w:rsid w:val="005376DD"/>
    <w:rsid w:val="0053794B"/>
    <w:rsid w:val="005405DC"/>
    <w:rsid w:val="00540A3F"/>
    <w:rsid w:val="00540B28"/>
    <w:rsid w:val="00541281"/>
    <w:rsid w:val="005412BC"/>
    <w:rsid w:val="00541492"/>
    <w:rsid w:val="005416B5"/>
    <w:rsid w:val="00541D7B"/>
    <w:rsid w:val="00541DC9"/>
    <w:rsid w:val="0054210C"/>
    <w:rsid w:val="00542127"/>
    <w:rsid w:val="0054232A"/>
    <w:rsid w:val="005428E5"/>
    <w:rsid w:val="00542938"/>
    <w:rsid w:val="00542BB6"/>
    <w:rsid w:val="00542D0E"/>
    <w:rsid w:val="00543470"/>
    <w:rsid w:val="0054349F"/>
    <w:rsid w:val="00543603"/>
    <w:rsid w:val="00544BCE"/>
    <w:rsid w:val="00545054"/>
    <w:rsid w:val="005453FA"/>
    <w:rsid w:val="0054549B"/>
    <w:rsid w:val="00545597"/>
    <w:rsid w:val="00545713"/>
    <w:rsid w:val="0054585E"/>
    <w:rsid w:val="00545BD9"/>
    <w:rsid w:val="00545E6E"/>
    <w:rsid w:val="00546039"/>
    <w:rsid w:val="0054657D"/>
    <w:rsid w:val="00546BA8"/>
    <w:rsid w:val="00547483"/>
    <w:rsid w:val="005474F1"/>
    <w:rsid w:val="005475A8"/>
    <w:rsid w:val="00547B72"/>
    <w:rsid w:val="00550060"/>
    <w:rsid w:val="00551048"/>
    <w:rsid w:val="0055173E"/>
    <w:rsid w:val="00551BAB"/>
    <w:rsid w:val="0055209D"/>
    <w:rsid w:val="005528E8"/>
    <w:rsid w:val="00552DD3"/>
    <w:rsid w:val="00552FB0"/>
    <w:rsid w:val="00553123"/>
    <w:rsid w:val="00553A43"/>
    <w:rsid w:val="00553A54"/>
    <w:rsid w:val="00553ABB"/>
    <w:rsid w:val="00553ED1"/>
    <w:rsid w:val="00554EC4"/>
    <w:rsid w:val="0055527B"/>
    <w:rsid w:val="00555BFA"/>
    <w:rsid w:val="00555D3C"/>
    <w:rsid w:val="00555F02"/>
    <w:rsid w:val="00556133"/>
    <w:rsid w:val="00556FF7"/>
    <w:rsid w:val="00557003"/>
    <w:rsid w:val="0055730E"/>
    <w:rsid w:val="005579F5"/>
    <w:rsid w:val="00557EE3"/>
    <w:rsid w:val="00560971"/>
    <w:rsid w:val="00560AAA"/>
    <w:rsid w:val="00560D0A"/>
    <w:rsid w:val="005613E0"/>
    <w:rsid w:val="00561632"/>
    <w:rsid w:val="00561946"/>
    <w:rsid w:val="005620F1"/>
    <w:rsid w:val="0056286F"/>
    <w:rsid w:val="00562F35"/>
    <w:rsid w:val="005631EB"/>
    <w:rsid w:val="00563298"/>
    <w:rsid w:val="00563600"/>
    <w:rsid w:val="005648AE"/>
    <w:rsid w:val="00564CB2"/>
    <w:rsid w:val="00564FA7"/>
    <w:rsid w:val="0056529B"/>
    <w:rsid w:val="005661D5"/>
    <w:rsid w:val="005664F1"/>
    <w:rsid w:val="00566600"/>
    <w:rsid w:val="00566880"/>
    <w:rsid w:val="00566D51"/>
    <w:rsid w:val="00566DF9"/>
    <w:rsid w:val="00566E1C"/>
    <w:rsid w:val="00566FF3"/>
    <w:rsid w:val="005670B5"/>
    <w:rsid w:val="0056775D"/>
    <w:rsid w:val="0057024D"/>
    <w:rsid w:val="0057050A"/>
    <w:rsid w:val="005709D8"/>
    <w:rsid w:val="00570C81"/>
    <w:rsid w:val="00571DDA"/>
    <w:rsid w:val="00571EAC"/>
    <w:rsid w:val="00571F46"/>
    <w:rsid w:val="00573298"/>
    <w:rsid w:val="0057335C"/>
    <w:rsid w:val="00573C25"/>
    <w:rsid w:val="00575652"/>
    <w:rsid w:val="005760E2"/>
    <w:rsid w:val="005764BE"/>
    <w:rsid w:val="00576515"/>
    <w:rsid w:val="00576717"/>
    <w:rsid w:val="00576959"/>
    <w:rsid w:val="00576B5F"/>
    <w:rsid w:val="00577E4D"/>
    <w:rsid w:val="00580529"/>
    <w:rsid w:val="0058089D"/>
    <w:rsid w:val="00580FE5"/>
    <w:rsid w:val="00581583"/>
    <w:rsid w:val="00581952"/>
    <w:rsid w:val="00581B93"/>
    <w:rsid w:val="00581D91"/>
    <w:rsid w:val="00582231"/>
    <w:rsid w:val="0058279C"/>
    <w:rsid w:val="00582A59"/>
    <w:rsid w:val="00583952"/>
    <w:rsid w:val="00584684"/>
    <w:rsid w:val="005849DD"/>
    <w:rsid w:val="00585279"/>
    <w:rsid w:val="00585987"/>
    <w:rsid w:val="0058621D"/>
    <w:rsid w:val="00586266"/>
    <w:rsid w:val="00586312"/>
    <w:rsid w:val="005863A2"/>
    <w:rsid w:val="0058653D"/>
    <w:rsid w:val="00586585"/>
    <w:rsid w:val="005869DF"/>
    <w:rsid w:val="00586D6B"/>
    <w:rsid w:val="00587C19"/>
    <w:rsid w:val="00590257"/>
    <w:rsid w:val="0059026C"/>
    <w:rsid w:val="00590B0A"/>
    <w:rsid w:val="00590C18"/>
    <w:rsid w:val="00590E82"/>
    <w:rsid w:val="00591A7B"/>
    <w:rsid w:val="00591BAC"/>
    <w:rsid w:val="00591FC7"/>
    <w:rsid w:val="0059271E"/>
    <w:rsid w:val="00592729"/>
    <w:rsid w:val="00592799"/>
    <w:rsid w:val="00592F79"/>
    <w:rsid w:val="005930C3"/>
    <w:rsid w:val="00593618"/>
    <w:rsid w:val="00593DBA"/>
    <w:rsid w:val="005947B4"/>
    <w:rsid w:val="005948BD"/>
    <w:rsid w:val="00594F32"/>
    <w:rsid w:val="00594F92"/>
    <w:rsid w:val="0059524A"/>
    <w:rsid w:val="0059592B"/>
    <w:rsid w:val="00595BB4"/>
    <w:rsid w:val="00596112"/>
    <w:rsid w:val="0059619F"/>
    <w:rsid w:val="00596961"/>
    <w:rsid w:val="005972E4"/>
    <w:rsid w:val="00597542"/>
    <w:rsid w:val="005A0886"/>
    <w:rsid w:val="005A0C4F"/>
    <w:rsid w:val="005A11FC"/>
    <w:rsid w:val="005A1343"/>
    <w:rsid w:val="005A14EC"/>
    <w:rsid w:val="005A15F0"/>
    <w:rsid w:val="005A1843"/>
    <w:rsid w:val="005A1E67"/>
    <w:rsid w:val="005A22E2"/>
    <w:rsid w:val="005A26EA"/>
    <w:rsid w:val="005A2B90"/>
    <w:rsid w:val="005A3817"/>
    <w:rsid w:val="005A4062"/>
    <w:rsid w:val="005A54B0"/>
    <w:rsid w:val="005A54B8"/>
    <w:rsid w:val="005A573A"/>
    <w:rsid w:val="005A5991"/>
    <w:rsid w:val="005A6289"/>
    <w:rsid w:val="005A642B"/>
    <w:rsid w:val="005A652C"/>
    <w:rsid w:val="005A67E5"/>
    <w:rsid w:val="005A6B92"/>
    <w:rsid w:val="005A6BF4"/>
    <w:rsid w:val="005A75C6"/>
    <w:rsid w:val="005A7FDD"/>
    <w:rsid w:val="005B0097"/>
    <w:rsid w:val="005B0726"/>
    <w:rsid w:val="005B13A9"/>
    <w:rsid w:val="005B1653"/>
    <w:rsid w:val="005B1978"/>
    <w:rsid w:val="005B228D"/>
    <w:rsid w:val="005B2966"/>
    <w:rsid w:val="005B2B16"/>
    <w:rsid w:val="005B327D"/>
    <w:rsid w:val="005B3C04"/>
    <w:rsid w:val="005B4241"/>
    <w:rsid w:val="005B4C0D"/>
    <w:rsid w:val="005B597C"/>
    <w:rsid w:val="005B61BB"/>
    <w:rsid w:val="005B635C"/>
    <w:rsid w:val="005B6BBE"/>
    <w:rsid w:val="005B75D7"/>
    <w:rsid w:val="005B7A96"/>
    <w:rsid w:val="005C0110"/>
    <w:rsid w:val="005C0367"/>
    <w:rsid w:val="005C041F"/>
    <w:rsid w:val="005C0AB0"/>
    <w:rsid w:val="005C0BCE"/>
    <w:rsid w:val="005C0CF5"/>
    <w:rsid w:val="005C0D17"/>
    <w:rsid w:val="005C0DE1"/>
    <w:rsid w:val="005C10A6"/>
    <w:rsid w:val="005C1230"/>
    <w:rsid w:val="005C2070"/>
    <w:rsid w:val="005C247C"/>
    <w:rsid w:val="005C2B1C"/>
    <w:rsid w:val="005C3526"/>
    <w:rsid w:val="005C39F7"/>
    <w:rsid w:val="005C3A1F"/>
    <w:rsid w:val="005C4341"/>
    <w:rsid w:val="005C49CC"/>
    <w:rsid w:val="005C4FF7"/>
    <w:rsid w:val="005C54E4"/>
    <w:rsid w:val="005C5E85"/>
    <w:rsid w:val="005C64B0"/>
    <w:rsid w:val="005C6A5F"/>
    <w:rsid w:val="005C70C7"/>
    <w:rsid w:val="005C78AF"/>
    <w:rsid w:val="005D0186"/>
    <w:rsid w:val="005D0A12"/>
    <w:rsid w:val="005D20C0"/>
    <w:rsid w:val="005D2154"/>
    <w:rsid w:val="005D22CE"/>
    <w:rsid w:val="005D2932"/>
    <w:rsid w:val="005D2AFD"/>
    <w:rsid w:val="005D3510"/>
    <w:rsid w:val="005D38F2"/>
    <w:rsid w:val="005D3E76"/>
    <w:rsid w:val="005D405E"/>
    <w:rsid w:val="005D4459"/>
    <w:rsid w:val="005D486D"/>
    <w:rsid w:val="005D4C05"/>
    <w:rsid w:val="005D4E94"/>
    <w:rsid w:val="005D4FDB"/>
    <w:rsid w:val="005D57C4"/>
    <w:rsid w:val="005D59A0"/>
    <w:rsid w:val="005D5F48"/>
    <w:rsid w:val="005D6655"/>
    <w:rsid w:val="005D692E"/>
    <w:rsid w:val="005D6B25"/>
    <w:rsid w:val="005D6D88"/>
    <w:rsid w:val="005D7043"/>
    <w:rsid w:val="005D745F"/>
    <w:rsid w:val="005D7501"/>
    <w:rsid w:val="005D7C0E"/>
    <w:rsid w:val="005E06C1"/>
    <w:rsid w:val="005E1266"/>
    <w:rsid w:val="005E2E8E"/>
    <w:rsid w:val="005E395D"/>
    <w:rsid w:val="005E3CA0"/>
    <w:rsid w:val="005E3E31"/>
    <w:rsid w:val="005E41D8"/>
    <w:rsid w:val="005E4838"/>
    <w:rsid w:val="005E4901"/>
    <w:rsid w:val="005E499E"/>
    <w:rsid w:val="005E5516"/>
    <w:rsid w:val="005E6286"/>
    <w:rsid w:val="005E6393"/>
    <w:rsid w:val="005E6CC5"/>
    <w:rsid w:val="005E6FD0"/>
    <w:rsid w:val="005E734E"/>
    <w:rsid w:val="005E7419"/>
    <w:rsid w:val="005E7C9B"/>
    <w:rsid w:val="005F0742"/>
    <w:rsid w:val="005F16BD"/>
    <w:rsid w:val="005F1BE5"/>
    <w:rsid w:val="005F1D38"/>
    <w:rsid w:val="005F20F4"/>
    <w:rsid w:val="005F227A"/>
    <w:rsid w:val="005F2426"/>
    <w:rsid w:val="005F246E"/>
    <w:rsid w:val="005F26DB"/>
    <w:rsid w:val="005F2948"/>
    <w:rsid w:val="005F2B33"/>
    <w:rsid w:val="005F2B56"/>
    <w:rsid w:val="005F2F88"/>
    <w:rsid w:val="005F34B4"/>
    <w:rsid w:val="005F3893"/>
    <w:rsid w:val="005F38EF"/>
    <w:rsid w:val="005F3AB6"/>
    <w:rsid w:val="005F442F"/>
    <w:rsid w:val="005F4B64"/>
    <w:rsid w:val="005F4BC6"/>
    <w:rsid w:val="005F4E3E"/>
    <w:rsid w:val="005F4EC2"/>
    <w:rsid w:val="005F561D"/>
    <w:rsid w:val="005F57EB"/>
    <w:rsid w:val="005F5BBA"/>
    <w:rsid w:val="005F6335"/>
    <w:rsid w:val="005F6348"/>
    <w:rsid w:val="005F6AEC"/>
    <w:rsid w:val="005F6C32"/>
    <w:rsid w:val="005F6FDF"/>
    <w:rsid w:val="005F7A63"/>
    <w:rsid w:val="005F7C4F"/>
    <w:rsid w:val="00600546"/>
    <w:rsid w:val="00600BD8"/>
    <w:rsid w:val="00600C9A"/>
    <w:rsid w:val="00600EB4"/>
    <w:rsid w:val="00600FC4"/>
    <w:rsid w:val="006016E6"/>
    <w:rsid w:val="00601872"/>
    <w:rsid w:val="00601A13"/>
    <w:rsid w:val="00601B47"/>
    <w:rsid w:val="00601D3B"/>
    <w:rsid w:val="00602AB1"/>
    <w:rsid w:val="00602EB3"/>
    <w:rsid w:val="00603EF1"/>
    <w:rsid w:val="0060424E"/>
    <w:rsid w:val="0060437F"/>
    <w:rsid w:val="00604578"/>
    <w:rsid w:val="00604618"/>
    <w:rsid w:val="0060496F"/>
    <w:rsid w:val="006051C3"/>
    <w:rsid w:val="00605E0D"/>
    <w:rsid w:val="00605EF4"/>
    <w:rsid w:val="00605F3F"/>
    <w:rsid w:val="006060AB"/>
    <w:rsid w:val="006068A8"/>
    <w:rsid w:val="00606C77"/>
    <w:rsid w:val="00607D9E"/>
    <w:rsid w:val="00607DED"/>
    <w:rsid w:val="00607E5F"/>
    <w:rsid w:val="00610058"/>
    <w:rsid w:val="00610896"/>
    <w:rsid w:val="00611136"/>
    <w:rsid w:val="00611CE8"/>
    <w:rsid w:val="00612579"/>
    <w:rsid w:val="00612633"/>
    <w:rsid w:val="006127B1"/>
    <w:rsid w:val="00612D0C"/>
    <w:rsid w:val="00613906"/>
    <w:rsid w:val="00613F25"/>
    <w:rsid w:val="006144E8"/>
    <w:rsid w:val="0061473F"/>
    <w:rsid w:val="006149BF"/>
    <w:rsid w:val="00614C03"/>
    <w:rsid w:val="00614D11"/>
    <w:rsid w:val="00614E8C"/>
    <w:rsid w:val="00614FE9"/>
    <w:rsid w:val="0061531E"/>
    <w:rsid w:val="00615761"/>
    <w:rsid w:val="00615AE2"/>
    <w:rsid w:val="00615EB0"/>
    <w:rsid w:val="00617D8D"/>
    <w:rsid w:val="0062076A"/>
    <w:rsid w:val="00621196"/>
    <w:rsid w:val="006211E9"/>
    <w:rsid w:val="0062133B"/>
    <w:rsid w:val="0062143B"/>
    <w:rsid w:val="006218F6"/>
    <w:rsid w:val="00621A48"/>
    <w:rsid w:val="00621D5C"/>
    <w:rsid w:val="00622167"/>
    <w:rsid w:val="006222DA"/>
    <w:rsid w:val="00622395"/>
    <w:rsid w:val="00622910"/>
    <w:rsid w:val="00622FEE"/>
    <w:rsid w:val="00623395"/>
    <w:rsid w:val="00623B44"/>
    <w:rsid w:val="0062455E"/>
    <w:rsid w:val="006245C3"/>
    <w:rsid w:val="00624630"/>
    <w:rsid w:val="006247C9"/>
    <w:rsid w:val="00624AF5"/>
    <w:rsid w:val="00624C67"/>
    <w:rsid w:val="00624DF5"/>
    <w:rsid w:val="0062503E"/>
    <w:rsid w:val="00625AC8"/>
    <w:rsid w:val="00625D25"/>
    <w:rsid w:val="00625F50"/>
    <w:rsid w:val="006275DA"/>
    <w:rsid w:val="00627A76"/>
    <w:rsid w:val="00627CAF"/>
    <w:rsid w:val="00627E06"/>
    <w:rsid w:val="00630561"/>
    <w:rsid w:val="00630AAB"/>
    <w:rsid w:val="00630DF5"/>
    <w:rsid w:val="00630FE9"/>
    <w:rsid w:val="006313E7"/>
    <w:rsid w:val="006318F8"/>
    <w:rsid w:val="0063256C"/>
    <w:rsid w:val="00632855"/>
    <w:rsid w:val="00632D0C"/>
    <w:rsid w:val="00632DC5"/>
    <w:rsid w:val="00633CFE"/>
    <w:rsid w:val="006346B5"/>
    <w:rsid w:val="006348C8"/>
    <w:rsid w:val="00634AD9"/>
    <w:rsid w:val="00634F80"/>
    <w:rsid w:val="00635258"/>
    <w:rsid w:val="0063659C"/>
    <w:rsid w:val="00636A1C"/>
    <w:rsid w:val="00636ACE"/>
    <w:rsid w:val="00636DAC"/>
    <w:rsid w:val="00636F99"/>
    <w:rsid w:val="00637746"/>
    <w:rsid w:val="0064058F"/>
    <w:rsid w:val="006410B8"/>
    <w:rsid w:val="0064125A"/>
    <w:rsid w:val="00641CEE"/>
    <w:rsid w:val="00641D6F"/>
    <w:rsid w:val="00641EC1"/>
    <w:rsid w:val="006427A9"/>
    <w:rsid w:val="006427B3"/>
    <w:rsid w:val="00642AF4"/>
    <w:rsid w:val="006433E3"/>
    <w:rsid w:val="00644161"/>
    <w:rsid w:val="00644643"/>
    <w:rsid w:val="00644E4D"/>
    <w:rsid w:val="006452D1"/>
    <w:rsid w:val="00645504"/>
    <w:rsid w:val="00646DD8"/>
    <w:rsid w:val="00647872"/>
    <w:rsid w:val="00647C00"/>
    <w:rsid w:val="00650064"/>
    <w:rsid w:val="00650E2D"/>
    <w:rsid w:val="006515BD"/>
    <w:rsid w:val="00651DE7"/>
    <w:rsid w:val="00651E88"/>
    <w:rsid w:val="006520E1"/>
    <w:rsid w:val="00652524"/>
    <w:rsid w:val="00652675"/>
    <w:rsid w:val="006530FA"/>
    <w:rsid w:val="006538E1"/>
    <w:rsid w:val="00653A33"/>
    <w:rsid w:val="00653D5F"/>
    <w:rsid w:val="00653FFB"/>
    <w:rsid w:val="00654136"/>
    <w:rsid w:val="00655192"/>
    <w:rsid w:val="006552EC"/>
    <w:rsid w:val="00656DAB"/>
    <w:rsid w:val="0065780A"/>
    <w:rsid w:val="00657D72"/>
    <w:rsid w:val="00657EF7"/>
    <w:rsid w:val="00660580"/>
    <w:rsid w:val="006608C3"/>
    <w:rsid w:val="00660922"/>
    <w:rsid w:val="00661575"/>
    <w:rsid w:val="00661A54"/>
    <w:rsid w:val="00661DAB"/>
    <w:rsid w:val="00662C95"/>
    <w:rsid w:val="00662D44"/>
    <w:rsid w:val="00662D92"/>
    <w:rsid w:val="0066320B"/>
    <w:rsid w:val="00663888"/>
    <w:rsid w:val="00663A16"/>
    <w:rsid w:val="00663ADE"/>
    <w:rsid w:val="0066425B"/>
    <w:rsid w:val="006649D3"/>
    <w:rsid w:val="00664D00"/>
    <w:rsid w:val="00664EBA"/>
    <w:rsid w:val="00665FBE"/>
    <w:rsid w:val="0066647E"/>
    <w:rsid w:val="00666904"/>
    <w:rsid w:val="00666AE4"/>
    <w:rsid w:val="00667921"/>
    <w:rsid w:val="00667EAF"/>
    <w:rsid w:val="0067053F"/>
    <w:rsid w:val="00671252"/>
    <w:rsid w:val="00671676"/>
    <w:rsid w:val="0067196F"/>
    <w:rsid w:val="006719A0"/>
    <w:rsid w:val="00672247"/>
    <w:rsid w:val="0067280F"/>
    <w:rsid w:val="00672AEF"/>
    <w:rsid w:val="00672F55"/>
    <w:rsid w:val="0067393B"/>
    <w:rsid w:val="00673FD8"/>
    <w:rsid w:val="0067422C"/>
    <w:rsid w:val="00674255"/>
    <w:rsid w:val="00674DCF"/>
    <w:rsid w:val="00675088"/>
    <w:rsid w:val="006760FF"/>
    <w:rsid w:val="00676252"/>
    <w:rsid w:val="006768FC"/>
    <w:rsid w:val="00677ECF"/>
    <w:rsid w:val="00677FC6"/>
    <w:rsid w:val="006802FB"/>
    <w:rsid w:val="00680716"/>
    <w:rsid w:val="006808F6"/>
    <w:rsid w:val="00680C0D"/>
    <w:rsid w:val="00680CA1"/>
    <w:rsid w:val="00680D2B"/>
    <w:rsid w:val="006813AF"/>
    <w:rsid w:val="006815E2"/>
    <w:rsid w:val="0068183F"/>
    <w:rsid w:val="0068194D"/>
    <w:rsid w:val="0068240B"/>
    <w:rsid w:val="00682B71"/>
    <w:rsid w:val="00682E4B"/>
    <w:rsid w:val="006830B9"/>
    <w:rsid w:val="00683126"/>
    <w:rsid w:val="00683217"/>
    <w:rsid w:val="00683C36"/>
    <w:rsid w:val="00683E52"/>
    <w:rsid w:val="00684192"/>
    <w:rsid w:val="00684958"/>
    <w:rsid w:val="00684ECE"/>
    <w:rsid w:val="00685303"/>
    <w:rsid w:val="006855BD"/>
    <w:rsid w:val="00685BD2"/>
    <w:rsid w:val="00685D01"/>
    <w:rsid w:val="0068646B"/>
    <w:rsid w:val="00686A16"/>
    <w:rsid w:val="00686B58"/>
    <w:rsid w:val="00686C5B"/>
    <w:rsid w:val="006870F6"/>
    <w:rsid w:val="006900B1"/>
    <w:rsid w:val="006906C9"/>
    <w:rsid w:val="00691735"/>
    <w:rsid w:val="00692379"/>
    <w:rsid w:val="006924BC"/>
    <w:rsid w:val="00692632"/>
    <w:rsid w:val="00692D17"/>
    <w:rsid w:val="006933C1"/>
    <w:rsid w:val="006939B1"/>
    <w:rsid w:val="00693D34"/>
    <w:rsid w:val="00694059"/>
    <w:rsid w:val="00694349"/>
    <w:rsid w:val="006946B0"/>
    <w:rsid w:val="00694EA5"/>
    <w:rsid w:val="006953E2"/>
    <w:rsid w:val="00695481"/>
    <w:rsid w:val="00695541"/>
    <w:rsid w:val="00695597"/>
    <w:rsid w:val="006966AF"/>
    <w:rsid w:val="006966EA"/>
    <w:rsid w:val="00697D54"/>
    <w:rsid w:val="006A0380"/>
    <w:rsid w:val="006A06ED"/>
    <w:rsid w:val="006A07F0"/>
    <w:rsid w:val="006A090D"/>
    <w:rsid w:val="006A09D8"/>
    <w:rsid w:val="006A14F5"/>
    <w:rsid w:val="006A165A"/>
    <w:rsid w:val="006A251D"/>
    <w:rsid w:val="006A27D8"/>
    <w:rsid w:val="006A33E3"/>
    <w:rsid w:val="006A347C"/>
    <w:rsid w:val="006A3552"/>
    <w:rsid w:val="006A3BD5"/>
    <w:rsid w:val="006A468F"/>
    <w:rsid w:val="006A4A92"/>
    <w:rsid w:val="006A4B9F"/>
    <w:rsid w:val="006A4BF4"/>
    <w:rsid w:val="006A4E34"/>
    <w:rsid w:val="006A5175"/>
    <w:rsid w:val="006A543C"/>
    <w:rsid w:val="006A59F4"/>
    <w:rsid w:val="006A5ABE"/>
    <w:rsid w:val="006A5B8A"/>
    <w:rsid w:val="006A5C53"/>
    <w:rsid w:val="006A5D4E"/>
    <w:rsid w:val="006A61B2"/>
    <w:rsid w:val="006A6605"/>
    <w:rsid w:val="006A6A34"/>
    <w:rsid w:val="006A6D88"/>
    <w:rsid w:val="006A6E41"/>
    <w:rsid w:val="006A7A42"/>
    <w:rsid w:val="006A7B1F"/>
    <w:rsid w:val="006B0159"/>
    <w:rsid w:val="006B0202"/>
    <w:rsid w:val="006B044A"/>
    <w:rsid w:val="006B062F"/>
    <w:rsid w:val="006B0CA6"/>
    <w:rsid w:val="006B0E71"/>
    <w:rsid w:val="006B0F6E"/>
    <w:rsid w:val="006B1DC4"/>
    <w:rsid w:val="006B200B"/>
    <w:rsid w:val="006B235D"/>
    <w:rsid w:val="006B320E"/>
    <w:rsid w:val="006B422D"/>
    <w:rsid w:val="006B4284"/>
    <w:rsid w:val="006B437B"/>
    <w:rsid w:val="006B4487"/>
    <w:rsid w:val="006B500F"/>
    <w:rsid w:val="006B5376"/>
    <w:rsid w:val="006B5C6E"/>
    <w:rsid w:val="006B5F20"/>
    <w:rsid w:val="006B60FB"/>
    <w:rsid w:val="006B6EFD"/>
    <w:rsid w:val="006B74A9"/>
    <w:rsid w:val="006B76F8"/>
    <w:rsid w:val="006B7E28"/>
    <w:rsid w:val="006C0DA4"/>
    <w:rsid w:val="006C0F4B"/>
    <w:rsid w:val="006C1322"/>
    <w:rsid w:val="006C168D"/>
    <w:rsid w:val="006C1B34"/>
    <w:rsid w:val="006C25E4"/>
    <w:rsid w:val="006C2844"/>
    <w:rsid w:val="006C2E2F"/>
    <w:rsid w:val="006C2E9A"/>
    <w:rsid w:val="006C30A7"/>
    <w:rsid w:val="006C36C7"/>
    <w:rsid w:val="006C3B03"/>
    <w:rsid w:val="006C3F41"/>
    <w:rsid w:val="006C40CE"/>
    <w:rsid w:val="006C4521"/>
    <w:rsid w:val="006C46F1"/>
    <w:rsid w:val="006C4B32"/>
    <w:rsid w:val="006C4EAC"/>
    <w:rsid w:val="006C5484"/>
    <w:rsid w:val="006C5675"/>
    <w:rsid w:val="006C571D"/>
    <w:rsid w:val="006C584A"/>
    <w:rsid w:val="006C5DD8"/>
    <w:rsid w:val="006C60E1"/>
    <w:rsid w:val="006C6AA9"/>
    <w:rsid w:val="006C6CD1"/>
    <w:rsid w:val="006C6CEE"/>
    <w:rsid w:val="006C71E7"/>
    <w:rsid w:val="006D0233"/>
    <w:rsid w:val="006D03AA"/>
    <w:rsid w:val="006D0892"/>
    <w:rsid w:val="006D0B03"/>
    <w:rsid w:val="006D0B2E"/>
    <w:rsid w:val="006D14BF"/>
    <w:rsid w:val="006D192A"/>
    <w:rsid w:val="006D19EE"/>
    <w:rsid w:val="006D2315"/>
    <w:rsid w:val="006D25FE"/>
    <w:rsid w:val="006D32EB"/>
    <w:rsid w:val="006D39FB"/>
    <w:rsid w:val="006D4726"/>
    <w:rsid w:val="006D4824"/>
    <w:rsid w:val="006D4EAE"/>
    <w:rsid w:val="006D4EEF"/>
    <w:rsid w:val="006D4EFB"/>
    <w:rsid w:val="006D5674"/>
    <w:rsid w:val="006D599B"/>
    <w:rsid w:val="006D6308"/>
    <w:rsid w:val="006D6B73"/>
    <w:rsid w:val="006D6C26"/>
    <w:rsid w:val="006D70A8"/>
    <w:rsid w:val="006D7458"/>
    <w:rsid w:val="006D75FC"/>
    <w:rsid w:val="006D773B"/>
    <w:rsid w:val="006D7FD5"/>
    <w:rsid w:val="006E03F2"/>
    <w:rsid w:val="006E047D"/>
    <w:rsid w:val="006E0C02"/>
    <w:rsid w:val="006E1009"/>
    <w:rsid w:val="006E11C5"/>
    <w:rsid w:val="006E1876"/>
    <w:rsid w:val="006E1FA8"/>
    <w:rsid w:val="006E21EB"/>
    <w:rsid w:val="006E25BA"/>
    <w:rsid w:val="006E292E"/>
    <w:rsid w:val="006E2997"/>
    <w:rsid w:val="006E29DC"/>
    <w:rsid w:val="006E38D8"/>
    <w:rsid w:val="006E3974"/>
    <w:rsid w:val="006E3B8D"/>
    <w:rsid w:val="006E422C"/>
    <w:rsid w:val="006E4286"/>
    <w:rsid w:val="006E44CC"/>
    <w:rsid w:val="006E4C33"/>
    <w:rsid w:val="006E4E59"/>
    <w:rsid w:val="006E534A"/>
    <w:rsid w:val="006E5365"/>
    <w:rsid w:val="006E5A3E"/>
    <w:rsid w:val="006E637C"/>
    <w:rsid w:val="006E6B43"/>
    <w:rsid w:val="006E6E4A"/>
    <w:rsid w:val="006E7600"/>
    <w:rsid w:val="006E78A2"/>
    <w:rsid w:val="006E7BC8"/>
    <w:rsid w:val="006F01A1"/>
    <w:rsid w:val="006F05B2"/>
    <w:rsid w:val="006F1D02"/>
    <w:rsid w:val="006F2489"/>
    <w:rsid w:val="006F2920"/>
    <w:rsid w:val="006F3297"/>
    <w:rsid w:val="006F33DF"/>
    <w:rsid w:val="006F353A"/>
    <w:rsid w:val="006F3544"/>
    <w:rsid w:val="006F3BAF"/>
    <w:rsid w:val="006F3BDC"/>
    <w:rsid w:val="006F4024"/>
    <w:rsid w:val="006F4940"/>
    <w:rsid w:val="006F49D7"/>
    <w:rsid w:val="006F4C75"/>
    <w:rsid w:val="006F506D"/>
    <w:rsid w:val="006F51F8"/>
    <w:rsid w:val="006F5A17"/>
    <w:rsid w:val="006F5A79"/>
    <w:rsid w:val="006F5B08"/>
    <w:rsid w:val="006F602C"/>
    <w:rsid w:val="006F658E"/>
    <w:rsid w:val="006F70C6"/>
    <w:rsid w:val="006F7112"/>
    <w:rsid w:val="006F740E"/>
    <w:rsid w:val="006F74FD"/>
    <w:rsid w:val="006F777E"/>
    <w:rsid w:val="007005E9"/>
    <w:rsid w:val="007006A3"/>
    <w:rsid w:val="00700DFA"/>
    <w:rsid w:val="00700E79"/>
    <w:rsid w:val="0070259D"/>
    <w:rsid w:val="00702D21"/>
    <w:rsid w:val="00704041"/>
    <w:rsid w:val="00704BBD"/>
    <w:rsid w:val="00704BC7"/>
    <w:rsid w:val="00704C84"/>
    <w:rsid w:val="00704DB6"/>
    <w:rsid w:val="007051CA"/>
    <w:rsid w:val="00705662"/>
    <w:rsid w:val="00705D52"/>
    <w:rsid w:val="00705ED9"/>
    <w:rsid w:val="007061C8"/>
    <w:rsid w:val="007064AC"/>
    <w:rsid w:val="0070654C"/>
    <w:rsid w:val="0070776A"/>
    <w:rsid w:val="007078F5"/>
    <w:rsid w:val="00707DF4"/>
    <w:rsid w:val="00710117"/>
    <w:rsid w:val="00710BE2"/>
    <w:rsid w:val="007115AB"/>
    <w:rsid w:val="007115D4"/>
    <w:rsid w:val="00711911"/>
    <w:rsid w:val="00711B2E"/>
    <w:rsid w:val="00711CA9"/>
    <w:rsid w:val="00711E17"/>
    <w:rsid w:val="00712358"/>
    <w:rsid w:val="00712594"/>
    <w:rsid w:val="00712668"/>
    <w:rsid w:val="007131B0"/>
    <w:rsid w:val="007131FF"/>
    <w:rsid w:val="0071344F"/>
    <w:rsid w:val="00713F25"/>
    <w:rsid w:val="00714121"/>
    <w:rsid w:val="007152E7"/>
    <w:rsid w:val="00715807"/>
    <w:rsid w:val="00715F41"/>
    <w:rsid w:val="00716041"/>
    <w:rsid w:val="007160D8"/>
    <w:rsid w:val="00716927"/>
    <w:rsid w:val="007169E2"/>
    <w:rsid w:val="00716AAD"/>
    <w:rsid w:val="00716DEA"/>
    <w:rsid w:val="0071701D"/>
    <w:rsid w:val="0071760B"/>
    <w:rsid w:val="00717A60"/>
    <w:rsid w:val="00717A7D"/>
    <w:rsid w:val="00720014"/>
    <w:rsid w:val="00720216"/>
    <w:rsid w:val="007206E3"/>
    <w:rsid w:val="007207B2"/>
    <w:rsid w:val="00720E8E"/>
    <w:rsid w:val="00720F5D"/>
    <w:rsid w:val="0072125C"/>
    <w:rsid w:val="00721336"/>
    <w:rsid w:val="007215D3"/>
    <w:rsid w:val="007216B5"/>
    <w:rsid w:val="00721FA5"/>
    <w:rsid w:val="00722020"/>
    <w:rsid w:val="00722543"/>
    <w:rsid w:val="00722575"/>
    <w:rsid w:val="0072281E"/>
    <w:rsid w:val="00722BA4"/>
    <w:rsid w:val="00722D75"/>
    <w:rsid w:val="0072338A"/>
    <w:rsid w:val="00723711"/>
    <w:rsid w:val="00723EEF"/>
    <w:rsid w:val="00724731"/>
    <w:rsid w:val="007247B9"/>
    <w:rsid w:val="00724BA6"/>
    <w:rsid w:val="00724E33"/>
    <w:rsid w:val="00724F75"/>
    <w:rsid w:val="0072532B"/>
    <w:rsid w:val="007253BF"/>
    <w:rsid w:val="00725E70"/>
    <w:rsid w:val="00726171"/>
    <w:rsid w:val="00726F77"/>
    <w:rsid w:val="00727AAE"/>
    <w:rsid w:val="007300EB"/>
    <w:rsid w:val="0073019D"/>
    <w:rsid w:val="007301FC"/>
    <w:rsid w:val="00730632"/>
    <w:rsid w:val="00730EDC"/>
    <w:rsid w:val="00731087"/>
    <w:rsid w:val="00731193"/>
    <w:rsid w:val="007311E5"/>
    <w:rsid w:val="00731252"/>
    <w:rsid w:val="00732165"/>
    <w:rsid w:val="0073224E"/>
    <w:rsid w:val="00732558"/>
    <w:rsid w:val="00732B8D"/>
    <w:rsid w:val="00732DD6"/>
    <w:rsid w:val="00733019"/>
    <w:rsid w:val="00733079"/>
    <w:rsid w:val="0073375D"/>
    <w:rsid w:val="00733795"/>
    <w:rsid w:val="00733906"/>
    <w:rsid w:val="00733956"/>
    <w:rsid w:val="00733B0F"/>
    <w:rsid w:val="0073434A"/>
    <w:rsid w:val="00734DBE"/>
    <w:rsid w:val="007351FC"/>
    <w:rsid w:val="0073569D"/>
    <w:rsid w:val="00735F07"/>
    <w:rsid w:val="00736403"/>
    <w:rsid w:val="00736ADD"/>
    <w:rsid w:val="00736F76"/>
    <w:rsid w:val="0073767F"/>
    <w:rsid w:val="007403AE"/>
    <w:rsid w:val="007407F1"/>
    <w:rsid w:val="00740858"/>
    <w:rsid w:val="00741411"/>
    <w:rsid w:val="00741901"/>
    <w:rsid w:val="0074203B"/>
    <w:rsid w:val="0074213E"/>
    <w:rsid w:val="007421DD"/>
    <w:rsid w:val="00742847"/>
    <w:rsid w:val="007429E7"/>
    <w:rsid w:val="00742E64"/>
    <w:rsid w:val="0074305A"/>
    <w:rsid w:val="007431B6"/>
    <w:rsid w:val="00743F44"/>
    <w:rsid w:val="00744088"/>
    <w:rsid w:val="007449A4"/>
    <w:rsid w:val="00744CA9"/>
    <w:rsid w:val="007450D0"/>
    <w:rsid w:val="00745313"/>
    <w:rsid w:val="00745CEC"/>
    <w:rsid w:val="00747319"/>
    <w:rsid w:val="007475F1"/>
    <w:rsid w:val="007477BF"/>
    <w:rsid w:val="00747A1C"/>
    <w:rsid w:val="007503B2"/>
    <w:rsid w:val="007504A2"/>
    <w:rsid w:val="00750542"/>
    <w:rsid w:val="007508E7"/>
    <w:rsid w:val="00750B0F"/>
    <w:rsid w:val="00750FB6"/>
    <w:rsid w:val="007512D0"/>
    <w:rsid w:val="0075144C"/>
    <w:rsid w:val="0075147C"/>
    <w:rsid w:val="00751930"/>
    <w:rsid w:val="00751E90"/>
    <w:rsid w:val="00751EF2"/>
    <w:rsid w:val="00752B1D"/>
    <w:rsid w:val="00752DF5"/>
    <w:rsid w:val="00752FED"/>
    <w:rsid w:val="00753B81"/>
    <w:rsid w:val="00753D00"/>
    <w:rsid w:val="00753E0E"/>
    <w:rsid w:val="00753FFB"/>
    <w:rsid w:val="0075438F"/>
    <w:rsid w:val="007547B7"/>
    <w:rsid w:val="007548F8"/>
    <w:rsid w:val="00754B55"/>
    <w:rsid w:val="007555AE"/>
    <w:rsid w:val="0075571C"/>
    <w:rsid w:val="00756058"/>
    <w:rsid w:val="00756D07"/>
    <w:rsid w:val="00756F53"/>
    <w:rsid w:val="007576D6"/>
    <w:rsid w:val="00757A8A"/>
    <w:rsid w:val="00760753"/>
    <w:rsid w:val="00760941"/>
    <w:rsid w:val="00760BE3"/>
    <w:rsid w:val="00760D02"/>
    <w:rsid w:val="00760E1B"/>
    <w:rsid w:val="00761AAC"/>
    <w:rsid w:val="007636FA"/>
    <w:rsid w:val="00763B65"/>
    <w:rsid w:val="007641B4"/>
    <w:rsid w:val="007641B8"/>
    <w:rsid w:val="00764293"/>
    <w:rsid w:val="0076432C"/>
    <w:rsid w:val="00764457"/>
    <w:rsid w:val="007645F8"/>
    <w:rsid w:val="007652FC"/>
    <w:rsid w:val="00765359"/>
    <w:rsid w:val="007675C7"/>
    <w:rsid w:val="00767D11"/>
    <w:rsid w:val="0077036A"/>
    <w:rsid w:val="00770EAA"/>
    <w:rsid w:val="0077103B"/>
    <w:rsid w:val="00771178"/>
    <w:rsid w:val="00771ACA"/>
    <w:rsid w:val="00771CA5"/>
    <w:rsid w:val="007726F6"/>
    <w:rsid w:val="007728D5"/>
    <w:rsid w:val="00772AFC"/>
    <w:rsid w:val="00772C2A"/>
    <w:rsid w:val="00772E9A"/>
    <w:rsid w:val="00773371"/>
    <w:rsid w:val="007734EE"/>
    <w:rsid w:val="00773A7F"/>
    <w:rsid w:val="00773CE4"/>
    <w:rsid w:val="00773D25"/>
    <w:rsid w:val="00773EEF"/>
    <w:rsid w:val="0077417C"/>
    <w:rsid w:val="007741D8"/>
    <w:rsid w:val="007744DF"/>
    <w:rsid w:val="00775418"/>
    <w:rsid w:val="00775765"/>
    <w:rsid w:val="0077582A"/>
    <w:rsid w:val="00776A12"/>
    <w:rsid w:val="00776A78"/>
    <w:rsid w:val="00776D99"/>
    <w:rsid w:val="00776DCE"/>
    <w:rsid w:val="00777313"/>
    <w:rsid w:val="00777B1F"/>
    <w:rsid w:val="00777E3A"/>
    <w:rsid w:val="0078150D"/>
    <w:rsid w:val="00781808"/>
    <w:rsid w:val="00781919"/>
    <w:rsid w:val="00781947"/>
    <w:rsid w:val="00781F02"/>
    <w:rsid w:val="00782047"/>
    <w:rsid w:val="007829B4"/>
    <w:rsid w:val="00783641"/>
    <w:rsid w:val="00783F32"/>
    <w:rsid w:val="007847E7"/>
    <w:rsid w:val="00784C01"/>
    <w:rsid w:val="007851E0"/>
    <w:rsid w:val="00786A13"/>
    <w:rsid w:val="00786EF3"/>
    <w:rsid w:val="00787242"/>
    <w:rsid w:val="00787407"/>
    <w:rsid w:val="00787594"/>
    <w:rsid w:val="00787A54"/>
    <w:rsid w:val="00787B37"/>
    <w:rsid w:val="00790507"/>
    <w:rsid w:val="00790DA5"/>
    <w:rsid w:val="00790DE4"/>
    <w:rsid w:val="00791031"/>
    <w:rsid w:val="00791C1D"/>
    <w:rsid w:val="0079283C"/>
    <w:rsid w:val="00792ACD"/>
    <w:rsid w:val="00793ACD"/>
    <w:rsid w:val="00793CFE"/>
    <w:rsid w:val="00794244"/>
    <w:rsid w:val="007945CE"/>
    <w:rsid w:val="00794FE4"/>
    <w:rsid w:val="007955AA"/>
    <w:rsid w:val="00795BC1"/>
    <w:rsid w:val="00795BC7"/>
    <w:rsid w:val="00795D5C"/>
    <w:rsid w:val="00795E43"/>
    <w:rsid w:val="007963EA"/>
    <w:rsid w:val="00796510"/>
    <w:rsid w:val="00796551"/>
    <w:rsid w:val="00796794"/>
    <w:rsid w:val="00797132"/>
    <w:rsid w:val="0079720B"/>
    <w:rsid w:val="007972A9"/>
    <w:rsid w:val="007973E5"/>
    <w:rsid w:val="0079740D"/>
    <w:rsid w:val="00797CA8"/>
    <w:rsid w:val="00797D31"/>
    <w:rsid w:val="007A03BC"/>
    <w:rsid w:val="007A06F2"/>
    <w:rsid w:val="007A0B59"/>
    <w:rsid w:val="007A0DE2"/>
    <w:rsid w:val="007A15D1"/>
    <w:rsid w:val="007A15EE"/>
    <w:rsid w:val="007A1A86"/>
    <w:rsid w:val="007A1EA2"/>
    <w:rsid w:val="007A3030"/>
    <w:rsid w:val="007A345E"/>
    <w:rsid w:val="007A34F7"/>
    <w:rsid w:val="007A3B6C"/>
    <w:rsid w:val="007A3D83"/>
    <w:rsid w:val="007A4121"/>
    <w:rsid w:val="007A4158"/>
    <w:rsid w:val="007A4465"/>
    <w:rsid w:val="007A505D"/>
    <w:rsid w:val="007A57BE"/>
    <w:rsid w:val="007A61DC"/>
    <w:rsid w:val="007A62C9"/>
    <w:rsid w:val="007A63B7"/>
    <w:rsid w:val="007A6CAD"/>
    <w:rsid w:val="007A7309"/>
    <w:rsid w:val="007A733F"/>
    <w:rsid w:val="007A74B1"/>
    <w:rsid w:val="007A74B2"/>
    <w:rsid w:val="007A7EB7"/>
    <w:rsid w:val="007B02CB"/>
    <w:rsid w:val="007B0989"/>
    <w:rsid w:val="007B1390"/>
    <w:rsid w:val="007B26DF"/>
    <w:rsid w:val="007B3A3B"/>
    <w:rsid w:val="007B3D62"/>
    <w:rsid w:val="007B589C"/>
    <w:rsid w:val="007B5F12"/>
    <w:rsid w:val="007B6861"/>
    <w:rsid w:val="007B6923"/>
    <w:rsid w:val="007B6B32"/>
    <w:rsid w:val="007B7265"/>
    <w:rsid w:val="007C02F0"/>
    <w:rsid w:val="007C069A"/>
    <w:rsid w:val="007C0F30"/>
    <w:rsid w:val="007C10A8"/>
    <w:rsid w:val="007C116D"/>
    <w:rsid w:val="007C1818"/>
    <w:rsid w:val="007C1D85"/>
    <w:rsid w:val="007C1EF3"/>
    <w:rsid w:val="007C2AEF"/>
    <w:rsid w:val="007C2E88"/>
    <w:rsid w:val="007C2EE7"/>
    <w:rsid w:val="007C3A39"/>
    <w:rsid w:val="007C421C"/>
    <w:rsid w:val="007C44B5"/>
    <w:rsid w:val="007C507D"/>
    <w:rsid w:val="007C517A"/>
    <w:rsid w:val="007C5622"/>
    <w:rsid w:val="007C570C"/>
    <w:rsid w:val="007C614E"/>
    <w:rsid w:val="007C6B80"/>
    <w:rsid w:val="007C6F34"/>
    <w:rsid w:val="007C7EF3"/>
    <w:rsid w:val="007D0198"/>
    <w:rsid w:val="007D0705"/>
    <w:rsid w:val="007D0870"/>
    <w:rsid w:val="007D0877"/>
    <w:rsid w:val="007D0970"/>
    <w:rsid w:val="007D09B3"/>
    <w:rsid w:val="007D0A95"/>
    <w:rsid w:val="007D0AA6"/>
    <w:rsid w:val="007D0F87"/>
    <w:rsid w:val="007D11BB"/>
    <w:rsid w:val="007D1627"/>
    <w:rsid w:val="007D2B7C"/>
    <w:rsid w:val="007D2C72"/>
    <w:rsid w:val="007D30B5"/>
    <w:rsid w:val="007D430E"/>
    <w:rsid w:val="007D435B"/>
    <w:rsid w:val="007D466E"/>
    <w:rsid w:val="007D46EB"/>
    <w:rsid w:val="007D49D3"/>
    <w:rsid w:val="007D4A16"/>
    <w:rsid w:val="007D5120"/>
    <w:rsid w:val="007D5A8B"/>
    <w:rsid w:val="007D5BB3"/>
    <w:rsid w:val="007D5DBA"/>
    <w:rsid w:val="007D6C4B"/>
    <w:rsid w:val="007D6DB9"/>
    <w:rsid w:val="007D6DDB"/>
    <w:rsid w:val="007D73BB"/>
    <w:rsid w:val="007E0807"/>
    <w:rsid w:val="007E1730"/>
    <w:rsid w:val="007E1759"/>
    <w:rsid w:val="007E1C28"/>
    <w:rsid w:val="007E21D2"/>
    <w:rsid w:val="007E22A0"/>
    <w:rsid w:val="007E2742"/>
    <w:rsid w:val="007E3536"/>
    <w:rsid w:val="007E36FE"/>
    <w:rsid w:val="007E38EE"/>
    <w:rsid w:val="007E41AC"/>
    <w:rsid w:val="007E51DF"/>
    <w:rsid w:val="007E526D"/>
    <w:rsid w:val="007E5515"/>
    <w:rsid w:val="007E63DB"/>
    <w:rsid w:val="007E69A9"/>
    <w:rsid w:val="007E6C40"/>
    <w:rsid w:val="007E7402"/>
    <w:rsid w:val="007E75A8"/>
    <w:rsid w:val="007E76AA"/>
    <w:rsid w:val="007E7BC2"/>
    <w:rsid w:val="007F06A7"/>
    <w:rsid w:val="007F0CA2"/>
    <w:rsid w:val="007F0FEB"/>
    <w:rsid w:val="007F134C"/>
    <w:rsid w:val="007F168D"/>
    <w:rsid w:val="007F1785"/>
    <w:rsid w:val="007F1E5D"/>
    <w:rsid w:val="007F238A"/>
    <w:rsid w:val="007F245A"/>
    <w:rsid w:val="007F292C"/>
    <w:rsid w:val="007F346A"/>
    <w:rsid w:val="007F3472"/>
    <w:rsid w:val="007F3566"/>
    <w:rsid w:val="007F35CA"/>
    <w:rsid w:val="007F3B99"/>
    <w:rsid w:val="007F3E9F"/>
    <w:rsid w:val="007F3F97"/>
    <w:rsid w:val="007F442F"/>
    <w:rsid w:val="007F4DA5"/>
    <w:rsid w:val="007F508D"/>
    <w:rsid w:val="007F57CA"/>
    <w:rsid w:val="007F6169"/>
    <w:rsid w:val="007F6339"/>
    <w:rsid w:val="007F6F20"/>
    <w:rsid w:val="00801058"/>
    <w:rsid w:val="008011EC"/>
    <w:rsid w:val="008016E7"/>
    <w:rsid w:val="0080172E"/>
    <w:rsid w:val="00801A29"/>
    <w:rsid w:val="00801A2C"/>
    <w:rsid w:val="00801F7F"/>
    <w:rsid w:val="00802239"/>
    <w:rsid w:val="0080239A"/>
    <w:rsid w:val="008025C8"/>
    <w:rsid w:val="0080284E"/>
    <w:rsid w:val="00803324"/>
    <w:rsid w:val="008033C2"/>
    <w:rsid w:val="0080373F"/>
    <w:rsid w:val="008039B8"/>
    <w:rsid w:val="00804C5D"/>
    <w:rsid w:val="00804F6F"/>
    <w:rsid w:val="00804F73"/>
    <w:rsid w:val="0080504A"/>
    <w:rsid w:val="008051C2"/>
    <w:rsid w:val="00805BBA"/>
    <w:rsid w:val="008062C6"/>
    <w:rsid w:val="00806520"/>
    <w:rsid w:val="00806BA8"/>
    <w:rsid w:val="00807245"/>
    <w:rsid w:val="00807D71"/>
    <w:rsid w:val="00810755"/>
    <w:rsid w:val="00810C97"/>
    <w:rsid w:val="008110F6"/>
    <w:rsid w:val="00811120"/>
    <w:rsid w:val="0081136F"/>
    <w:rsid w:val="00811532"/>
    <w:rsid w:val="008120F3"/>
    <w:rsid w:val="00812115"/>
    <w:rsid w:val="008122A2"/>
    <w:rsid w:val="008125A2"/>
    <w:rsid w:val="008126D1"/>
    <w:rsid w:val="00812E41"/>
    <w:rsid w:val="00813500"/>
    <w:rsid w:val="00813B60"/>
    <w:rsid w:val="008142B3"/>
    <w:rsid w:val="00814342"/>
    <w:rsid w:val="0081436F"/>
    <w:rsid w:val="008146E8"/>
    <w:rsid w:val="008156B7"/>
    <w:rsid w:val="00815858"/>
    <w:rsid w:val="00815900"/>
    <w:rsid w:val="0081647E"/>
    <w:rsid w:val="00816485"/>
    <w:rsid w:val="0081704B"/>
    <w:rsid w:val="00817565"/>
    <w:rsid w:val="0081765B"/>
    <w:rsid w:val="00817B94"/>
    <w:rsid w:val="0082003B"/>
    <w:rsid w:val="00820112"/>
    <w:rsid w:val="00820216"/>
    <w:rsid w:val="008203C0"/>
    <w:rsid w:val="00820422"/>
    <w:rsid w:val="008206FB"/>
    <w:rsid w:val="008208E0"/>
    <w:rsid w:val="008209B6"/>
    <w:rsid w:val="008215ED"/>
    <w:rsid w:val="00822624"/>
    <w:rsid w:val="00822F2A"/>
    <w:rsid w:val="00823000"/>
    <w:rsid w:val="0082310A"/>
    <w:rsid w:val="00823A08"/>
    <w:rsid w:val="0082437D"/>
    <w:rsid w:val="00824460"/>
    <w:rsid w:val="00824512"/>
    <w:rsid w:val="008248C3"/>
    <w:rsid w:val="00825324"/>
    <w:rsid w:val="00825BE2"/>
    <w:rsid w:val="00825D87"/>
    <w:rsid w:val="00825E16"/>
    <w:rsid w:val="0082620A"/>
    <w:rsid w:val="008263AE"/>
    <w:rsid w:val="00826C7A"/>
    <w:rsid w:val="00826D60"/>
    <w:rsid w:val="00827062"/>
    <w:rsid w:val="0082737B"/>
    <w:rsid w:val="00827CA3"/>
    <w:rsid w:val="00827CDD"/>
    <w:rsid w:val="00827FA9"/>
    <w:rsid w:val="00827FC4"/>
    <w:rsid w:val="00827FD0"/>
    <w:rsid w:val="0083024B"/>
    <w:rsid w:val="00830391"/>
    <w:rsid w:val="00830B33"/>
    <w:rsid w:val="00830E3F"/>
    <w:rsid w:val="00831421"/>
    <w:rsid w:val="00831CC4"/>
    <w:rsid w:val="00832223"/>
    <w:rsid w:val="008324FC"/>
    <w:rsid w:val="0083253C"/>
    <w:rsid w:val="00832875"/>
    <w:rsid w:val="008331D0"/>
    <w:rsid w:val="00833585"/>
    <w:rsid w:val="00833865"/>
    <w:rsid w:val="00833A46"/>
    <w:rsid w:val="00833C95"/>
    <w:rsid w:val="008343FF"/>
    <w:rsid w:val="00834B89"/>
    <w:rsid w:val="00834D4E"/>
    <w:rsid w:val="00834FB5"/>
    <w:rsid w:val="008360AB"/>
    <w:rsid w:val="00836224"/>
    <w:rsid w:val="00837648"/>
    <w:rsid w:val="00837730"/>
    <w:rsid w:val="00837A35"/>
    <w:rsid w:val="00837EAF"/>
    <w:rsid w:val="00840BBD"/>
    <w:rsid w:val="00840DF7"/>
    <w:rsid w:val="00840E3E"/>
    <w:rsid w:val="00841180"/>
    <w:rsid w:val="008418A7"/>
    <w:rsid w:val="00842449"/>
    <w:rsid w:val="00842545"/>
    <w:rsid w:val="00842E97"/>
    <w:rsid w:val="00843C3B"/>
    <w:rsid w:val="00844210"/>
    <w:rsid w:val="008442A3"/>
    <w:rsid w:val="00844C92"/>
    <w:rsid w:val="0084589A"/>
    <w:rsid w:val="00845B13"/>
    <w:rsid w:val="00845BA6"/>
    <w:rsid w:val="0084635A"/>
    <w:rsid w:val="008467F6"/>
    <w:rsid w:val="008469CC"/>
    <w:rsid w:val="00846AC7"/>
    <w:rsid w:val="008471CC"/>
    <w:rsid w:val="008472F2"/>
    <w:rsid w:val="00847CBA"/>
    <w:rsid w:val="00847D1A"/>
    <w:rsid w:val="00847D5C"/>
    <w:rsid w:val="00847E8C"/>
    <w:rsid w:val="00850B89"/>
    <w:rsid w:val="008512DA"/>
    <w:rsid w:val="008516B2"/>
    <w:rsid w:val="008518C1"/>
    <w:rsid w:val="00851EAB"/>
    <w:rsid w:val="008522F2"/>
    <w:rsid w:val="008528C2"/>
    <w:rsid w:val="00852E36"/>
    <w:rsid w:val="00853254"/>
    <w:rsid w:val="00853704"/>
    <w:rsid w:val="008538BD"/>
    <w:rsid w:val="00854B65"/>
    <w:rsid w:val="00854CD3"/>
    <w:rsid w:val="0085522A"/>
    <w:rsid w:val="00856594"/>
    <w:rsid w:val="008566C5"/>
    <w:rsid w:val="00856D72"/>
    <w:rsid w:val="008579A6"/>
    <w:rsid w:val="00857ACC"/>
    <w:rsid w:val="00857C14"/>
    <w:rsid w:val="0086060C"/>
    <w:rsid w:val="00860DF4"/>
    <w:rsid w:val="008613EE"/>
    <w:rsid w:val="00861C0A"/>
    <w:rsid w:val="00862392"/>
    <w:rsid w:val="0086274A"/>
    <w:rsid w:val="00862A03"/>
    <w:rsid w:val="00862E89"/>
    <w:rsid w:val="00863998"/>
    <w:rsid w:val="008639AE"/>
    <w:rsid w:val="00863CBC"/>
    <w:rsid w:val="00863FD8"/>
    <w:rsid w:val="0086427E"/>
    <w:rsid w:val="008644C4"/>
    <w:rsid w:val="00865075"/>
    <w:rsid w:val="00865668"/>
    <w:rsid w:val="00865BC4"/>
    <w:rsid w:val="008660A2"/>
    <w:rsid w:val="00866FB6"/>
    <w:rsid w:val="00867C1F"/>
    <w:rsid w:val="00870351"/>
    <w:rsid w:val="008704E2"/>
    <w:rsid w:val="0087074E"/>
    <w:rsid w:val="00870B04"/>
    <w:rsid w:val="00870DA0"/>
    <w:rsid w:val="00870E3F"/>
    <w:rsid w:val="008716AC"/>
    <w:rsid w:val="00871885"/>
    <w:rsid w:val="0087223D"/>
    <w:rsid w:val="00872E44"/>
    <w:rsid w:val="00873FD7"/>
    <w:rsid w:val="00874D4B"/>
    <w:rsid w:val="00874DB6"/>
    <w:rsid w:val="00875012"/>
    <w:rsid w:val="008759BC"/>
    <w:rsid w:val="00876221"/>
    <w:rsid w:val="008764D1"/>
    <w:rsid w:val="0087684B"/>
    <w:rsid w:val="00876854"/>
    <w:rsid w:val="00876B2F"/>
    <w:rsid w:val="00876D6A"/>
    <w:rsid w:val="0087739C"/>
    <w:rsid w:val="00877422"/>
    <w:rsid w:val="00877E9B"/>
    <w:rsid w:val="00880574"/>
    <w:rsid w:val="008805A9"/>
    <w:rsid w:val="0088068C"/>
    <w:rsid w:val="00880891"/>
    <w:rsid w:val="00881CD1"/>
    <w:rsid w:val="00881EBC"/>
    <w:rsid w:val="008820B1"/>
    <w:rsid w:val="008822E2"/>
    <w:rsid w:val="00882425"/>
    <w:rsid w:val="00882BBF"/>
    <w:rsid w:val="00882F28"/>
    <w:rsid w:val="00882FC0"/>
    <w:rsid w:val="008843C4"/>
    <w:rsid w:val="00884423"/>
    <w:rsid w:val="00884440"/>
    <w:rsid w:val="00884DF9"/>
    <w:rsid w:val="0088674B"/>
    <w:rsid w:val="008869A9"/>
    <w:rsid w:val="00886BE6"/>
    <w:rsid w:val="0088798D"/>
    <w:rsid w:val="00887D23"/>
    <w:rsid w:val="00887F0D"/>
    <w:rsid w:val="008900E7"/>
    <w:rsid w:val="0089173F"/>
    <w:rsid w:val="00891B10"/>
    <w:rsid w:val="0089211B"/>
    <w:rsid w:val="00892253"/>
    <w:rsid w:val="00892255"/>
    <w:rsid w:val="00892A84"/>
    <w:rsid w:val="00892F5F"/>
    <w:rsid w:val="00893A45"/>
    <w:rsid w:val="00893DD9"/>
    <w:rsid w:val="0089432C"/>
    <w:rsid w:val="008949FC"/>
    <w:rsid w:val="00894D10"/>
    <w:rsid w:val="008950F5"/>
    <w:rsid w:val="00895554"/>
    <w:rsid w:val="008966B6"/>
    <w:rsid w:val="00897612"/>
    <w:rsid w:val="00897C3E"/>
    <w:rsid w:val="00897EED"/>
    <w:rsid w:val="008A0386"/>
    <w:rsid w:val="008A0473"/>
    <w:rsid w:val="008A059D"/>
    <w:rsid w:val="008A078B"/>
    <w:rsid w:val="008A092E"/>
    <w:rsid w:val="008A0F7F"/>
    <w:rsid w:val="008A1ADC"/>
    <w:rsid w:val="008A1C09"/>
    <w:rsid w:val="008A1D48"/>
    <w:rsid w:val="008A1ECB"/>
    <w:rsid w:val="008A208F"/>
    <w:rsid w:val="008A2770"/>
    <w:rsid w:val="008A2A13"/>
    <w:rsid w:val="008A35DD"/>
    <w:rsid w:val="008A3978"/>
    <w:rsid w:val="008A4491"/>
    <w:rsid w:val="008A4577"/>
    <w:rsid w:val="008A4CDF"/>
    <w:rsid w:val="008A542A"/>
    <w:rsid w:val="008A608D"/>
    <w:rsid w:val="008A62AC"/>
    <w:rsid w:val="008A651D"/>
    <w:rsid w:val="008A66AB"/>
    <w:rsid w:val="008A6B71"/>
    <w:rsid w:val="008A6F94"/>
    <w:rsid w:val="008A7115"/>
    <w:rsid w:val="008A769A"/>
    <w:rsid w:val="008B0390"/>
    <w:rsid w:val="008B0A05"/>
    <w:rsid w:val="008B0A21"/>
    <w:rsid w:val="008B10A1"/>
    <w:rsid w:val="008B1156"/>
    <w:rsid w:val="008B1D65"/>
    <w:rsid w:val="008B2048"/>
    <w:rsid w:val="008B243B"/>
    <w:rsid w:val="008B29AA"/>
    <w:rsid w:val="008B29AF"/>
    <w:rsid w:val="008B4A5B"/>
    <w:rsid w:val="008B4BD9"/>
    <w:rsid w:val="008B59FD"/>
    <w:rsid w:val="008B5C70"/>
    <w:rsid w:val="008B5E37"/>
    <w:rsid w:val="008B5F40"/>
    <w:rsid w:val="008B60BA"/>
    <w:rsid w:val="008B616A"/>
    <w:rsid w:val="008B64A6"/>
    <w:rsid w:val="008B683C"/>
    <w:rsid w:val="008B68CC"/>
    <w:rsid w:val="008B74CF"/>
    <w:rsid w:val="008B796D"/>
    <w:rsid w:val="008B7A1D"/>
    <w:rsid w:val="008C0731"/>
    <w:rsid w:val="008C0BBC"/>
    <w:rsid w:val="008C0DBC"/>
    <w:rsid w:val="008C1161"/>
    <w:rsid w:val="008C1717"/>
    <w:rsid w:val="008C19B7"/>
    <w:rsid w:val="008C1AF5"/>
    <w:rsid w:val="008C1CD3"/>
    <w:rsid w:val="008C2734"/>
    <w:rsid w:val="008C29D1"/>
    <w:rsid w:val="008C3A6A"/>
    <w:rsid w:val="008C3B45"/>
    <w:rsid w:val="008C4681"/>
    <w:rsid w:val="008C49A1"/>
    <w:rsid w:val="008C4A25"/>
    <w:rsid w:val="008C4C87"/>
    <w:rsid w:val="008C51F6"/>
    <w:rsid w:val="008C545C"/>
    <w:rsid w:val="008C5581"/>
    <w:rsid w:val="008C55FD"/>
    <w:rsid w:val="008C574D"/>
    <w:rsid w:val="008C5B22"/>
    <w:rsid w:val="008C5D39"/>
    <w:rsid w:val="008C5D9A"/>
    <w:rsid w:val="008C607A"/>
    <w:rsid w:val="008C667C"/>
    <w:rsid w:val="008C67F9"/>
    <w:rsid w:val="008C68D4"/>
    <w:rsid w:val="008C6C43"/>
    <w:rsid w:val="008C6E16"/>
    <w:rsid w:val="008C6E5F"/>
    <w:rsid w:val="008C6E77"/>
    <w:rsid w:val="008C75A9"/>
    <w:rsid w:val="008C7B2F"/>
    <w:rsid w:val="008C7DDB"/>
    <w:rsid w:val="008D077F"/>
    <w:rsid w:val="008D0BCC"/>
    <w:rsid w:val="008D14D0"/>
    <w:rsid w:val="008D1A26"/>
    <w:rsid w:val="008D1ACD"/>
    <w:rsid w:val="008D2364"/>
    <w:rsid w:val="008D2573"/>
    <w:rsid w:val="008D27CC"/>
    <w:rsid w:val="008D31C2"/>
    <w:rsid w:val="008D34E5"/>
    <w:rsid w:val="008D363D"/>
    <w:rsid w:val="008D42F3"/>
    <w:rsid w:val="008D4738"/>
    <w:rsid w:val="008D4989"/>
    <w:rsid w:val="008D4B24"/>
    <w:rsid w:val="008D4C64"/>
    <w:rsid w:val="008D4DD3"/>
    <w:rsid w:val="008D513F"/>
    <w:rsid w:val="008D53E1"/>
    <w:rsid w:val="008D53FA"/>
    <w:rsid w:val="008D592D"/>
    <w:rsid w:val="008D62D0"/>
    <w:rsid w:val="008D633B"/>
    <w:rsid w:val="008D6728"/>
    <w:rsid w:val="008D6CE0"/>
    <w:rsid w:val="008D6DBF"/>
    <w:rsid w:val="008D7F02"/>
    <w:rsid w:val="008E057C"/>
    <w:rsid w:val="008E0CD9"/>
    <w:rsid w:val="008E0F49"/>
    <w:rsid w:val="008E14F4"/>
    <w:rsid w:val="008E1B4D"/>
    <w:rsid w:val="008E21C7"/>
    <w:rsid w:val="008E37E6"/>
    <w:rsid w:val="008E3FFA"/>
    <w:rsid w:val="008E40A0"/>
    <w:rsid w:val="008E4577"/>
    <w:rsid w:val="008E47EE"/>
    <w:rsid w:val="008E49AA"/>
    <w:rsid w:val="008E50C8"/>
    <w:rsid w:val="008E56B5"/>
    <w:rsid w:val="008E5FAC"/>
    <w:rsid w:val="008E6451"/>
    <w:rsid w:val="008E68E0"/>
    <w:rsid w:val="008E6C76"/>
    <w:rsid w:val="008E70BF"/>
    <w:rsid w:val="008E7505"/>
    <w:rsid w:val="008E7732"/>
    <w:rsid w:val="008E7EFE"/>
    <w:rsid w:val="008E7F6E"/>
    <w:rsid w:val="008E7FD7"/>
    <w:rsid w:val="008F10B3"/>
    <w:rsid w:val="008F163B"/>
    <w:rsid w:val="008F1863"/>
    <w:rsid w:val="008F1A5E"/>
    <w:rsid w:val="008F2FBE"/>
    <w:rsid w:val="008F305B"/>
    <w:rsid w:val="008F3083"/>
    <w:rsid w:val="008F3097"/>
    <w:rsid w:val="008F316E"/>
    <w:rsid w:val="008F32A8"/>
    <w:rsid w:val="008F33C2"/>
    <w:rsid w:val="008F3857"/>
    <w:rsid w:val="008F3B0F"/>
    <w:rsid w:val="008F41E6"/>
    <w:rsid w:val="008F4205"/>
    <w:rsid w:val="008F4A28"/>
    <w:rsid w:val="008F5776"/>
    <w:rsid w:val="008F6150"/>
    <w:rsid w:val="008F67F6"/>
    <w:rsid w:val="008F690B"/>
    <w:rsid w:val="008F6BFA"/>
    <w:rsid w:val="008F6D06"/>
    <w:rsid w:val="008F7555"/>
    <w:rsid w:val="009002D5"/>
    <w:rsid w:val="009006BD"/>
    <w:rsid w:val="00900996"/>
    <w:rsid w:val="00900B92"/>
    <w:rsid w:val="0090106D"/>
    <w:rsid w:val="009010FA"/>
    <w:rsid w:val="009012B2"/>
    <w:rsid w:val="009020EF"/>
    <w:rsid w:val="009023FA"/>
    <w:rsid w:val="00902693"/>
    <w:rsid w:val="00902AC6"/>
    <w:rsid w:val="00902CE3"/>
    <w:rsid w:val="009037E7"/>
    <w:rsid w:val="00903A16"/>
    <w:rsid w:val="00903A26"/>
    <w:rsid w:val="009045AF"/>
    <w:rsid w:val="009045E0"/>
    <w:rsid w:val="00904C39"/>
    <w:rsid w:val="00904CA1"/>
    <w:rsid w:val="00904E7A"/>
    <w:rsid w:val="0090582C"/>
    <w:rsid w:val="00905926"/>
    <w:rsid w:val="00905AD1"/>
    <w:rsid w:val="00905FAA"/>
    <w:rsid w:val="0090653B"/>
    <w:rsid w:val="009067F8"/>
    <w:rsid w:val="00906866"/>
    <w:rsid w:val="009068A8"/>
    <w:rsid w:val="009068B3"/>
    <w:rsid w:val="00906D0A"/>
    <w:rsid w:val="00907724"/>
    <w:rsid w:val="009079DF"/>
    <w:rsid w:val="00907A86"/>
    <w:rsid w:val="00907DA7"/>
    <w:rsid w:val="00907FAE"/>
    <w:rsid w:val="009104A7"/>
    <w:rsid w:val="009104D6"/>
    <w:rsid w:val="0091069A"/>
    <w:rsid w:val="00910813"/>
    <w:rsid w:val="009108DE"/>
    <w:rsid w:val="00910A5E"/>
    <w:rsid w:val="00910C68"/>
    <w:rsid w:val="00910EFC"/>
    <w:rsid w:val="00911220"/>
    <w:rsid w:val="00911910"/>
    <w:rsid w:val="00911E95"/>
    <w:rsid w:val="00911EA5"/>
    <w:rsid w:val="009125E7"/>
    <w:rsid w:val="00912D9D"/>
    <w:rsid w:val="00913414"/>
    <w:rsid w:val="009136D4"/>
    <w:rsid w:val="00913B29"/>
    <w:rsid w:val="0091428B"/>
    <w:rsid w:val="00914905"/>
    <w:rsid w:val="009149E5"/>
    <w:rsid w:val="009149FD"/>
    <w:rsid w:val="009150D4"/>
    <w:rsid w:val="00915163"/>
    <w:rsid w:val="0091561F"/>
    <w:rsid w:val="0091677F"/>
    <w:rsid w:val="009168BF"/>
    <w:rsid w:val="00916E32"/>
    <w:rsid w:val="00916F17"/>
    <w:rsid w:val="00916FA9"/>
    <w:rsid w:val="009174B7"/>
    <w:rsid w:val="00917B2A"/>
    <w:rsid w:val="00917BA0"/>
    <w:rsid w:val="00917CB6"/>
    <w:rsid w:val="00917D62"/>
    <w:rsid w:val="00917E5D"/>
    <w:rsid w:val="009206BE"/>
    <w:rsid w:val="00920C86"/>
    <w:rsid w:val="00920F87"/>
    <w:rsid w:val="009210F2"/>
    <w:rsid w:val="0092185C"/>
    <w:rsid w:val="00922432"/>
    <w:rsid w:val="009225B4"/>
    <w:rsid w:val="009229E0"/>
    <w:rsid w:val="009238A7"/>
    <w:rsid w:val="00923B89"/>
    <w:rsid w:val="00923F9C"/>
    <w:rsid w:val="009247A0"/>
    <w:rsid w:val="00924C05"/>
    <w:rsid w:val="00924D6B"/>
    <w:rsid w:val="00926325"/>
    <w:rsid w:val="009265B4"/>
    <w:rsid w:val="009266CF"/>
    <w:rsid w:val="0092673A"/>
    <w:rsid w:val="00926976"/>
    <w:rsid w:val="00926D04"/>
    <w:rsid w:val="00926F71"/>
    <w:rsid w:val="00927253"/>
    <w:rsid w:val="009276D0"/>
    <w:rsid w:val="009306FB"/>
    <w:rsid w:val="00930733"/>
    <w:rsid w:val="009309D8"/>
    <w:rsid w:val="0093207C"/>
    <w:rsid w:val="00932100"/>
    <w:rsid w:val="00932397"/>
    <w:rsid w:val="00932AC4"/>
    <w:rsid w:val="00932C3A"/>
    <w:rsid w:val="00932C63"/>
    <w:rsid w:val="00933B0D"/>
    <w:rsid w:val="009344B6"/>
    <w:rsid w:val="00935153"/>
    <w:rsid w:val="00935352"/>
    <w:rsid w:val="009364F7"/>
    <w:rsid w:val="009365BE"/>
    <w:rsid w:val="00936CBF"/>
    <w:rsid w:val="00936F31"/>
    <w:rsid w:val="00937852"/>
    <w:rsid w:val="009402CA"/>
    <w:rsid w:val="00940F12"/>
    <w:rsid w:val="00941610"/>
    <w:rsid w:val="00942404"/>
    <w:rsid w:val="0094282B"/>
    <w:rsid w:val="00942A93"/>
    <w:rsid w:val="00942CD1"/>
    <w:rsid w:val="00942FCA"/>
    <w:rsid w:val="0094315A"/>
    <w:rsid w:val="00943202"/>
    <w:rsid w:val="009434F9"/>
    <w:rsid w:val="009454B4"/>
    <w:rsid w:val="00945B2E"/>
    <w:rsid w:val="009469D2"/>
    <w:rsid w:val="00946E2F"/>
    <w:rsid w:val="009471E2"/>
    <w:rsid w:val="0094739C"/>
    <w:rsid w:val="00947458"/>
    <w:rsid w:val="00947822"/>
    <w:rsid w:val="00947AF3"/>
    <w:rsid w:val="009500C6"/>
    <w:rsid w:val="00950504"/>
    <w:rsid w:val="00950D84"/>
    <w:rsid w:val="009510D2"/>
    <w:rsid w:val="00953836"/>
    <w:rsid w:val="009541ED"/>
    <w:rsid w:val="009544BA"/>
    <w:rsid w:val="0095489B"/>
    <w:rsid w:val="00954AAB"/>
    <w:rsid w:val="00954C38"/>
    <w:rsid w:val="00954C93"/>
    <w:rsid w:val="009552ED"/>
    <w:rsid w:val="00955B70"/>
    <w:rsid w:val="00955E11"/>
    <w:rsid w:val="00956717"/>
    <w:rsid w:val="009576E0"/>
    <w:rsid w:val="00957743"/>
    <w:rsid w:val="00960775"/>
    <w:rsid w:val="00960CDA"/>
    <w:rsid w:val="00960EC8"/>
    <w:rsid w:val="00961433"/>
    <w:rsid w:val="00961755"/>
    <w:rsid w:val="00961950"/>
    <w:rsid w:val="00961D65"/>
    <w:rsid w:val="009624DD"/>
    <w:rsid w:val="00962B8E"/>
    <w:rsid w:val="00962FB5"/>
    <w:rsid w:val="009632F7"/>
    <w:rsid w:val="00963C42"/>
    <w:rsid w:val="00963C60"/>
    <w:rsid w:val="00963D62"/>
    <w:rsid w:val="00965764"/>
    <w:rsid w:val="009657B7"/>
    <w:rsid w:val="00965944"/>
    <w:rsid w:val="00965E2F"/>
    <w:rsid w:val="009662B2"/>
    <w:rsid w:val="009663F2"/>
    <w:rsid w:val="00966482"/>
    <w:rsid w:val="0096671F"/>
    <w:rsid w:val="0096696C"/>
    <w:rsid w:val="009669F6"/>
    <w:rsid w:val="0096775C"/>
    <w:rsid w:val="009704C5"/>
    <w:rsid w:val="00970FCB"/>
    <w:rsid w:val="0097113B"/>
    <w:rsid w:val="009711A1"/>
    <w:rsid w:val="00971590"/>
    <w:rsid w:val="009716A4"/>
    <w:rsid w:val="0097195C"/>
    <w:rsid w:val="00971C13"/>
    <w:rsid w:val="00972817"/>
    <w:rsid w:val="00973502"/>
    <w:rsid w:val="00973BDC"/>
    <w:rsid w:val="00973DA1"/>
    <w:rsid w:val="00974DB6"/>
    <w:rsid w:val="0097567A"/>
    <w:rsid w:val="00975BBC"/>
    <w:rsid w:val="00975C7D"/>
    <w:rsid w:val="0097653D"/>
    <w:rsid w:val="00976BF1"/>
    <w:rsid w:val="00976D83"/>
    <w:rsid w:val="0097790C"/>
    <w:rsid w:val="0098031F"/>
    <w:rsid w:val="00980420"/>
    <w:rsid w:val="00981A57"/>
    <w:rsid w:val="0098216C"/>
    <w:rsid w:val="00982570"/>
    <w:rsid w:val="009828B5"/>
    <w:rsid w:val="00982FDB"/>
    <w:rsid w:val="0098307C"/>
    <w:rsid w:val="00983247"/>
    <w:rsid w:val="00983334"/>
    <w:rsid w:val="00983C6B"/>
    <w:rsid w:val="00983E8B"/>
    <w:rsid w:val="00984D9F"/>
    <w:rsid w:val="00984F3A"/>
    <w:rsid w:val="009857B0"/>
    <w:rsid w:val="00985FB4"/>
    <w:rsid w:val="00986B33"/>
    <w:rsid w:val="00986BE2"/>
    <w:rsid w:val="009876CC"/>
    <w:rsid w:val="00987F06"/>
    <w:rsid w:val="00990157"/>
    <w:rsid w:val="00990279"/>
    <w:rsid w:val="0099031A"/>
    <w:rsid w:val="00990360"/>
    <w:rsid w:val="0099047D"/>
    <w:rsid w:val="00990EFF"/>
    <w:rsid w:val="0099174B"/>
    <w:rsid w:val="009917EF"/>
    <w:rsid w:val="00991D80"/>
    <w:rsid w:val="0099241B"/>
    <w:rsid w:val="00992421"/>
    <w:rsid w:val="0099283F"/>
    <w:rsid w:val="00992FB3"/>
    <w:rsid w:val="009935FC"/>
    <w:rsid w:val="009937E0"/>
    <w:rsid w:val="00993B35"/>
    <w:rsid w:val="00993DC3"/>
    <w:rsid w:val="00993DE2"/>
    <w:rsid w:val="009953E9"/>
    <w:rsid w:val="0099550E"/>
    <w:rsid w:val="0099570F"/>
    <w:rsid w:val="00996196"/>
    <w:rsid w:val="0099638F"/>
    <w:rsid w:val="00996687"/>
    <w:rsid w:val="00996D48"/>
    <w:rsid w:val="009A00D8"/>
    <w:rsid w:val="009A037C"/>
    <w:rsid w:val="009A0850"/>
    <w:rsid w:val="009A0D8F"/>
    <w:rsid w:val="009A0F84"/>
    <w:rsid w:val="009A134E"/>
    <w:rsid w:val="009A14A3"/>
    <w:rsid w:val="009A1855"/>
    <w:rsid w:val="009A26E9"/>
    <w:rsid w:val="009A2AD2"/>
    <w:rsid w:val="009A33AE"/>
    <w:rsid w:val="009A3453"/>
    <w:rsid w:val="009A460C"/>
    <w:rsid w:val="009A4635"/>
    <w:rsid w:val="009A4E5E"/>
    <w:rsid w:val="009A5080"/>
    <w:rsid w:val="009A51DF"/>
    <w:rsid w:val="009A53D0"/>
    <w:rsid w:val="009A58C2"/>
    <w:rsid w:val="009A5E0B"/>
    <w:rsid w:val="009A6103"/>
    <w:rsid w:val="009A645A"/>
    <w:rsid w:val="009A651A"/>
    <w:rsid w:val="009A6733"/>
    <w:rsid w:val="009A735C"/>
    <w:rsid w:val="009A7F95"/>
    <w:rsid w:val="009B0AAE"/>
    <w:rsid w:val="009B1EFD"/>
    <w:rsid w:val="009B2526"/>
    <w:rsid w:val="009B3449"/>
    <w:rsid w:val="009B3C38"/>
    <w:rsid w:val="009B3DB2"/>
    <w:rsid w:val="009B481B"/>
    <w:rsid w:val="009B4F26"/>
    <w:rsid w:val="009B51FB"/>
    <w:rsid w:val="009B5A90"/>
    <w:rsid w:val="009B5F9F"/>
    <w:rsid w:val="009B667D"/>
    <w:rsid w:val="009B6827"/>
    <w:rsid w:val="009B71BD"/>
    <w:rsid w:val="009B7AD4"/>
    <w:rsid w:val="009B7F7B"/>
    <w:rsid w:val="009B7F81"/>
    <w:rsid w:val="009C02EA"/>
    <w:rsid w:val="009C03C6"/>
    <w:rsid w:val="009C111F"/>
    <w:rsid w:val="009C16AA"/>
    <w:rsid w:val="009C1950"/>
    <w:rsid w:val="009C196D"/>
    <w:rsid w:val="009C1E4B"/>
    <w:rsid w:val="009C205A"/>
    <w:rsid w:val="009C298A"/>
    <w:rsid w:val="009C3307"/>
    <w:rsid w:val="009C364E"/>
    <w:rsid w:val="009C3ECA"/>
    <w:rsid w:val="009C4D2E"/>
    <w:rsid w:val="009C4E7F"/>
    <w:rsid w:val="009C5D23"/>
    <w:rsid w:val="009C6109"/>
    <w:rsid w:val="009C63B7"/>
    <w:rsid w:val="009C6C9A"/>
    <w:rsid w:val="009C769C"/>
    <w:rsid w:val="009D054E"/>
    <w:rsid w:val="009D0EEC"/>
    <w:rsid w:val="009D0FB4"/>
    <w:rsid w:val="009D202E"/>
    <w:rsid w:val="009D29EB"/>
    <w:rsid w:val="009D2A00"/>
    <w:rsid w:val="009D2D6E"/>
    <w:rsid w:val="009D2DAC"/>
    <w:rsid w:val="009D3789"/>
    <w:rsid w:val="009D4097"/>
    <w:rsid w:val="009D417F"/>
    <w:rsid w:val="009D4815"/>
    <w:rsid w:val="009D4E63"/>
    <w:rsid w:val="009D522C"/>
    <w:rsid w:val="009D547C"/>
    <w:rsid w:val="009D56F8"/>
    <w:rsid w:val="009D5770"/>
    <w:rsid w:val="009D58F6"/>
    <w:rsid w:val="009D5BFA"/>
    <w:rsid w:val="009D5CB2"/>
    <w:rsid w:val="009D6005"/>
    <w:rsid w:val="009D61CE"/>
    <w:rsid w:val="009D6235"/>
    <w:rsid w:val="009D6DC2"/>
    <w:rsid w:val="009D7E41"/>
    <w:rsid w:val="009E0658"/>
    <w:rsid w:val="009E0893"/>
    <w:rsid w:val="009E0926"/>
    <w:rsid w:val="009E0B0A"/>
    <w:rsid w:val="009E10CB"/>
    <w:rsid w:val="009E139D"/>
    <w:rsid w:val="009E186B"/>
    <w:rsid w:val="009E2535"/>
    <w:rsid w:val="009E2790"/>
    <w:rsid w:val="009E2A2D"/>
    <w:rsid w:val="009E2AEB"/>
    <w:rsid w:val="009E2B18"/>
    <w:rsid w:val="009E2CDB"/>
    <w:rsid w:val="009E334B"/>
    <w:rsid w:val="009E52B4"/>
    <w:rsid w:val="009E580E"/>
    <w:rsid w:val="009E5914"/>
    <w:rsid w:val="009E61C8"/>
    <w:rsid w:val="009E61F3"/>
    <w:rsid w:val="009E64E8"/>
    <w:rsid w:val="009E7D57"/>
    <w:rsid w:val="009E7DF0"/>
    <w:rsid w:val="009E7EE9"/>
    <w:rsid w:val="009E7F33"/>
    <w:rsid w:val="009F003C"/>
    <w:rsid w:val="009F00D0"/>
    <w:rsid w:val="009F043A"/>
    <w:rsid w:val="009F06DD"/>
    <w:rsid w:val="009F072D"/>
    <w:rsid w:val="009F1017"/>
    <w:rsid w:val="009F1110"/>
    <w:rsid w:val="009F12A1"/>
    <w:rsid w:val="009F1586"/>
    <w:rsid w:val="009F18A1"/>
    <w:rsid w:val="009F218F"/>
    <w:rsid w:val="009F25BF"/>
    <w:rsid w:val="009F2753"/>
    <w:rsid w:val="009F27D1"/>
    <w:rsid w:val="009F334E"/>
    <w:rsid w:val="009F3E94"/>
    <w:rsid w:val="009F3F5C"/>
    <w:rsid w:val="009F41F8"/>
    <w:rsid w:val="009F49C4"/>
    <w:rsid w:val="009F4A71"/>
    <w:rsid w:val="009F4C45"/>
    <w:rsid w:val="009F5659"/>
    <w:rsid w:val="009F5F16"/>
    <w:rsid w:val="009F6AD7"/>
    <w:rsid w:val="009F6F01"/>
    <w:rsid w:val="009F7010"/>
    <w:rsid w:val="009F705C"/>
    <w:rsid w:val="009F79D8"/>
    <w:rsid w:val="009F7C68"/>
    <w:rsid w:val="00A00305"/>
    <w:rsid w:val="00A0038F"/>
    <w:rsid w:val="00A0053F"/>
    <w:rsid w:val="00A0092F"/>
    <w:rsid w:val="00A00986"/>
    <w:rsid w:val="00A009A0"/>
    <w:rsid w:val="00A00EEA"/>
    <w:rsid w:val="00A01688"/>
    <w:rsid w:val="00A01DF2"/>
    <w:rsid w:val="00A01DFC"/>
    <w:rsid w:val="00A0207C"/>
    <w:rsid w:val="00A029CC"/>
    <w:rsid w:val="00A03642"/>
    <w:rsid w:val="00A03F80"/>
    <w:rsid w:val="00A04A57"/>
    <w:rsid w:val="00A0504D"/>
    <w:rsid w:val="00A0590C"/>
    <w:rsid w:val="00A05ACB"/>
    <w:rsid w:val="00A05D48"/>
    <w:rsid w:val="00A05E82"/>
    <w:rsid w:val="00A061A3"/>
    <w:rsid w:val="00A06723"/>
    <w:rsid w:val="00A06BFC"/>
    <w:rsid w:val="00A0740D"/>
    <w:rsid w:val="00A07F1C"/>
    <w:rsid w:val="00A102EC"/>
    <w:rsid w:val="00A10C49"/>
    <w:rsid w:val="00A1130D"/>
    <w:rsid w:val="00A11741"/>
    <w:rsid w:val="00A11EEB"/>
    <w:rsid w:val="00A12027"/>
    <w:rsid w:val="00A121E6"/>
    <w:rsid w:val="00A1317D"/>
    <w:rsid w:val="00A13E2C"/>
    <w:rsid w:val="00A14164"/>
    <w:rsid w:val="00A146AA"/>
    <w:rsid w:val="00A146B8"/>
    <w:rsid w:val="00A14AC2"/>
    <w:rsid w:val="00A15696"/>
    <w:rsid w:val="00A156CF"/>
    <w:rsid w:val="00A158B9"/>
    <w:rsid w:val="00A158BA"/>
    <w:rsid w:val="00A15B9E"/>
    <w:rsid w:val="00A1634D"/>
    <w:rsid w:val="00A172C4"/>
    <w:rsid w:val="00A1768C"/>
    <w:rsid w:val="00A17B6E"/>
    <w:rsid w:val="00A17EE5"/>
    <w:rsid w:val="00A2038A"/>
    <w:rsid w:val="00A20A5A"/>
    <w:rsid w:val="00A21967"/>
    <w:rsid w:val="00A2196A"/>
    <w:rsid w:val="00A223B1"/>
    <w:rsid w:val="00A226FD"/>
    <w:rsid w:val="00A2273A"/>
    <w:rsid w:val="00A22D64"/>
    <w:rsid w:val="00A22E02"/>
    <w:rsid w:val="00A22E94"/>
    <w:rsid w:val="00A23422"/>
    <w:rsid w:val="00A236B2"/>
    <w:rsid w:val="00A236FD"/>
    <w:rsid w:val="00A23BE2"/>
    <w:rsid w:val="00A24EAB"/>
    <w:rsid w:val="00A25281"/>
    <w:rsid w:val="00A25C92"/>
    <w:rsid w:val="00A25EDD"/>
    <w:rsid w:val="00A26197"/>
    <w:rsid w:val="00A26E6F"/>
    <w:rsid w:val="00A273FB"/>
    <w:rsid w:val="00A27439"/>
    <w:rsid w:val="00A27BF0"/>
    <w:rsid w:val="00A27C69"/>
    <w:rsid w:val="00A27EDE"/>
    <w:rsid w:val="00A3032C"/>
    <w:rsid w:val="00A309C1"/>
    <w:rsid w:val="00A30CEC"/>
    <w:rsid w:val="00A314BF"/>
    <w:rsid w:val="00A31705"/>
    <w:rsid w:val="00A31AFD"/>
    <w:rsid w:val="00A325F1"/>
    <w:rsid w:val="00A326AB"/>
    <w:rsid w:val="00A332A2"/>
    <w:rsid w:val="00A33BC1"/>
    <w:rsid w:val="00A33F2C"/>
    <w:rsid w:val="00A34426"/>
    <w:rsid w:val="00A344C8"/>
    <w:rsid w:val="00A34BA6"/>
    <w:rsid w:val="00A34FCC"/>
    <w:rsid w:val="00A34FEC"/>
    <w:rsid w:val="00A353D1"/>
    <w:rsid w:val="00A35B9D"/>
    <w:rsid w:val="00A35DF4"/>
    <w:rsid w:val="00A36125"/>
    <w:rsid w:val="00A36139"/>
    <w:rsid w:val="00A36166"/>
    <w:rsid w:val="00A3617D"/>
    <w:rsid w:val="00A36804"/>
    <w:rsid w:val="00A37273"/>
    <w:rsid w:val="00A3780E"/>
    <w:rsid w:val="00A37D6C"/>
    <w:rsid w:val="00A400E3"/>
    <w:rsid w:val="00A404DC"/>
    <w:rsid w:val="00A406EF"/>
    <w:rsid w:val="00A40A85"/>
    <w:rsid w:val="00A40CAF"/>
    <w:rsid w:val="00A41642"/>
    <w:rsid w:val="00A42423"/>
    <w:rsid w:val="00A4282D"/>
    <w:rsid w:val="00A43D95"/>
    <w:rsid w:val="00A43E09"/>
    <w:rsid w:val="00A448C4"/>
    <w:rsid w:val="00A4495B"/>
    <w:rsid w:val="00A44CAE"/>
    <w:rsid w:val="00A44DB2"/>
    <w:rsid w:val="00A4562F"/>
    <w:rsid w:val="00A45649"/>
    <w:rsid w:val="00A45867"/>
    <w:rsid w:val="00A45C16"/>
    <w:rsid w:val="00A45E5F"/>
    <w:rsid w:val="00A469A0"/>
    <w:rsid w:val="00A47D56"/>
    <w:rsid w:val="00A47DFC"/>
    <w:rsid w:val="00A502AC"/>
    <w:rsid w:val="00A5073B"/>
    <w:rsid w:val="00A5094F"/>
    <w:rsid w:val="00A50AEB"/>
    <w:rsid w:val="00A50E20"/>
    <w:rsid w:val="00A50F68"/>
    <w:rsid w:val="00A513AE"/>
    <w:rsid w:val="00A515A0"/>
    <w:rsid w:val="00A53063"/>
    <w:rsid w:val="00A536E7"/>
    <w:rsid w:val="00A538BF"/>
    <w:rsid w:val="00A54914"/>
    <w:rsid w:val="00A54EC5"/>
    <w:rsid w:val="00A5504D"/>
    <w:rsid w:val="00A5592C"/>
    <w:rsid w:val="00A55F95"/>
    <w:rsid w:val="00A565BF"/>
    <w:rsid w:val="00A5693F"/>
    <w:rsid w:val="00A56A7F"/>
    <w:rsid w:val="00A56B6C"/>
    <w:rsid w:val="00A57551"/>
    <w:rsid w:val="00A5765C"/>
    <w:rsid w:val="00A576F4"/>
    <w:rsid w:val="00A57974"/>
    <w:rsid w:val="00A60AEE"/>
    <w:rsid w:val="00A61A3D"/>
    <w:rsid w:val="00A61FE6"/>
    <w:rsid w:val="00A62C70"/>
    <w:rsid w:val="00A62F00"/>
    <w:rsid w:val="00A6370E"/>
    <w:rsid w:val="00A63777"/>
    <w:rsid w:val="00A63CA9"/>
    <w:rsid w:val="00A63D65"/>
    <w:rsid w:val="00A64DB1"/>
    <w:rsid w:val="00A64E05"/>
    <w:rsid w:val="00A6608F"/>
    <w:rsid w:val="00A66F1F"/>
    <w:rsid w:val="00A67594"/>
    <w:rsid w:val="00A6759C"/>
    <w:rsid w:val="00A67C82"/>
    <w:rsid w:val="00A67D44"/>
    <w:rsid w:val="00A70448"/>
    <w:rsid w:val="00A709DE"/>
    <w:rsid w:val="00A70D11"/>
    <w:rsid w:val="00A71137"/>
    <w:rsid w:val="00A71BE1"/>
    <w:rsid w:val="00A71CBF"/>
    <w:rsid w:val="00A71D07"/>
    <w:rsid w:val="00A71ED5"/>
    <w:rsid w:val="00A727EA"/>
    <w:rsid w:val="00A727F2"/>
    <w:rsid w:val="00A72965"/>
    <w:rsid w:val="00A72EB1"/>
    <w:rsid w:val="00A736D7"/>
    <w:rsid w:val="00A73BDD"/>
    <w:rsid w:val="00A73CEE"/>
    <w:rsid w:val="00A73D0E"/>
    <w:rsid w:val="00A74192"/>
    <w:rsid w:val="00A744DE"/>
    <w:rsid w:val="00A74BBF"/>
    <w:rsid w:val="00A750F9"/>
    <w:rsid w:val="00A757D7"/>
    <w:rsid w:val="00A75EA0"/>
    <w:rsid w:val="00A77037"/>
    <w:rsid w:val="00A770F7"/>
    <w:rsid w:val="00A7737B"/>
    <w:rsid w:val="00A77401"/>
    <w:rsid w:val="00A77435"/>
    <w:rsid w:val="00A7752F"/>
    <w:rsid w:val="00A775DA"/>
    <w:rsid w:val="00A778AE"/>
    <w:rsid w:val="00A77CA6"/>
    <w:rsid w:val="00A80126"/>
    <w:rsid w:val="00A80259"/>
    <w:rsid w:val="00A80BC9"/>
    <w:rsid w:val="00A81887"/>
    <w:rsid w:val="00A81AC2"/>
    <w:rsid w:val="00A81EA0"/>
    <w:rsid w:val="00A8297F"/>
    <w:rsid w:val="00A82ED7"/>
    <w:rsid w:val="00A8313F"/>
    <w:rsid w:val="00A84842"/>
    <w:rsid w:val="00A848B7"/>
    <w:rsid w:val="00A84A99"/>
    <w:rsid w:val="00A84C69"/>
    <w:rsid w:val="00A85135"/>
    <w:rsid w:val="00A85EF0"/>
    <w:rsid w:val="00A86746"/>
    <w:rsid w:val="00A86C98"/>
    <w:rsid w:val="00A90379"/>
    <w:rsid w:val="00A906DA"/>
    <w:rsid w:val="00A91658"/>
    <w:rsid w:val="00A91681"/>
    <w:rsid w:val="00A91B51"/>
    <w:rsid w:val="00A91CE3"/>
    <w:rsid w:val="00A920CF"/>
    <w:rsid w:val="00A9215B"/>
    <w:rsid w:val="00A9221F"/>
    <w:rsid w:val="00A9265E"/>
    <w:rsid w:val="00A92714"/>
    <w:rsid w:val="00A934CC"/>
    <w:rsid w:val="00A936A8"/>
    <w:rsid w:val="00A93C21"/>
    <w:rsid w:val="00A945AB"/>
    <w:rsid w:val="00A953EF"/>
    <w:rsid w:val="00A956D4"/>
    <w:rsid w:val="00A95862"/>
    <w:rsid w:val="00A95B77"/>
    <w:rsid w:val="00A95CDA"/>
    <w:rsid w:val="00A9600D"/>
    <w:rsid w:val="00A96036"/>
    <w:rsid w:val="00A962DC"/>
    <w:rsid w:val="00A96311"/>
    <w:rsid w:val="00A96F72"/>
    <w:rsid w:val="00A9721C"/>
    <w:rsid w:val="00A97230"/>
    <w:rsid w:val="00A97572"/>
    <w:rsid w:val="00A9759F"/>
    <w:rsid w:val="00A978B2"/>
    <w:rsid w:val="00A97DCF"/>
    <w:rsid w:val="00AA0C86"/>
    <w:rsid w:val="00AA1869"/>
    <w:rsid w:val="00AA1C46"/>
    <w:rsid w:val="00AA31C0"/>
    <w:rsid w:val="00AA3936"/>
    <w:rsid w:val="00AA3F2C"/>
    <w:rsid w:val="00AA3F37"/>
    <w:rsid w:val="00AA411B"/>
    <w:rsid w:val="00AA4B33"/>
    <w:rsid w:val="00AA4E8C"/>
    <w:rsid w:val="00AA511E"/>
    <w:rsid w:val="00AA517E"/>
    <w:rsid w:val="00AA518A"/>
    <w:rsid w:val="00AA5261"/>
    <w:rsid w:val="00AA5665"/>
    <w:rsid w:val="00AA5A80"/>
    <w:rsid w:val="00AA62F4"/>
    <w:rsid w:val="00AA6723"/>
    <w:rsid w:val="00AA7034"/>
    <w:rsid w:val="00AA735A"/>
    <w:rsid w:val="00AA77B3"/>
    <w:rsid w:val="00AA7E80"/>
    <w:rsid w:val="00AB0477"/>
    <w:rsid w:val="00AB050A"/>
    <w:rsid w:val="00AB12EB"/>
    <w:rsid w:val="00AB1643"/>
    <w:rsid w:val="00AB1B93"/>
    <w:rsid w:val="00AB283D"/>
    <w:rsid w:val="00AB4BFF"/>
    <w:rsid w:val="00AB4CC4"/>
    <w:rsid w:val="00AB4E8C"/>
    <w:rsid w:val="00AB4F93"/>
    <w:rsid w:val="00AB50F9"/>
    <w:rsid w:val="00AB518C"/>
    <w:rsid w:val="00AB51A6"/>
    <w:rsid w:val="00AB5242"/>
    <w:rsid w:val="00AB551A"/>
    <w:rsid w:val="00AB697F"/>
    <w:rsid w:val="00AB712E"/>
    <w:rsid w:val="00AB7308"/>
    <w:rsid w:val="00AB77B5"/>
    <w:rsid w:val="00AB7D93"/>
    <w:rsid w:val="00AC0775"/>
    <w:rsid w:val="00AC0829"/>
    <w:rsid w:val="00AC0FC7"/>
    <w:rsid w:val="00AC1495"/>
    <w:rsid w:val="00AC22DE"/>
    <w:rsid w:val="00AC2AC2"/>
    <w:rsid w:val="00AC33C2"/>
    <w:rsid w:val="00AC416B"/>
    <w:rsid w:val="00AC4DA0"/>
    <w:rsid w:val="00AC50E2"/>
    <w:rsid w:val="00AC5376"/>
    <w:rsid w:val="00AC5C56"/>
    <w:rsid w:val="00AC5E8F"/>
    <w:rsid w:val="00AC613A"/>
    <w:rsid w:val="00AC6302"/>
    <w:rsid w:val="00AC6F07"/>
    <w:rsid w:val="00AC736A"/>
    <w:rsid w:val="00AC7C14"/>
    <w:rsid w:val="00AD05DB"/>
    <w:rsid w:val="00AD0801"/>
    <w:rsid w:val="00AD0807"/>
    <w:rsid w:val="00AD08AD"/>
    <w:rsid w:val="00AD0F31"/>
    <w:rsid w:val="00AD1297"/>
    <w:rsid w:val="00AD175C"/>
    <w:rsid w:val="00AD1825"/>
    <w:rsid w:val="00AD1AAF"/>
    <w:rsid w:val="00AD2D63"/>
    <w:rsid w:val="00AD2EF0"/>
    <w:rsid w:val="00AD3188"/>
    <w:rsid w:val="00AD36CE"/>
    <w:rsid w:val="00AD389C"/>
    <w:rsid w:val="00AD3FED"/>
    <w:rsid w:val="00AD4198"/>
    <w:rsid w:val="00AD4B48"/>
    <w:rsid w:val="00AD4B87"/>
    <w:rsid w:val="00AD4E1E"/>
    <w:rsid w:val="00AD4FC3"/>
    <w:rsid w:val="00AD56EE"/>
    <w:rsid w:val="00AD6712"/>
    <w:rsid w:val="00AD67E3"/>
    <w:rsid w:val="00AD69DD"/>
    <w:rsid w:val="00AD7522"/>
    <w:rsid w:val="00AD7716"/>
    <w:rsid w:val="00AD7B22"/>
    <w:rsid w:val="00AE02F0"/>
    <w:rsid w:val="00AE054C"/>
    <w:rsid w:val="00AE1987"/>
    <w:rsid w:val="00AE1AB4"/>
    <w:rsid w:val="00AE1D04"/>
    <w:rsid w:val="00AE1F48"/>
    <w:rsid w:val="00AE2197"/>
    <w:rsid w:val="00AE21A9"/>
    <w:rsid w:val="00AE2528"/>
    <w:rsid w:val="00AE25DF"/>
    <w:rsid w:val="00AE2F68"/>
    <w:rsid w:val="00AE3359"/>
    <w:rsid w:val="00AE39DE"/>
    <w:rsid w:val="00AE3C6A"/>
    <w:rsid w:val="00AE4BBD"/>
    <w:rsid w:val="00AE5502"/>
    <w:rsid w:val="00AE5514"/>
    <w:rsid w:val="00AE5F43"/>
    <w:rsid w:val="00AE6310"/>
    <w:rsid w:val="00AE6696"/>
    <w:rsid w:val="00AE6820"/>
    <w:rsid w:val="00AE68C6"/>
    <w:rsid w:val="00AE6BF2"/>
    <w:rsid w:val="00AE6D0F"/>
    <w:rsid w:val="00AE6DB8"/>
    <w:rsid w:val="00AE725A"/>
    <w:rsid w:val="00AE734A"/>
    <w:rsid w:val="00AF011A"/>
    <w:rsid w:val="00AF0238"/>
    <w:rsid w:val="00AF0262"/>
    <w:rsid w:val="00AF0F12"/>
    <w:rsid w:val="00AF0F71"/>
    <w:rsid w:val="00AF118B"/>
    <w:rsid w:val="00AF15F8"/>
    <w:rsid w:val="00AF1A0E"/>
    <w:rsid w:val="00AF1C58"/>
    <w:rsid w:val="00AF2794"/>
    <w:rsid w:val="00AF27AD"/>
    <w:rsid w:val="00AF2A2D"/>
    <w:rsid w:val="00AF384D"/>
    <w:rsid w:val="00AF392A"/>
    <w:rsid w:val="00AF3D67"/>
    <w:rsid w:val="00AF44B0"/>
    <w:rsid w:val="00AF4A99"/>
    <w:rsid w:val="00AF4F2E"/>
    <w:rsid w:val="00AF4FDA"/>
    <w:rsid w:val="00AF52A3"/>
    <w:rsid w:val="00AF53E5"/>
    <w:rsid w:val="00AF5C63"/>
    <w:rsid w:val="00AF5DF1"/>
    <w:rsid w:val="00AF659B"/>
    <w:rsid w:val="00AF65F1"/>
    <w:rsid w:val="00AF663B"/>
    <w:rsid w:val="00AF740E"/>
    <w:rsid w:val="00AF7660"/>
    <w:rsid w:val="00AF7BEC"/>
    <w:rsid w:val="00AF7CB2"/>
    <w:rsid w:val="00AF7EFE"/>
    <w:rsid w:val="00B00253"/>
    <w:rsid w:val="00B004E4"/>
    <w:rsid w:val="00B00745"/>
    <w:rsid w:val="00B01307"/>
    <w:rsid w:val="00B01BCE"/>
    <w:rsid w:val="00B01C2E"/>
    <w:rsid w:val="00B027F7"/>
    <w:rsid w:val="00B02A7E"/>
    <w:rsid w:val="00B03542"/>
    <w:rsid w:val="00B03C27"/>
    <w:rsid w:val="00B03E07"/>
    <w:rsid w:val="00B03F55"/>
    <w:rsid w:val="00B0449C"/>
    <w:rsid w:val="00B0462E"/>
    <w:rsid w:val="00B046C8"/>
    <w:rsid w:val="00B0475D"/>
    <w:rsid w:val="00B049D3"/>
    <w:rsid w:val="00B05005"/>
    <w:rsid w:val="00B053B4"/>
    <w:rsid w:val="00B0541A"/>
    <w:rsid w:val="00B05469"/>
    <w:rsid w:val="00B05512"/>
    <w:rsid w:val="00B05C0C"/>
    <w:rsid w:val="00B05CAF"/>
    <w:rsid w:val="00B05EFC"/>
    <w:rsid w:val="00B05F3B"/>
    <w:rsid w:val="00B060D2"/>
    <w:rsid w:val="00B0620C"/>
    <w:rsid w:val="00B064E9"/>
    <w:rsid w:val="00B06847"/>
    <w:rsid w:val="00B068AC"/>
    <w:rsid w:val="00B07113"/>
    <w:rsid w:val="00B073DE"/>
    <w:rsid w:val="00B075A7"/>
    <w:rsid w:val="00B078BD"/>
    <w:rsid w:val="00B100EA"/>
    <w:rsid w:val="00B103EB"/>
    <w:rsid w:val="00B104AA"/>
    <w:rsid w:val="00B1053F"/>
    <w:rsid w:val="00B10603"/>
    <w:rsid w:val="00B10D25"/>
    <w:rsid w:val="00B10EBA"/>
    <w:rsid w:val="00B1141B"/>
    <w:rsid w:val="00B115B4"/>
    <w:rsid w:val="00B1165A"/>
    <w:rsid w:val="00B11FE1"/>
    <w:rsid w:val="00B12C0B"/>
    <w:rsid w:val="00B12C4A"/>
    <w:rsid w:val="00B12F75"/>
    <w:rsid w:val="00B137C1"/>
    <w:rsid w:val="00B14344"/>
    <w:rsid w:val="00B14D97"/>
    <w:rsid w:val="00B14F0F"/>
    <w:rsid w:val="00B15EBC"/>
    <w:rsid w:val="00B16718"/>
    <w:rsid w:val="00B1725E"/>
    <w:rsid w:val="00B174AF"/>
    <w:rsid w:val="00B1783D"/>
    <w:rsid w:val="00B17F8B"/>
    <w:rsid w:val="00B20ED8"/>
    <w:rsid w:val="00B20FCA"/>
    <w:rsid w:val="00B2133E"/>
    <w:rsid w:val="00B22710"/>
    <w:rsid w:val="00B22F0B"/>
    <w:rsid w:val="00B2387C"/>
    <w:rsid w:val="00B23EDD"/>
    <w:rsid w:val="00B24634"/>
    <w:rsid w:val="00B25346"/>
    <w:rsid w:val="00B25482"/>
    <w:rsid w:val="00B2576F"/>
    <w:rsid w:val="00B26317"/>
    <w:rsid w:val="00B26732"/>
    <w:rsid w:val="00B27036"/>
    <w:rsid w:val="00B27331"/>
    <w:rsid w:val="00B27661"/>
    <w:rsid w:val="00B301C5"/>
    <w:rsid w:val="00B3073F"/>
    <w:rsid w:val="00B30E97"/>
    <w:rsid w:val="00B3122A"/>
    <w:rsid w:val="00B3198A"/>
    <w:rsid w:val="00B31F77"/>
    <w:rsid w:val="00B32215"/>
    <w:rsid w:val="00B32301"/>
    <w:rsid w:val="00B3261A"/>
    <w:rsid w:val="00B3267A"/>
    <w:rsid w:val="00B32F38"/>
    <w:rsid w:val="00B32FD8"/>
    <w:rsid w:val="00B33499"/>
    <w:rsid w:val="00B335E5"/>
    <w:rsid w:val="00B33F74"/>
    <w:rsid w:val="00B34085"/>
    <w:rsid w:val="00B34C4B"/>
    <w:rsid w:val="00B3566D"/>
    <w:rsid w:val="00B35A31"/>
    <w:rsid w:val="00B35B27"/>
    <w:rsid w:val="00B361C9"/>
    <w:rsid w:val="00B37912"/>
    <w:rsid w:val="00B37AE2"/>
    <w:rsid w:val="00B40795"/>
    <w:rsid w:val="00B4092C"/>
    <w:rsid w:val="00B40D06"/>
    <w:rsid w:val="00B41DC8"/>
    <w:rsid w:val="00B41FFF"/>
    <w:rsid w:val="00B42729"/>
    <w:rsid w:val="00B42A7F"/>
    <w:rsid w:val="00B42D6C"/>
    <w:rsid w:val="00B45639"/>
    <w:rsid w:val="00B45E0F"/>
    <w:rsid w:val="00B46380"/>
    <w:rsid w:val="00B46AE6"/>
    <w:rsid w:val="00B47414"/>
    <w:rsid w:val="00B475DF"/>
    <w:rsid w:val="00B50AAF"/>
    <w:rsid w:val="00B50B1A"/>
    <w:rsid w:val="00B522FE"/>
    <w:rsid w:val="00B5264D"/>
    <w:rsid w:val="00B52B64"/>
    <w:rsid w:val="00B53229"/>
    <w:rsid w:val="00B53302"/>
    <w:rsid w:val="00B5330E"/>
    <w:rsid w:val="00B5331A"/>
    <w:rsid w:val="00B548E2"/>
    <w:rsid w:val="00B54FA3"/>
    <w:rsid w:val="00B55079"/>
    <w:rsid w:val="00B55541"/>
    <w:rsid w:val="00B55596"/>
    <w:rsid w:val="00B555FD"/>
    <w:rsid w:val="00B559BF"/>
    <w:rsid w:val="00B55A1C"/>
    <w:rsid w:val="00B565F2"/>
    <w:rsid w:val="00B5685C"/>
    <w:rsid w:val="00B56CBF"/>
    <w:rsid w:val="00B574DE"/>
    <w:rsid w:val="00B57A3C"/>
    <w:rsid w:val="00B60598"/>
    <w:rsid w:val="00B60B53"/>
    <w:rsid w:val="00B60D4F"/>
    <w:rsid w:val="00B61530"/>
    <w:rsid w:val="00B6199E"/>
    <w:rsid w:val="00B61D93"/>
    <w:rsid w:val="00B62274"/>
    <w:rsid w:val="00B62299"/>
    <w:rsid w:val="00B633F0"/>
    <w:rsid w:val="00B635F6"/>
    <w:rsid w:val="00B63B76"/>
    <w:rsid w:val="00B65AD8"/>
    <w:rsid w:val="00B65B0F"/>
    <w:rsid w:val="00B65DBB"/>
    <w:rsid w:val="00B662B2"/>
    <w:rsid w:val="00B665D7"/>
    <w:rsid w:val="00B66DE5"/>
    <w:rsid w:val="00B671C9"/>
    <w:rsid w:val="00B67785"/>
    <w:rsid w:val="00B70350"/>
    <w:rsid w:val="00B70A1B"/>
    <w:rsid w:val="00B70D06"/>
    <w:rsid w:val="00B70DD0"/>
    <w:rsid w:val="00B70E10"/>
    <w:rsid w:val="00B70E52"/>
    <w:rsid w:val="00B718AF"/>
    <w:rsid w:val="00B71A97"/>
    <w:rsid w:val="00B71B25"/>
    <w:rsid w:val="00B71C5D"/>
    <w:rsid w:val="00B7208C"/>
    <w:rsid w:val="00B72687"/>
    <w:rsid w:val="00B749DA"/>
    <w:rsid w:val="00B753CE"/>
    <w:rsid w:val="00B75E04"/>
    <w:rsid w:val="00B76540"/>
    <w:rsid w:val="00B765CF"/>
    <w:rsid w:val="00B766DB"/>
    <w:rsid w:val="00B767FA"/>
    <w:rsid w:val="00B7692C"/>
    <w:rsid w:val="00B76B8D"/>
    <w:rsid w:val="00B777B2"/>
    <w:rsid w:val="00B80CA3"/>
    <w:rsid w:val="00B80DFA"/>
    <w:rsid w:val="00B81189"/>
    <w:rsid w:val="00B81749"/>
    <w:rsid w:val="00B818BF"/>
    <w:rsid w:val="00B81ECB"/>
    <w:rsid w:val="00B826DC"/>
    <w:rsid w:val="00B82EB0"/>
    <w:rsid w:val="00B831E3"/>
    <w:rsid w:val="00B83C70"/>
    <w:rsid w:val="00B84014"/>
    <w:rsid w:val="00B84701"/>
    <w:rsid w:val="00B84998"/>
    <w:rsid w:val="00B849C7"/>
    <w:rsid w:val="00B84FB7"/>
    <w:rsid w:val="00B85074"/>
    <w:rsid w:val="00B85276"/>
    <w:rsid w:val="00B86191"/>
    <w:rsid w:val="00B87174"/>
    <w:rsid w:val="00B8736D"/>
    <w:rsid w:val="00B8780D"/>
    <w:rsid w:val="00B8782C"/>
    <w:rsid w:val="00B87F38"/>
    <w:rsid w:val="00B90C30"/>
    <w:rsid w:val="00B90E68"/>
    <w:rsid w:val="00B921EB"/>
    <w:rsid w:val="00B92393"/>
    <w:rsid w:val="00B92986"/>
    <w:rsid w:val="00B93754"/>
    <w:rsid w:val="00B93E5B"/>
    <w:rsid w:val="00B94009"/>
    <w:rsid w:val="00B94683"/>
    <w:rsid w:val="00B957D4"/>
    <w:rsid w:val="00B95C1D"/>
    <w:rsid w:val="00B95DF6"/>
    <w:rsid w:val="00B95FC7"/>
    <w:rsid w:val="00B962F7"/>
    <w:rsid w:val="00B964B0"/>
    <w:rsid w:val="00B96837"/>
    <w:rsid w:val="00B970E8"/>
    <w:rsid w:val="00B97982"/>
    <w:rsid w:val="00BA03FB"/>
    <w:rsid w:val="00BA1081"/>
    <w:rsid w:val="00BA1CF5"/>
    <w:rsid w:val="00BA2AA8"/>
    <w:rsid w:val="00BA2CBF"/>
    <w:rsid w:val="00BA33B0"/>
    <w:rsid w:val="00BA38DE"/>
    <w:rsid w:val="00BA42E9"/>
    <w:rsid w:val="00BA4411"/>
    <w:rsid w:val="00BA4A54"/>
    <w:rsid w:val="00BA4D44"/>
    <w:rsid w:val="00BA558B"/>
    <w:rsid w:val="00BA575F"/>
    <w:rsid w:val="00BA5B23"/>
    <w:rsid w:val="00BA5C6E"/>
    <w:rsid w:val="00BA5EFA"/>
    <w:rsid w:val="00BA6913"/>
    <w:rsid w:val="00BA71C7"/>
    <w:rsid w:val="00BA725F"/>
    <w:rsid w:val="00BA72FD"/>
    <w:rsid w:val="00BA75EB"/>
    <w:rsid w:val="00BA7BAA"/>
    <w:rsid w:val="00BA7E81"/>
    <w:rsid w:val="00BB05A3"/>
    <w:rsid w:val="00BB0777"/>
    <w:rsid w:val="00BB07FE"/>
    <w:rsid w:val="00BB0DE7"/>
    <w:rsid w:val="00BB11B6"/>
    <w:rsid w:val="00BB1377"/>
    <w:rsid w:val="00BB14CD"/>
    <w:rsid w:val="00BB14EC"/>
    <w:rsid w:val="00BB1DD2"/>
    <w:rsid w:val="00BB31F3"/>
    <w:rsid w:val="00BB3A18"/>
    <w:rsid w:val="00BB4051"/>
    <w:rsid w:val="00BB461D"/>
    <w:rsid w:val="00BB4777"/>
    <w:rsid w:val="00BB487E"/>
    <w:rsid w:val="00BB4B5C"/>
    <w:rsid w:val="00BB5272"/>
    <w:rsid w:val="00BB5623"/>
    <w:rsid w:val="00BB596D"/>
    <w:rsid w:val="00BB5F2D"/>
    <w:rsid w:val="00BB6396"/>
    <w:rsid w:val="00BB6597"/>
    <w:rsid w:val="00BB6E7B"/>
    <w:rsid w:val="00BB6FDD"/>
    <w:rsid w:val="00BB7024"/>
    <w:rsid w:val="00BB77F7"/>
    <w:rsid w:val="00BB781E"/>
    <w:rsid w:val="00BB7E0E"/>
    <w:rsid w:val="00BC0119"/>
    <w:rsid w:val="00BC07DF"/>
    <w:rsid w:val="00BC09B5"/>
    <w:rsid w:val="00BC1396"/>
    <w:rsid w:val="00BC1D0D"/>
    <w:rsid w:val="00BC20EC"/>
    <w:rsid w:val="00BC2189"/>
    <w:rsid w:val="00BC2934"/>
    <w:rsid w:val="00BC2B89"/>
    <w:rsid w:val="00BC2E6A"/>
    <w:rsid w:val="00BC34D2"/>
    <w:rsid w:val="00BC355A"/>
    <w:rsid w:val="00BC3A48"/>
    <w:rsid w:val="00BC3E18"/>
    <w:rsid w:val="00BC418B"/>
    <w:rsid w:val="00BC43F8"/>
    <w:rsid w:val="00BC4648"/>
    <w:rsid w:val="00BC4985"/>
    <w:rsid w:val="00BC59DA"/>
    <w:rsid w:val="00BC6455"/>
    <w:rsid w:val="00BC65CF"/>
    <w:rsid w:val="00BC66B9"/>
    <w:rsid w:val="00BC6742"/>
    <w:rsid w:val="00BC6D78"/>
    <w:rsid w:val="00BC7998"/>
    <w:rsid w:val="00BC7C85"/>
    <w:rsid w:val="00BD054C"/>
    <w:rsid w:val="00BD0F86"/>
    <w:rsid w:val="00BD1B51"/>
    <w:rsid w:val="00BD1E99"/>
    <w:rsid w:val="00BD225D"/>
    <w:rsid w:val="00BD340B"/>
    <w:rsid w:val="00BD447D"/>
    <w:rsid w:val="00BD4520"/>
    <w:rsid w:val="00BD53C3"/>
    <w:rsid w:val="00BD5867"/>
    <w:rsid w:val="00BD5962"/>
    <w:rsid w:val="00BD649A"/>
    <w:rsid w:val="00BD6C51"/>
    <w:rsid w:val="00BD774C"/>
    <w:rsid w:val="00BD79A9"/>
    <w:rsid w:val="00BD7C07"/>
    <w:rsid w:val="00BE04B6"/>
    <w:rsid w:val="00BE0A4D"/>
    <w:rsid w:val="00BE0A91"/>
    <w:rsid w:val="00BE0E11"/>
    <w:rsid w:val="00BE1A91"/>
    <w:rsid w:val="00BE22CB"/>
    <w:rsid w:val="00BE242E"/>
    <w:rsid w:val="00BE335F"/>
    <w:rsid w:val="00BE3604"/>
    <w:rsid w:val="00BE40B7"/>
    <w:rsid w:val="00BE5802"/>
    <w:rsid w:val="00BE5928"/>
    <w:rsid w:val="00BE5C84"/>
    <w:rsid w:val="00BE60A4"/>
    <w:rsid w:val="00BE7034"/>
    <w:rsid w:val="00BE70C9"/>
    <w:rsid w:val="00BE73F5"/>
    <w:rsid w:val="00BE74F8"/>
    <w:rsid w:val="00BE7761"/>
    <w:rsid w:val="00BE7BE0"/>
    <w:rsid w:val="00BE7DB5"/>
    <w:rsid w:val="00BF0518"/>
    <w:rsid w:val="00BF07F3"/>
    <w:rsid w:val="00BF1C3C"/>
    <w:rsid w:val="00BF1F7C"/>
    <w:rsid w:val="00BF20A5"/>
    <w:rsid w:val="00BF235E"/>
    <w:rsid w:val="00BF2587"/>
    <w:rsid w:val="00BF296E"/>
    <w:rsid w:val="00BF2A0D"/>
    <w:rsid w:val="00BF35F4"/>
    <w:rsid w:val="00BF393A"/>
    <w:rsid w:val="00BF3A99"/>
    <w:rsid w:val="00BF4439"/>
    <w:rsid w:val="00BF4630"/>
    <w:rsid w:val="00BF4748"/>
    <w:rsid w:val="00BF5109"/>
    <w:rsid w:val="00BF5336"/>
    <w:rsid w:val="00BF5D4F"/>
    <w:rsid w:val="00BF6135"/>
    <w:rsid w:val="00BF66C3"/>
    <w:rsid w:val="00BF66F5"/>
    <w:rsid w:val="00BF6B4B"/>
    <w:rsid w:val="00BF6B52"/>
    <w:rsid w:val="00BF6CBA"/>
    <w:rsid w:val="00BF6E41"/>
    <w:rsid w:val="00BF78CF"/>
    <w:rsid w:val="00BF7D76"/>
    <w:rsid w:val="00BF7FB3"/>
    <w:rsid w:val="00C0044C"/>
    <w:rsid w:val="00C00493"/>
    <w:rsid w:val="00C015D3"/>
    <w:rsid w:val="00C01A11"/>
    <w:rsid w:val="00C01B21"/>
    <w:rsid w:val="00C01BBB"/>
    <w:rsid w:val="00C02270"/>
    <w:rsid w:val="00C02A57"/>
    <w:rsid w:val="00C02F1D"/>
    <w:rsid w:val="00C03055"/>
    <w:rsid w:val="00C0341E"/>
    <w:rsid w:val="00C038D4"/>
    <w:rsid w:val="00C04916"/>
    <w:rsid w:val="00C04B7A"/>
    <w:rsid w:val="00C05516"/>
    <w:rsid w:val="00C0580B"/>
    <w:rsid w:val="00C06115"/>
    <w:rsid w:val="00C067AE"/>
    <w:rsid w:val="00C06921"/>
    <w:rsid w:val="00C072F7"/>
    <w:rsid w:val="00C07AFA"/>
    <w:rsid w:val="00C07E60"/>
    <w:rsid w:val="00C103BA"/>
    <w:rsid w:val="00C1052B"/>
    <w:rsid w:val="00C105F2"/>
    <w:rsid w:val="00C10667"/>
    <w:rsid w:val="00C10C6C"/>
    <w:rsid w:val="00C10F35"/>
    <w:rsid w:val="00C111F6"/>
    <w:rsid w:val="00C11ACE"/>
    <w:rsid w:val="00C12466"/>
    <w:rsid w:val="00C12594"/>
    <w:rsid w:val="00C12611"/>
    <w:rsid w:val="00C12ACB"/>
    <w:rsid w:val="00C12F32"/>
    <w:rsid w:val="00C13246"/>
    <w:rsid w:val="00C147F4"/>
    <w:rsid w:val="00C154A7"/>
    <w:rsid w:val="00C155D8"/>
    <w:rsid w:val="00C156AA"/>
    <w:rsid w:val="00C15B85"/>
    <w:rsid w:val="00C166BA"/>
    <w:rsid w:val="00C16745"/>
    <w:rsid w:val="00C16781"/>
    <w:rsid w:val="00C16DE7"/>
    <w:rsid w:val="00C17F52"/>
    <w:rsid w:val="00C17FF2"/>
    <w:rsid w:val="00C21624"/>
    <w:rsid w:val="00C21FCA"/>
    <w:rsid w:val="00C2298F"/>
    <w:rsid w:val="00C22C2D"/>
    <w:rsid w:val="00C22CC8"/>
    <w:rsid w:val="00C23520"/>
    <w:rsid w:val="00C2381C"/>
    <w:rsid w:val="00C24AD8"/>
    <w:rsid w:val="00C2509B"/>
    <w:rsid w:val="00C25187"/>
    <w:rsid w:val="00C251FC"/>
    <w:rsid w:val="00C252E3"/>
    <w:rsid w:val="00C25E73"/>
    <w:rsid w:val="00C26043"/>
    <w:rsid w:val="00C26239"/>
    <w:rsid w:val="00C2666B"/>
    <w:rsid w:val="00C267C1"/>
    <w:rsid w:val="00C26938"/>
    <w:rsid w:val="00C26CA1"/>
    <w:rsid w:val="00C26EDB"/>
    <w:rsid w:val="00C2749E"/>
    <w:rsid w:val="00C27827"/>
    <w:rsid w:val="00C27E1A"/>
    <w:rsid w:val="00C27E6E"/>
    <w:rsid w:val="00C3003F"/>
    <w:rsid w:val="00C30283"/>
    <w:rsid w:val="00C3078F"/>
    <w:rsid w:val="00C3096B"/>
    <w:rsid w:val="00C310E4"/>
    <w:rsid w:val="00C31FA7"/>
    <w:rsid w:val="00C320E5"/>
    <w:rsid w:val="00C32114"/>
    <w:rsid w:val="00C3258B"/>
    <w:rsid w:val="00C3273A"/>
    <w:rsid w:val="00C332CC"/>
    <w:rsid w:val="00C334F5"/>
    <w:rsid w:val="00C33811"/>
    <w:rsid w:val="00C33BF9"/>
    <w:rsid w:val="00C3401F"/>
    <w:rsid w:val="00C346CA"/>
    <w:rsid w:val="00C35BF7"/>
    <w:rsid w:val="00C362CA"/>
    <w:rsid w:val="00C36416"/>
    <w:rsid w:val="00C3762D"/>
    <w:rsid w:val="00C379B4"/>
    <w:rsid w:val="00C4081C"/>
    <w:rsid w:val="00C419CD"/>
    <w:rsid w:val="00C41FE5"/>
    <w:rsid w:val="00C42F5B"/>
    <w:rsid w:val="00C4388B"/>
    <w:rsid w:val="00C43B14"/>
    <w:rsid w:val="00C44237"/>
    <w:rsid w:val="00C444FC"/>
    <w:rsid w:val="00C446DC"/>
    <w:rsid w:val="00C44782"/>
    <w:rsid w:val="00C44A23"/>
    <w:rsid w:val="00C44A47"/>
    <w:rsid w:val="00C4561E"/>
    <w:rsid w:val="00C45D2D"/>
    <w:rsid w:val="00C4615F"/>
    <w:rsid w:val="00C46169"/>
    <w:rsid w:val="00C46229"/>
    <w:rsid w:val="00C466B1"/>
    <w:rsid w:val="00C46BFE"/>
    <w:rsid w:val="00C470B2"/>
    <w:rsid w:val="00C4754E"/>
    <w:rsid w:val="00C47761"/>
    <w:rsid w:val="00C47A35"/>
    <w:rsid w:val="00C47C43"/>
    <w:rsid w:val="00C5004C"/>
    <w:rsid w:val="00C5044A"/>
    <w:rsid w:val="00C506B4"/>
    <w:rsid w:val="00C5072B"/>
    <w:rsid w:val="00C50748"/>
    <w:rsid w:val="00C50BA0"/>
    <w:rsid w:val="00C50D8A"/>
    <w:rsid w:val="00C51306"/>
    <w:rsid w:val="00C51F0D"/>
    <w:rsid w:val="00C51FF4"/>
    <w:rsid w:val="00C520A2"/>
    <w:rsid w:val="00C5283B"/>
    <w:rsid w:val="00C52875"/>
    <w:rsid w:val="00C5305D"/>
    <w:rsid w:val="00C535A3"/>
    <w:rsid w:val="00C53951"/>
    <w:rsid w:val="00C53A62"/>
    <w:rsid w:val="00C548FE"/>
    <w:rsid w:val="00C54D67"/>
    <w:rsid w:val="00C553A4"/>
    <w:rsid w:val="00C55B9C"/>
    <w:rsid w:val="00C56EFC"/>
    <w:rsid w:val="00C56F0E"/>
    <w:rsid w:val="00C570AE"/>
    <w:rsid w:val="00C570B1"/>
    <w:rsid w:val="00C576D2"/>
    <w:rsid w:val="00C57B17"/>
    <w:rsid w:val="00C60516"/>
    <w:rsid w:val="00C60576"/>
    <w:rsid w:val="00C61168"/>
    <w:rsid w:val="00C611E5"/>
    <w:rsid w:val="00C61587"/>
    <w:rsid w:val="00C61E77"/>
    <w:rsid w:val="00C62158"/>
    <w:rsid w:val="00C62A9F"/>
    <w:rsid w:val="00C62AF3"/>
    <w:rsid w:val="00C632BC"/>
    <w:rsid w:val="00C63579"/>
    <w:rsid w:val="00C636F3"/>
    <w:rsid w:val="00C63BB9"/>
    <w:rsid w:val="00C63DE6"/>
    <w:rsid w:val="00C6412F"/>
    <w:rsid w:val="00C6419E"/>
    <w:rsid w:val="00C6484E"/>
    <w:rsid w:val="00C6494B"/>
    <w:rsid w:val="00C64990"/>
    <w:rsid w:val="00C64BAA"/>
    <w:rsid w:val="00C65175"/>
    <w:rsid w:val="00C65836"/>
    <w:rsid w:val="00C65C9E"/>
    <w:rsid w:val="00C6616A"/>
    <w:rsid w:val="00C66423"/>
    <w:rsid w:val="00C6652E"/>
    <w:rsid w:val="00C67887"/>
    <w:rsid w:val="00C67A4D"/>
    <w:rsid w:val="00C70585"/>
    <w:rsid w:val="00C70B24"/>
    <w:rsid w:val="00C70E03"/>
    <w:rsid w:val="00C71231"/>
    <w:rsid w:val="00C71D58"/>
    <w:rsid w:val="00C722C9"/>
    <w:rsid w:val="00C725CD"/>
    <w:rsid w:val="00C7268B"/>
    <w:rsid w:val="00C730E3"/>
    <w:rsid w:val="00C731F8"/>
    <w:rsid w:val="00C7345F"/>
    <w:rsid w:val="00C7416E"/>
    <w:rsid w:val="00C74379"/>
    <w:rsid w:val="00C7594B"/>
    <w:rsid w:val="00C75A35"/>
    <w:rsid w:val="00C75D94"/>
    <w:rsid w:val="00C7624A"/>
    <w:rsid w:val="00C76E10"/>
    <w:rsid w:val="00C77559"/>
    <w:rsid w:val="00C778C7"/>
    <w:rsid w:val="00C77B22"/>
    <w:rsid w:val="00C81DFD"/>
    <w:rsid w:val="00C822ED"/>
    <w:rsid w:val="00C8325B"/>
    <w:rsid w:val="00C84067"/>
    <w:rsid w:val="00C84BD8"/>
    <w:rsid w:val="00C84E76"/>
    <w:rsid w:val="00C8545F"/>
    <w:rsid w:val="00C854F5"/>
    <w:rsid w:val="00C855A8"/>
    <w:rsid w:val="00C85731"/>
    <w:rsid w:val="00C857B1"/>
    <w:rsid w:val="00C85B3C"/>
    <w:rsid w:val="00C85CDA"/>
    <w:rsid w:val="00C8633C"/>
    <w:rsid w:val="00C86357"/>
    <w:rsid w:val="00C86774"/>
    <w:rsid w:val="00C86853"/>
    <w:rsid w:val="00C86E17"/>
    <w:rsid w:val="00C86F60"/>
    <w:rsid w:val="00C87075"/>
    <w:rsid w:val="00C872C1"/>
    <w:rsid w:val="00C87A1A"/>
    <w:rsid w:val="00C904DC"/>
    <w:rsid w:val="00C90DD3"/>
    <w:rsid w:val="00C90E16"/>
    <w:rsid w:val="00C919F9"/>
    <w:rsid w:val="00C91A52"/>
    <w:rsid w:val="00C91DEF"/>
    <w:rsid w:val="00C91E02"/>
    <w:rsid w:val="00C91E38"/>
    <w:rsid w:val="00C92068"/>
    <w:rsid w:val="00C9241A"/>
    <w:rsid w:val="00C935B4"/>
    <w:rsid w:val="00C9376E"/>
    <w:rsid w:val="00C93D36"/>
    <w:rsid w:val="00C93FE3"/>
    <w:rsid w:val="00C94023"/>
    <w:rsid w:val="00C9447F"/>
    <w:rsid w:val="00C952ED"/>
    <w:rsid w:val="00C955A9"/>
    <w:rsid w:val="00C95612"/>
    <w:rsid w:val="00C956DE"/>
    <w:rsid w:val="00C95A57"/>
    <w:rsid w:val="00C9606E"/>
    <w:rsid w:val="00C96529"/>
    <w:rsid w:val="00C966EC"/>
    <w:rsid w:val="00C9674E"/>
    <w:rsid w:val="00C96C54"/>
    <w:rsid w:val="00C970FC"/>
    <w:rsid w:val="00C972E2"/>
    <w:rsid w:val="00C975F1"/>
    <w:rsid w:val="00C9777C"/>
    <w:rsid w:val="00CA0491"/>
    <w:rsid w:val="00CA04FA"/>
    <w:rsid w:val="00CA0B69"/>
    <w:rsid w:val="00CA0C52"/>
    <w:rsid w:val="00CA1507"/>
    <w:rsid w:val="00CA166E"/>
    <w:rsid w:val="00CA1682"/>
    <w:rsid w:val="00CA16CD"/>
    <w:rsid w:val="00CA1B6C"/>
    <w:rsid w:val="00CA1B7C"/>
    <w:rsid w:val="00CA1E46"/>
    <w:rsid w:val="00CA2193"/>
    <w:rsid w:val="00CA23EB"/>
    <w:rsid w:val="00CA242B"/>
    <w:rsid w:val="00CA3240"/>
    <w:rsid w:val="00CA3503"/>
    <w:rsid w:val="00CA3C62"/>
    <w:rsid w:val="00CA3EA0"/>
    <w:rsid w:val="00CA467F"/>
    <w:rsid w:val="00CA4933"/>
    <w:rsid w:val="00CA4AE6"/>
    <w:rsid w:val="00CA557D"/>
    <w:rsid w:val="00CA574F"/>
    <w:rsid w:val="00CA5B1D"/>
    <w:rsid w:val="00CA5CFD"/>
    <w:rsid w:val="00CA5D32"/>
    <w:rsid w:val="00CA6007"/>
    <w:rsid w:val="00CA6339"/>
    <w:rsid w:val="00CA6373"/>
    <w:rsid w:val="00CA6484"/>
    <w:rsid w:val="00CA6BC7"/>
    <w:rsid w:val="00CA708A"/>
    <w:rsid w:val="00CA71B4"/>
    <w:rsid w:val="00CA76A1"/>
    <w:rsid w:val="00CA771F"/>
    <w:rsid w:val="00CA7760"/>
    <w:rsid w:val="00CB0063"/>
    <w:rsid w:val="00CB007F"/>
    <w:rsid w:val="00CB05D5"/>
    <w:rsid w:val="00CB084A"/>
    <w:rsid w:val="00CB0A60"/>
    <w:rsid w:val="00CB110E"/>
    <w:rsid w:val="00CB1110"/>
    <w:rsid w:val="00CB2263"/>
    <w:rsid w:val="00CB23DD"/>
    <w:rsid w:val="00CB31D9"/>
    <w:rsid w:val="00CB3553"/>
    <w:rsid w:val="00CB50D6"/>
    <w:rsid w:val="00CB6077"/>
    <w:rsid w:val="00CB6B6A"/>
    <w:rsid w:val="00CB6EAD"/>
    <w:rsid w:val="00CB6F6D"/>
    <w:rsid w:val="00CB7342"/>
    <w:rsid w:val="00CB741A"/>
    <w:rsid w:val="00CB7E0A"/>
    <w:rsid w:val="00CB7EC0"/>
    <w:rsid w:val="00CC005D"/>
    <w:rsid w:val="00CC0240"/>
    <w:rsid w:val="00CC0E2A"/>
    <w:rsid w:val="00CC12B4"/>
    <w:rsid w:val="00CC1518"/>
    <w:rsid w:val="00CC1B6F"/>
    <w:rsid w:val="00CC3445"/>
    <w:rsid w:val="00CC38D9"/>
    <w:rsid w:val="00CC490A"/>
    <w:rsid w:val="00CC4A1C"/>
    <w:rsid w:val="00CC5321"/>
    <w:rsid w:val="00CC566B"/>
    <w:rsid w:val="00CC697E"/>
    <w:rsid w:val="00CC6C62"/>
    <w:rsid w:val="00CC713E"/>
    <w:rsid w:val="00CC7425"/>
    <w:rsid w:val="00CC786A"/>
    <w:rsid w:val="00CC7BE9"/>
    <w:rsid w:val="00CC7CD0"/>
    <w:rsid w:val="00CD0190"/>
    <w:rsid w:val="00CD02CB"/>
    <w:rsid w:val="00CD039B"/>
    <w:rsid w:val="00CD0447"/>
    <w:rsid w:val="00CD10A3"/>
    <w:rsid w:val="00CD1697"/>
    <w:rsid w:val="00CD253F"/>
    <w:rsid w:val="00CD3938"/>
    <w:rsid w:val="00CD3DAA"/>
    <w:rsid w:val="00CD3EF2"/>
    <w:rsid w:val="00CD4317"/>
    <w:rsid w:val="00CD4D37"/>
    <w:rsid w:val="00CD5EDA"/>
    <w:rsid w:val="00CD698C"/>
    <w:rsid w:val="00CD6FF8"/>
    <w:rsid w:val="00CE006F"/>
    <w:rsid w:val="00CE0DC7"/>
    <w:rsid w:val="00CE124E"/>
    <w:rsid w:val="00CE1F5B"/>
    <w:rsid w:val="00CE2695"/>
    <w:rsid w:val="00CE2B06"/>
    <w:rsid w:val="00CE2EE5"/>
    <w:rsid w:val="00CE3780"/>
    <w:rsid w:val="00CE4FF8"/>
    <w:rsid w:val="00CE57B8"/>
    <w:rsid w:val="00CE65C3"/>
    <w:rsid w:val="00CE697C"/>
    <w:rsid w:val="00CE6C9B"/>
    <w:rsid w:val="00CE6ED6"/>
    <w:rsid w:val="00CE7CF6"/>
    <w:rsid w:val="00CF0EEE"/>
    <w:rsid w:val="00CF1821"/>
    <w:rsid w:val="00CF19FA"/>
    <w:rsid w:val="00CF1ED2"/>
    <w:rsid w:val="00CF2571"/>
    <w:rsid w:val="00CF2F9E"/>
    <w:rsid w:val="00CF3F4A"/>
    <w:rsid w:val="00CF4FAE"/>
    <w:rsid w:val="00CF57D5"/>
    <w:rsid w:val="00CF5F82"/>
    <w:rsid w:val="00CF710D"/>
    <w:rsid w:val="00CF75FC"/>
    <w:rsid w:val="00CF76B4"/>
    <w:rsid w:val="00CF7DE7"/>
    <w:rsid w:val="00CF7E60"/>
    <w:rsid w:val="00D00547"/>
    <w:rsid w:val="00D007ED"/>
    <w:rsid w:val="00D00AD0"/>
    <w:rsid w:val="00D00D56"/>
    <w:rsid w:val="00D0165B"/>
    <w:rsid w:val="00D01A9A"/>
    <w:rsid w:val="00D02513"/>
    <w:rsid w:val="00D0293F"/>
    <w:rsid w:val="00D02D08"/>
    <w:rsid w:val="00D02E28"/>
    <w:rsid w:val="00D033A7"/>
    <w:rsid w:val="00D03617"/>
    <w:rsid w:val="00D03B69"/>
    <w:rsid w:val="00D041DF"/>
    <w:rsid w:val="00D049EB"/>
    <w:rsid w:val="00D04F23"/>
    <w:rsid w:val="00D05122"/>
    <w:rsid w:val="00D05810"/>
    <w:rsid w:val="00D0595D"/>
    <w:rsid w:val="00D059B4"/>
    <w:rsid w:val="00D05C5C"/>
    <w:rsid w:val="00D05DF1"/>
    <w:rsid w:val="00D05E0A"/>
    <w:rsid w:val="00D06CC8"/>
    <w:rsid w:val="00D06F47"/>
    <w:rsid w:val="00D06F6D"/>
    <w:rsid w:val="00D0754D"/>
    <w:rsid w:val="00D07A70"/>
    <w:rsid w:val="00D07AFA"/>
    <w:rsid w:val="00D07D36"/>
    <w:rsid w:val="00D07DCF"/>
    <w:rsid w:val="00D10544"/>
    <w:rsid w:val="00D107D4"/>
    <w:rsid w:val="00D10AD2"/>
    <w:rsid w:val="00D10C9C"/>
    <w:rsid w:val="00D112F0"/>
    <w:rsid w:val="00D116E1"/>
    <w:rsid w:val="00D119B3"/>
    <w:rsid w:val="00D11B52"/>
    <w:rsid w:val="00D11DA7"/>
    <w:rsid w:val="00D126F5"/>
    <w:rsid w:val="00D14123"/>
    <w:rsid w:val="00D14F7E"/>
    <w:rsid w:val="00D15397"/>
    <w:rsid w:val="00D1544B"/>
    <w:rsid w:val="00D16210"/>
    <w:rsid w:val="00D1711F"/>
    <w:rsid w:val="00D176BF"/>
    <w:rsid w:val="00D178D7"/>
    <w:rsid w:val="00D20011"/>
    <w:rsid w:val="00D20388"/>
    <w:rsid w:val="00D207B7"/>
    <w:rsid w:val="00D20A31"/>
    <w:rsid w:val="00D20F4A"/>
    <w:rsid w:val="00D22498"/>
    <w:rsid w:val="00D22B62"/>
    <w:rsid w:val="00D235C2"/>
    <w:rsid w:val="00D238CC"/>
    <w:rsid w:val="00D239B5"/>
    <w:rsid w:val="00D23FEE"/>
    <w:rsid w:val="00D241C5"/>
    <w:rsid w:val="00D243E9"/>
    <w:rsid w:val="00D2461F"/>
    <w:rsid w:val="00D2520C"/>
    <w:rsid w:val="00D2598F"/>
    <w:rsid w:val="00D25E5E"/>
    <w:rsid w:val="00D26A44"/>
    <w:rsid w:val="00D26C44"/>
    <w:rsid w:val="00D276DF"/>
    <w:rsid w:val="00D2777F"/>
    <w:rsid w:val="00D278AE"/>
    <w:rsid w:val="00D27CCB"/>
    <w:rsid w:val="00D27FD1"/>
    <w:rsid w:val="00D3072A"/>
    <w:rsid w:val="00D30979"/>
    <w:rsid w:val="00D3169F"/>
    <w:rsid w:val="00D31B67"/>
    <w:rsid w:val="00D31BA1"/>
    <w:rsid w:val="00D32282"/>
    <w:rsid w:val="00D33CCE"/>
    <w:rsid w:val="00D33CD3"/>
    <w:rsid w:val="00D34836"/>
    <w:rsid w:val="00D3574F"/>
    <w:rsid w:val="00D35C1D"/>
    <w:rsid w:val="00D36122"/>
    <w:rsid w:val="00D36441"/>
    <w:rsid w:val="00D36641"/>
    <w:rsid w:val="00D36E45"/>
    <w:rsid w:val="00D37076"/>
    <w:rsid w:val="00D37E8B"/>
    <w:rsid w:val="00D402CC"/>
    <w:rsid w:val="00D40846"/>
    <w:rsid w:val="00D409A2"/>
    <w:rsid w:val="00D40DCC"/>
    <w:rsid w:val="00D412E5"/>
    <w:rsid w:val="00D41471"/>
    <w:rsid w:val="00D414DD"/>
    <w:rsid w:val="00D415D8"/>
    <w:rsid w:val="00D41C44"/>
    <w:rsid w:val="00D42038"/>
    <w:rsid w:val="00D424E7"/>
    <w:rsid w:val="00D438FF"/>
    <w:rsid w:val="00D43CAF"/>
    <w:rsid w:val="00D43D8C"/>
    <w:rsid w:val="00D43EB2"/>
    <w:rsid w:val="00D441F4"/>
    <w:rsid w:val="00D44201"/>
    <w:rsid w:val="00D44F4D"/>
    <w:rsid w:val="00D45A14"/>
    <w:rsid w:val="00D46588"/>
    <w:rsid w:val="00D46644"/>
    <w:rsid w:val="00D468B3"/>
    <w:rsid w:val="00D46C36"/>
    <w:rsid w:val="00D474D1"/>
    <w:rsid w:val="00D50474"/>
    <w:rsid w:val="00D50500"/>
    <w:rsid w:val="00D50E6A"/>
    <w:rsid w:val="00D50FE0"/>
    <w:rsid w:val="00D519CD"/>
    <w:rsid w:val="00D51B0E"/>
    <w:rsid w:val="00D5239B"/>
    <w:rsid w:val="00D52578"/>
    <w:rsid w:val="00D5262D"/>
    <w:rsid w:val="00D529CD"/>
    <w:rsid w:val="00D5315E"/>
    <w:rsid w:val="00D535C7"/>
    <w:rsid w:val="00D53A91"/>
    <w:rsid w:val="00D53E0C"/>
    <w:rsid w:val="00D53FDF"/>
    <w:rsid w:val="00D541C5"/>
    <w:rsid w:val="00D54504"/>
    <w:rsid w:val="00D54643"/>
    <w:rsid w:val="00D5536E"/>
    <w:rsid w:val="00D55A4C"/>
    <w:rsid w:val="00D55C42"/>
    <w:rsid w:val="00D55E5A"/>
    <w:rsid w:val="00D56677"/>
    <w:rsid w:val="00D56B55"/>
    <w:rsid w:val="00D57767"/>
    <w:rsid w:val="00D57CB6"/>
    <w:rsid w:val="00D57F96"/>
    <w:rsid w:val="00D60084"/>
    <w:rsid w:val="00D61111"/>
    <w:rsid w:val="00D61650"/>
    <w:rsid w:val="00D61AD4"/>
    <w:rsid w:val="00D61FC7"/>
    <w:rsid w:val="00D621BA"/>
    <w:rsid w:val="00D623A4"/>
    <w:rsid w:val="00D62880"/>
    <w:rsid w:val="00D6304D"/>
    <w:rsid w:val="00D6347E"/>
    <w:rsid w:val="00D645E6"/>
    <w:rsid w:val="00D64619"/>
    <w:rsid w:val="00D64FEC"/>
    <w:rsid w:val="00D658E0"/>
    <w:rsid w:val="00D66411"/>
    <w:rsid w:val="00D668EE"/>
    <w:rsid w:val="00D66A03"/>
    <w:rsid w:val="00D66F7F"/>
    <w:rsid w:val="00D66F98"/>
    <w:rsid w:val="00D700D4"/>
    <w:rsid w:val="00D70788"/>
    <w:rsid w:val="00D70B79"/>
    <w:rsid w:val="00D70C1B"/>
    <w:rsid w:val="00D70D7F"/>
    <w:rsid w:val="00D70D87"/>
    <w:rsid w:val="00D719F1"/>
    <w:rsid w:val="00D71AD9"/>
    <w:rsid w:val="00D71BF9"/>
    <w:rsid w:val="00D72474"/>
    <w:rsid w:val="00D7297C"/>
    <w:rsid w:val="00D72ECC"/>
    <w:rsid w:val="00D72F6A"/>
    <w:rsid w:val="00D73101"/>
    <w:rsid w:val="00D7394A"/>
    <w:rsid w:val="00D739C6"/>
    <w:rsid w:val="00D73AF5"/>
    <w:rsid w:val="00D73C64"/>
    <w:rsid w:val="00D73D66"/>
    <w:rsid w:val="00D742FE"/>
    <w:rsid w:val="00D745AC"/>
    <w:rsid w:val="00D74642"/>
    <w:rsid w:val="00D74FBC"/>
    <w:rsid w:val="00D75186"/>
    <w:rsid w:val="00D758AE"/>
    <w:rsid w:val="00D762B9"/>
    <w:rsid w:val="00D763BE"/>
    <w:rsid w:val="00D7693A"/>
    <w:rsid w:val="00D77103"/>
    <w:rsid w:val="00D7776A"/>
    <w:rsid w:val="00D7781B"/>
    <w:rsid w:val="00D779AE"/>
    <w:rsid w:val="00D77CF9"/>
    <w:rsid w:val="00D80B9D"/>
    <w:rsid w:val="00D80C42"/>
    <w:rsid w:val="00D813F9"/>
    <w:rsid w:val="00D81417"/>
    <w:rsid w:val="00D815B2"/>
    <w:rsid w:val="00D81B56"/>
    <w:rsid w:val="00D8203A"/>
    <w:rsid w:val="00D82385"/>
    <w:rsid w:val="00D823E7"/>
    <w:rsid w:val="00D8262A"/>
    <w:rsid w:val="00D826E5"/>
    <w:rsid w:val="00D8313E"/>
    <w:rsid w:val="00D8318C"/>
    <w:rsid w:val="00D831B0"/>
    <w:rsid w:val="00D833C2"/>
    <w:rsid w:val="00D8392E"/>
    <w:rsid w:val="00D83993"/>
    <w:rsid w:val="00D83D33"/>
    <w:rsid w:val="00D84063"/>
    <w:rsid w:val="00D844F0"/>
    <w:rsid w:val="00D84E22"/>
    <w:rsid w:val="00D84EA4"/>
    <w:rsid w:val="00D85087"/>
    <w:rsid w:val="00D851BA"/>
    <w:rsid w:val="00D863E8"/>
    <w:rsid w:val="00D86C1B"/>
    <w:rsid w:val="00D872FB"/>
    <w:rsid w:val="00D87856"/>
    <w:rsid w:val="00D900AF"/>
    <w:rsid w:val="00D9046B"/>
    <w:rsid w:val="00D90578"/>
    <w:rsid w:val="00D90BFA"/>
    <w:rsid w:val="00D910C7"/>
    <w:rsid w:val="00D91B69"/>
    <w:rsid w:val="00D92042"/>
    <w:rsid w:val="00D924AA"/>
    <w:rsid w:val="00D9253D"/>
    <w:rsid w:val="00D92BFF"/>
    <w:rsid w:val="00D92C46"/>
    <w:rsid w:val="00D943D4"/>
    <w:rsid w:val="00D94B0D"/>
    <w:rsid w:val="00D953DF"/>
    <w:rsid w:val="00D95A63"/>
    <w:rsid w:val="00D95B0F"/>
    <w:rsid w:val="00D96685"/>
    <w:rsid w:val="00D96A55"/>
    <w:rsid w:val="00D96FF7"/>
    <w:rsid w:val="00D97042"/>
    <w:rsid w:val="00D976AC"/>
    <w:rsid w:val="00D97B4E"/>
    <w:rsid w:val="00DA0017"/>
    <w:rsid w:val="00DA03D9"/>
    <w:rsid w:val="00DA076A"/>
    <w:rsid w:val="00DA08A8"/>
    <w:rsid w:val="00DA0C08"/>
    <w:rsid w:val="00DA0CC6"/>
    <w:rsid w:val="00DA0FCB"/>
    <w:rsid w:val="00DA1F5B"/>
    <w:rsid w:val="00DA20CC"/>
    <w:rsid w:val="00DA24B8"/>
    <w:rsid w:val="00DA30BA"/>
    <w:rsid w:val="00DA3156"/>
    <w:rsid w:val="00DA3905"/>
    <w:rsid w:val="00DA3D60"/>
    <w:rsid w:val="00DA44D6"/>
    <w:rsid w:val="00DA4654"/>
    <w:rsid w:val="00DA4A8A"/>
    <w:rsid w:val="00DA513D"/>
    <w:rsid w:val="00DA5D4B"/>
    <w:rsid w:val="00DA78DC"/>
    <w:rsid w:val="00DB0565"/>
    <w:rsid w:val="00DB0C65"/>
    <w:rsid w:val="00DB11C5"/>
    <w:rsid w:val="00DB13BD"/>
    <w:rsid w:val="00DB13E4"/>
    <w:rsid w:val="00DB1928"/>
    <w:rsid w:val="00DB1A14"/>
    <w:rsid w:val="00DB1ECF"/>
    <w:rsid w:val="00DB206A"/>
    <w:rsid w:val="00DB27E5"/>
    <w:rsid w:val="00DB27F5"/>
    <w:rsid w:val="00DB29DE"/>
    <w:rsid w:val="00DB2C5D"/>
    <w:rsid w:val="00DB2FE2"/>
    <w:rsid w:val="00DB3555"/>
    <w:rsid w:val="00DB4176"/>
    <w:rsid w:val="00DB4832"/>
    <w:rsid w:val="00DB4CFF"/>
    <w:rsid w:val="00DB6308"/>
    <w:rsid w:val="00DB67B7"/>
    <w:rsid w:val="00DB6F06"/>
    <w:rsid w:val="00DC0670"/>
    <w:rsid w:val="00DC0A29"/>
    <w:rsid w:val="00DC0A7D"/>
    <w:rsid w:val="00DC12F3"/>
    <w:rsid w:val="00DC16EC"/>
    <w:rsid w:val="00DC1EFC"/>
    <w:rsid w:val="00DC23FA"/>
    <w:rsid w:val="00DC2702"/>
    <w:rsid w:val="00DC29AB"/>
    <w:rsid w:val="00DC34F7"/>
    <w:rsid w:val="00DC37D8"/>
    <w:rsid w:val="00DC38DB"/>
    <w:rsid w:val="00DC3EC8"/>
    <w:rsid w:val="00DC4CED"/>
    <w:rsid w:val="00DC507F"/>
    <w:rsid w:val="00DC57F0"/>
    <w:rsid w:val="00DC5A34"/>
    <w:rsid w:val="00DC62FF"/>
    <w:rsid w:val="00DC6F04"/>
    <w:rsid w:val="00DC6F94"/>
    <w:rsid w:val="00DC7031"/>
    <w:rsid w:val="00DC7221"/>
    <w:rsid w:val="00DD0209"/>
    <w:rsid w:val="00DD0567"/>
    <w:rsid w:val="00DD0A2E"/>
    <w:rsid w:val="00DD1190"/>
    <w:rsid w:val="00DD173B"/>
    <w:rsid w:val="00DD1870"/>
    <w:rsid w:val="00DD1ADD"/>
    <w:rsid w:val="00DD1FFD"/>
    <w:rsid w:val="00DD2097"/>
    <w:rsid w:val="00DD25A9"/>
    <w:rsid w:val="00DD35D5"/>
    <w:rsid w:val="00DD3DAF"/>
    <w:rsid w:val="00DD3E93"/>
    <w:rsid w:val="00DD3F41"/>
    <w:rsid w:val="00DD4C28"/>
    <w:rsid w:val="00DD4F1F"/>
    <w:rsid w:val="00DD53FD"/>
    <w:rsid w:val="00DD6468"/>
    <w:rsid w:val="00DD658D"/>
    <w:rsid w:val="00DD6814"/>
    <w:rsid w:val="00DD686F"/>
    <w:rsid w:val="00DD72BB"/>
    <w:rsid w:val="00DE0421"/>
    <w:rsid w:val="00DE0BBF"/>
    <w:rsid w:val="00DE14C7"/>
    <w:rsid w:val="00DE1D3B"/>
    <w:rsid w:val="00DE2599"/>
    <w:rsid w:val="00DE2705"/>
    <w:rsid w:val="00DE29B3"/>
    <w:rsid w:val="00DE2BAE"/>
    <w:rsid w:val="00DE2D25"/>
    <w:rsid w:val="00DE2FBF"/>
    <w:rsid w:val="00DE3834"/>
    <w:rsid w:val="00DE392C"/>
    <w:rsid w:val="00DE3C11"/>
    <w:rsid w:val="00DE46F5"/>
    <w:rsid w:val="00DE49CA"/>
    <w:rsid w:val="00DE5EC9"/>
    <w:rsid w:val="00DE645A"/>
    <w:rsid w:val="00DE6909"/>
    <w:rsid w:val="00DE6D6F"/>
    <w:rsid w:val="00DE6FE5"/>
    <w:rsid w:val="00DE707D"/>
    <w:rsid w:val="00DE788E"/>
    <w:rsid w:val="00DF0BA0"/>
    <w:rsid w:val="00DF1478"/>
    <w:rsid w:val="00DF1791"/>
    <w:rsid w:val="00DF244E"/>
    <w:rsid w:val="00DF3753"/>
    <w:rsid w:val="00DF42FF"/>
    <w:rsid w:val="00DF4691"/>
    <w:rsid w:val="00DF46AC"/>
    <w:rsid w:val="00DF47A3"/>
    <w:rsid w:val="00DF543A"/>
    <w:rsid w:val="00DF55F3"/>
    <w:rsid w:val="00DF59B5"/>
    <w:rsid w:val="00DF5AAA"/>
    <w:rsid w:val="00DF654E"/>
    <w:rsid w:val="00DF683A"/>
    <w:rsid w:val="00DF68FA"/>
    <w:rsid w:val="00DF6C49"/>
    <w:rsid w:val="00DF6E55"/>
    <w:rsid w:val="00DF6FA6"/>
    <w:rsid w:val="00DF7101"/>
    <w:rsid w:val="00DF7D73"/>
    <w:rsid w:val="00E012A2"/>
    <w:rsid w:val="00E01DE0"/>
    <w:rsid w:val="00E01F9B"/>
    <w:rsid w:val="00E0222B"/>
    <w:rsid w:val="00E023A3"/>
    <w:rsid w:val="00E02A4A"/>
    <w:rsid w:val="00E02B6B"/>
    <w:rsid w:val="00E02C8E"/>
    <w:rsid w:val="00E02EC0"/>
    <w:rsid w:val="00E0341B"/>
    <w:rsid w:val="00E03B11"/>
    <w:rsid w:val="00E03B19"/>
    <w:rsid w:val="00E03BBB"/>
    <w:rsid w:val="00E03DFE"/>
    <w:rsid w:val="00E04298"/>
    <w:rsid w:val="00E053D8"/>
    <w:rsid w:val="00E057BD"/>
    <w:rsid w:val="00E057D4"/>
    <w:rsid w:val="00E068E1"/>
    <w:rsid w:val="00E06A29"/>
    <w:rsid w:val="00E0713B"/>
    <w:rsid w:val="00E07619"/>
    <w:rsid w:val="00E077AC"/>
    <w:rsid w:val="00E078CE"/>
    <w:rsid w:val="00E07972"/>
    <w:rsid w:val="00E07AB3"/>
    <w:rsid w:val="00E07BB7"/>
    <w:rsid w:val="00E07CE9"/>
    <w:rsid w:val="00E1078F"/>
    <w:rsid w:val="00E1099B"/>
    <w:rsid w:val="00E11557"/>
    <w:rsid w:val="00E11CDE"/>
    <w:rsid w:val="00E11DF1"/>
    <w:rsid w:val="00E12424"/>
    <w:rsid w:val="00E127AE"/>
    <w:rsid w:val="00E12D8D"/>
    <w:rsid w:val="00E130D2"/>
    <w:rsid w:val="00E13720"/>
    <w:rsid w:val="00E13A47"/>
    <w:rsid w:val="00E13FC0"/>
    <w:rsid w:val="00E14077"/>
    <w:rsid w:val="00E14165"/>
    <w:rsid w:val="00E14865"/>
    <w:rsid w:val="00E148C5"/>
    <w:rsid w:val="00E15044"/>
    <w:rsid w:val="00E15320"/>
    <w:rsid w:val="00E1581D"/>
    <w:rsid w:val="00E15946"/>
    <w:rsid w:val="00E15A57"/>
    <w:rsid w:val="00E15C28"/>
    <w:rsid w:val="00E15D65"/>
    <w:rsid w:val="00E15EFF"/>
    <w:rsid w:val="00E16043"/>
    <w:rsid w:val="00E16084"/>
    <w:rsid w:val="00E1653A"/>
    <w:rsid w:val="00E16852"/>
    <w:rsid w:val="00E169C5"/>
    <w:rsid w:val="00E17521"/>
    <w:rsid w:val="00E17AD0"/>
    <w:rsid w:val="00E17D8D"/>
    <w:rsid w:val="00E20641"/>
    <w:rsid w:val="00E2108F"/>
    <w:rsid w:val="00E217ED"/>
    <w:rsid w:val="00E21C64"/>
    <w:rsid w:val="00E2237E"/>
    <w:rsid w:val="00E22B10"/>
    <w:rsid w:val="00E22B37"/>
    <w:rsid w:val="00E22E06"/>
    <w:rsid w:val="00E23216"/>
    <w:rsid w:val="00E240B5"/>
    <w:rsid w:val="00E249B9"/>
    <w:rsid w:val="00E263A1"/>
    <w:rsid w:val="00E26764"/>
    <w:rsid w:val="00E27719"/>
    <w:rsid w:val="00E27E82"/>
    <w:rsid w:val="00E3018F"/>
    <w:rsid w:val="00E31091"/>
    <w:rsid w:val="00E311EB"/>
    <w:rsid w:val="00E31D3A"/>
    <w:rsid w:val="00E31D5F"/>
    <w:rsid w:val="00E31ED2"/>
    <w:rsid w:val="00E3262F"/>
    <w:rsid w:val="00E326CD"/>
    <w:rsid w:val="00E32F96"/>
    <w:rsid w:val="00E3388E"/>
    <w:rsid w:val="00E34489"/>
    <w:rsid w:val="00E345FE"/>
    <w:rsid w:val="00E34604"/>
    <w:rsid w:val="00E34C96"/>
    <w:rsid w:val="00E34FDC"/>
    <w:rsid w:val="00E34FF2"/>
    <w:rsid w:val="00E3561A"/>
    <w:rsid w:val="00E3584C"/>
    <w:rsid w:val="00E36090"/>
    <w:rsid w:val="00E360C9"/>
    <w:rsid w:val="00E370DD"/>
    <w:rsid w:val="00E372AD"/>
    <w:rsid w:val="00E3766B"/>
    <w:rsid w:val="00E3778C"/>
    <w:rsid w:val="00E37C54"/>
    <w:rsid w:val="00E37CCF"/>
    <w:rsid w:val="00E37E55"/>
    <w:rsid w:val="00E402B2"/>
    <w:rsid w:val="00E4065D"/>
    <w:rsid w:val="00E40FDD"/>
    <w:rsid w:val="00E41029"/>
    <w:rsid w:val="00E411F8"/>
    <w:rsid w:val="00E4157A"/>
    <w:rsid w:val="00E416D5"/>
    <w:rsid w:val="00E41827"/>
    <w:rsid w:val="00E41908"/>
    <w:rsid w:val="00E41E42"/>
    <w:rsid w:val="00E41EEA"/>
    <w:rsid w:val="00E42C34"/>
    <w:rsid w:val="00E42F6F"/>
    <w:rsid w:val="00E43525"/>
    <w:rsid w:val="00E437DB"/>
    <w:rsid w:val="00E43D67"/>
    <w:rsid w:val="00E44746"/>
    <w:rsid w:val="00E448D5"/>
    <w:rsid w:val="00E449FB"/>
    <w:rsid w:val="00E4549A"/>
    <w:rsid w:val="00E458E6"/>
    <w:rsid w:val="00E4669C"/>
    <w:rsid w:val="00E468DB"/>
    <w:rsid w:val="00E46917"/>
    <w:rsid w:val="00E46D4C"/>
    <w:rsid w:val="00E4794C"/>
    <w:rsid w:val="00E47A39"/>
    <w:rsid w:val="00E47F72"/>
    <w:rsid w:val="00E500A4"/>
    <w:rsid w:val="00E5021D"/>
    <w:rsid w:val="00E50ACD"/>
    <w:rsid w:val="00E52E7B"/>
    <w:rsid w:val="00E53111"/>
    <w:rsid w:val="00E532AE"/>
    <w:rsid w:val="00E537F6"/>
    <w:rsid w:val="00E53834"/>
    <w:rsid w:val="00E54333"/>
    <w:rsid w:val="00E54EE1"/>
    <w:rsid w:val="00E5500C"/>
    <w:rsid w:val="00E550E7"/>
    <w:rsid w:val="00E550EB"/>
    <w:rsid w:val="00E551FE"/>
    <w:rsid w:val="00E557C9"/>
    <w:rsid w:val="00E55BDE"/>
    <w:rsid w:val="00E55BEB"/>
    <w:rsid w:val="00E562CC"/>
    <w:rsid w:val="00E56378"/>
    <w:rsid w:val="00E56786"/>
    <w:rsid w:val="00E5720A"/>
    <w:rsid w:val="00E57A62"/>
    <w:rsid w:val="00E57C29"/>
    <w:rsid w:val="00E60C9D"/>
    <w:rsid w:val="00E60D65"/>
    <w:rsid w:val="00E61129"/>
    <w:rsid w:val="00E61231"/>
    <w:rsid w:val="00E614BD"/>
    <w:rsid w:val="00E61B6F"/>
    <w:rsid w:val="00E629CA"/>
    <w:rsid w:val="00E62C72"/>
    <w:rsid w:val="00E63035"/>
    <w:rsid w:val="00E63217"/>
    <w:rsid w:val="00E63867"/>
    <w:rsid w:val="00E641ED"/>
    <w:rsid w:val="00E646CC"/>
    <w:rsid w:val="00E64A3B"/>
    <w:rsid w:val="00E6597E"/>
    <w:rsid w:val="00E671E0"/>
    <w:rsid w:val="00E6744C"/>
    <w:rsid w:val="00E67676"/>
    <w:rsid w:val="00E676BC"/>
    <w:rsid w:val="00E67E4E"/>
    <w:rsid w:val="00E7056E"/>
    <w:rsid w:val="00E71708"/>
    <w:rsid w:val="00E71D30"/>
    <w:rsid w:val="00E71D41"/>
    <w:rsid w:val="00E71EBA"/>
    <w:rsid w:val="00E72185"/>
    <w:rsid w:val="00E7286D"/>
    <w:rsid w:val="00E72EFA"/>
    <w:rsid w:val="00E73D8E"/>
    <w:rsid w:val="00E7449B"/>
    <w:rsid w:val="00E745A0"/>
    <w:rsid w:val="00E74D2F"/>
    <w:rsid w:val="00E74D42"/>
    <w:rsid w:val="00E74E2D"/>
    <w:rsid w:val="00E75364"/>
    <w:rsid w:val="00E76136"/>
    <w:rsid w:val="00E762D4"/>
    <w:rsid w:val="00E76589"/>
    <w:rsid w:val="00E7668F"/>
    <w:rsid w:val="00E768D0"/>
    <w:rsid w:val="00E76965"/>
    <w:rsid w:val="00E76C41"/>
    <w:rsid w:val="00E76C66"/>
    <w:rsid w:val="00E779DE"/>
    <w:rsid w:val="00E803B1"/>
    <w:rsid w:val="00E8040B"/>
    <w:rsid w:val="00E8104D"/>
    <w:rsid w:val="00E81299"/>
    <w:rsid w:val="00E81E55"/>
    <w:rsid w:val="00E824CF"/>
    <w:rsid w:val="00E83327"/>
    <w:rsid w:val="00E83ACF"/>
    <w:rsid w:val="00E83B31"/>
    <w:rsid w:val="00E83DC5"/>
    <w:rsid w:val="00E83FF4"/>
    <w:rsid w:val="00E841A2"/>
    <w:rsid w:val="00E8429C"/>
    <w:rsid w:val="00E84308"/>
    <w:rsid w:val="00E8469B"/>
    <w:rsid w:val="00E84906"/>
    <w:rsid w:val="00E84C5A"/>
    <w:rsid w:val="00E84EDF"/>
    <w:rsid w:val="00E85084"/>
    <w:rsid w:val="00E8534B"/>
    <w:rsid w:val="00E85A4B"/>
    <w:rsid w:val="00E85DD7"/>
    <w:rsid w:val="00E8642F"/>
    <w:rsid w:val="00E86884"/>
    <w:rsid w:val="00E86933"/>
    <w:rsid w:val="00E87557"/>
    <w:rsid w:val="00E8783E"/>
    <w:rsid w:val="00E878D3"/>
    <w:rsid w:val="00E87A0F"/>
    <w:rsid w:val="00E90202"/>
    <w:rsid w:val="00E90743"/>
    <w:rsid w:val="00E908C4"/>
    <w:rsid w:val="00E914FE"/>
    <w:rsid w:val="00E918F7"/>
    <w:rsid w:val="00E91A51"/>
    <w:rsid w:val="00E91A84"/>
    <w:rsid w:val="00E91B4D"/>
    <w:rsid w:val="00E91CF9"/>
    <w:rsid w:val="00E92484"/>
    <w:rsid w:val="00E9279A"/>
    <w:rsid w:val="00E928E3"/>
    <w:rsid w:val="00E92CFF"/>
    <w:rsid w:val="00E92F03"/>
    <w:rsid w:val="00E930BE"/>
    <w:rsid w:val="00E93A3C"/>
    <w:rsid w:val="00E93D0A"/>
    <w:rsid w:val="00E93F6A"/>
    <w:rsid w:val="00E94473"/>
    <w:rsid w:val="00E95098"/>
    <w:rsid w:val="00E9519F"/>
    <w:rsid w:val="00E95790"/>
    <w:rsid w:val="00E960BC"/>
    <w:rsid w:val="00E961CD"/>
    <w:rsid w:val="00E9671E"/>
    <w:rsid w:val="00E96E64"/>
    <w:rsid w:val="00E9721D"/>
    <w:rsid w:val="00EA01F4"/>
    <w:rsid w:val="00EA0A5D"/>
    <w:rsid w:val="00EA1E8A"/>
    <w:rsid w:val="00EA212C"/>
    <w:rsid w:val="00EA2617"/>
    <w:rsid w:val="00EA28FE"/>
    <w:rsid w:val="00EA36B0"/>
    <w:rsid w:val="00EA39AE"/>
    <w:rsid w:val="00EA3A20"/>
    <w:rsid w:val="00EA3AD6"/>
    <w:rsid w:val="00EA3B13"/>
    <w:rsid w:val="00EA3BF4"/>
    <w:rsid w:val="00EA3DC4"/>
    <w:rsid w:val="00EA3EDB"/>
    <w:rsid w:val="00EA3F00"/>
    <w:rsid w:val="00EA47E0"/>
    <w:rsid w:val="00EA48E6"/>
    <w:rsid w:val="00EA4A54"/>
    <w:rsid w:val="00EA4AD3"/>
    <w:rsid w:val="00EA53CB"/>
    <w:rsid w:val="00EA5EDD"/>
    <w:rsid w:val="00EA6258"/>
    <w:rsid w:val="00EA65BF"/>
    <w:rsid w:val="00EA6D07"/>
    <w:rsid w:val="00EA7A3D"/>
    <w:rsid w:val="00EA7DA7"/>
    <w:rsid w:val="00EA7DB9"/>
    <w:rsid w:val="00EA7F63"/>
    <w:rsid w:val="00EA7FF4"/>
    <w:rsid w:val="00EB0C14"/>
    <w:rsid w:val="00EB17B7"/>
    <w:rsid w:val="00EB1A25"/>
    <w:rsid w:val="00EB1AEB"/>
    <w:rsid w:val="00EB1F51"/>
    <w:rsid w:val="00EB222D"/>
    <w:rsid w:val="00EB2693"/>
    <w:rsid w:val="00EB2A3F"/>
    <w:rsid w:val="00EB44CF"/>
    <w:rsid w:val="00EB4705"/>
    <w:rsid w:val="00EB489D"/>
    <w:rsid w:val="00EB4D78"/>
    <w:rsid w:val="00EB51E7"/>
    <w:rsid w:val="00EB55AE"/>
    <w:rsid w:val="00EB5E19"/>
    <w:rsid w:val="00EB5F53"/>
    <w:rsid w:val="00EB6693"/>
    <w:rsid w:val="00EB69A2"/>
    <w:rsid w:val="00EB7628"/>
    <w:rsid w:val="00EB7821"/>
    <w:rsid w:val="00EB7A14"/>
    <w:rsid w:val="00EB7B3D"/>
    <w:rsid w:val="00EB7BBA"/>
    <w:rsid w:val="00EB7F6F"/>
    <w:rsid w:val="00EC0004"/>
    <w:rsid w:val="00EC0274"/>
    <w:rsid w:val="00EC0A79"/>
    <w:rsid w:val="00EC14D6"/>
    <w:rsid w:val="00EC1FBD"/>
    <w:rsid w:val="00EC27CD"/>
    <w:rsid w:val="00EC2A15"/>
    <w:rsid w:val="00EC2CFF"/>
    <w:rsid w:val="00EC3051"/>
    <w:rsid w:val="00EC32DB"/>
    <w:rsid w:val="00EC3600"/>
    <w:rsid w:val="00EC3B73"/>
    <w:rsid w:val="00EC3DD6"/>
    <w:rsid w:val="00EC41CF"/>
    <w:rsid w:val="00EC43E4"/>
    <w:rsid w:val="00EC45FF"/>
    <w:rsid w:val="00EC481E"/>
    <w:rsid w:val="00EC5072"/>
    <w:rsid w:val="00EC54FF"/>
    <w:rsid w:val="00EC583A"/>
    <w:rsid w:val="00EC5910"/>
    <w:rsid w:val="00EC5A21"/>
    <w:rsid w:val="00EC5C48"/>
    <w:rsid w:val="00EC5CF5"/>
    <w:rsid w:val="00EC618D"/>
    <w:rsid w:val="00EC78F5"/>
    <w:rsid w:val="00EC7E6D"/>
    <w:rsid w:val="00ED01EF"/>
    <w:rsid w:val="00ED09DF"/>
    <w:rsid w:val="00ED1225"/>
    <w:rsid w:val="00ED1332"/>
    <w:rsid w:val="00ED165B"/>
    <w:rsid w:val="00ED1996"/>
    <w:rsid w:val="00ED1D7C"/>
    <w:rsid w:val="00ED202A"/>
    <w:rsid w:val="00ED2123"/>
    <w:rsid w:val="00ED2158"/>
    <w:rsid w:val="00ED235A"/>
    <w:rsid w:val="00ED245C"/>
    <w:rsid w:val="00ED24B0"/>
    <w:rsid w:val="00ED271F"/>
    <w:rsid w:val="00ED2E05"/>
    <w:rsid w:val="00ED2E8E"/>
    <w:rsid w:val="00ED2F35"/>
    <w:rsid w:val="00ED2FE1"/>
    <w:rsid w:val="00ED31BF"/>
    <w:rsid w:val="00ED34E5"/>
    <w:rsid w:val="00ED3562"/>
    <w:rsid w:val="00ED4059"/>
    <w:rsid w:val="00ED41EE"/>
    <w:rsid w:val="00ED4640"/>
    <w:rsid w:val="00ED4890"/>
    <w:rsid w:val="00ED4BB9"/>
    <w:rsid w:val="00ED58B1"/>
    <w:rsid w:val="00ED62E6"/>
    <w:rsid w:val="00ED6555"/>
    <w:rsid w:val="00ED6B4E"/>
    <w:rsid w:val="00ED6DE1"/>
    <w:rsid w:val="00ED7456"/>
    <w:rsid w:val="00ED748F"/>
    <w:rsid w:val="00ED7DC0"/>
    <w:rsid w:val="00EE0189"/>
    <w:rsid w:val="00EE07CD"/>
    <w:rsid w:val="00EE097D"/>
    <w:rsid w:val="00EE0FC2"/>
    <w:rsid w:val="00EE12ED"/>
    <w:rsid w:val="00EE177E"/>
    <w:rsid w:val="00EE1F84"/>
    <w:rsid w:val="00EE2054"/>
    <w:rsid w:val="00EE20C7"/>
    <w:rsid w:val="00EE2F70"/>
    <w:rsid w:val="00EE3D08"/>
    <w:rsid w:val="00EE3FB2"/>
    <w:rsid w:val="00EE4B3D"/>
    <w:rsid w:val="00EE4DE8"/>
    <w:rsid w:val="00EE545D"/>
    <w:rsid w:val="00EE6113"/>
    <w:rsid w:val="00EE63F4"/>
    <w:rsid w:val="00EE7203"/>
    <w:rsid w:val="00EE796F"/>
    <w:rsid w:val="00EE7A7B"/>
    <w:rsid w:val="00EE7CA1"/>
    <w:rsid w:val="00EF0B4C"/>
    <w:rsid w:val="00EF0D99"/>
    <w:rsid w:val="00EF13D3"/>
    <w:rsid w:val="00EF2F5F"/>
    <w:rsid w:val="00EF30AD"/>
    <w:rsid w:val="00EF3C07"/>
    <w:rsid w:val="00EF3CA4"/>
    <w:rsid w:val="00EF4CF0"/>
    <w:rsid w:val="00EF4F3D"/>
    <w:rsid w:val="00EF500A"/>
    <w:rsid w:val="00EF50CA"/>
    <w:rsid w:val="00EF5365"/>
    <w:rsid w:val="00EF5884"/>
    <w:rsid w:val="00EF5C87"/>
    <w:rsid w:val="00EF6CF0"/>
    <w:rsid w:val="00EF6DD6"/>
    <w:rsid w:val="00EF753B"/>
    <w:rsid w:val="00EF7D31"/>
    <w:rsid w:val="00EF7FF0"/>
    <w:rsid w:val="00F0000A"/>
    <w:rsid w:val="00F001D9"/>
    <w:rsid w:val="00F0121A"/>
    <w:rsid w:val="00F01658"/>
    <w:rsid w:val="00F01A30"/>
    <w:rsid w:val="00F01F22"/>
    <w:rsid w:val="00F0258E"/>
    <w:rsid w:val="00F02842"/>
    <w:rsid w:val="00F029CB"/>
    <w:rsid w:val="00F02A0D"/>
    <w:rsid w:val="00F02C34"/>
    <w:rsid w:val="00F03562"/>
    <w:rsid w:val="00F03F2F"/>
    <w:rsid w:val="00F04413"/>
    <w:rsid w:val="00F04A81"/>
    <w:rsid w:val="00F050C1"/>
    <w:rsid w:val="00F05770"/>
    <w:rsid w:val="00F058E1"/>
    <w:rsid w:val="00F0599E"/>
    <w:rsid w:val="00F05F0A"/>
    <w:rsid w:val="00F0633C"/>
    <w:rsid w:val="00F06F2B"/>
    <w:rsid w:val="00F079CC"/>
    <w:rsid w:val="00F07A59"/>
    <w:rsid w:val="00F07B90"/>
    <w:rsid w:val="00F07D4D"/>
    <w:rsid w:val="00F07DAB"/>
    <w:rsid w:val="00F1022F"/>
    <w:rsid w:val="00F10CE3"/>
    <w:rsid w:val="00F10FF1"/>
    <w:rsid w:val="00F116B8"/>
    <w:rsid w:val="00F11C78"/>
    <w:rsid w:val="00F11FAC"/>
    <w:rsid w:val="00F120A2"/>
    <w:rsid w:val="00F136B2"/>
    <w:rsid w:val="00F147CB"/>
    <w:rsid w:val="00F14EBF"/>
    <w:rsid w:val="00F15356"/>
    <w:rsid w:val="00F15574"/>
    <w:rsid w:val="00F15754"/>
    <w:rsid w:val="00F1587F"/>
    <w:rsid w:val="00F15B8C"/>
    <w:rsid w:val="00F16204"/>
    <w:rsid w:val="00F1685E"/>
    <w:rsid w:val="00F17296"/>
    <w:rsid w:val="00F172CC"/>
    <w:rsid w:val="00F17988"/>
    <w:rsid w:val="00F17D72"/>
    <w:rsid w:val="00F20489"/>
    <w:rsid w:val="00F207C6"/>
    <w:rsid w:val="00F208DC"/>
    <w:rsid w:val="00F218A2"/>
    <w:rsid w:val="00F21990"/>
    <w:rsid w:val="00F21A88"/>
    <w:rsid w:val="00F21C05"/>
    <w:rsid w:val="00F22785"/>
    <w:rsid w:val="00F2289B"/>
    <w:rsid w:val="00F233DA"/>
    <w:rsid w:val="00F238C9"/>
    <w:rsid w:val="00F24904"/>
    <w:rsid w:val="00F24AB8"/>
    <w:rsid w:val="00F24E0E"/>
    <w:rsid w:val="00F250CC"/>
    <w:rsid w:val="00F250D9"/>
    <w:rsid w:val="00F2599C"/>
    <w:rsid w:val="00F25AD4"/>
    <w:rsid w:val="00F25AF3"/>
    <w:rsid w:val="00F26211"/>
    <w:rsid w:val="00F26E08"/>
    <w:rsid w:val="00F2792D"/>
    <w:rsid w:val="00F27B97"/>
    <w:rsid w:val="00F30B77"/>
    <w:rsid w:val="00F31073"/>
    <w:rsid w:val="00F311AF"/>
    <w:rsid w:val="00F31704"/>
    <w:rsid w:val="00F31B53"/>
    <w:rsid w:val="00F3364C"/>
    <w:rsid w:val="00F339C1"/>
    <w:rsid w:val="00F34CCB"/>
    <w:rsid w:val="00F3534F"/>
    <w:rsid w:val="00F35484"/>
    <w:rsid w:val="00F36310"/>
    <w:rsid w:val="00F36512"/>
    <w:rsid w:val="00F36834"/>
    <w:rsid w:val="00F36C27"/>
    <w:rsid w:val="00F36F14"/>
    <w:rsid w:val="00F372F8"/>
    <w:rsid w:val="00F373E5"/>
    <w:rsid w:val="00F375F7"/>
    <w:rsid w:val="00F37ADC"/>
    <w:rsid w:val="00F37EC5"/>
    <w:rsid w:val="00F406D0"/>
    <w:rsid w:val="00F40878"/>
    <w:rsid w:val="00F41650"/>
    <w:rsid w:val="00F416CF"/>
    <w:rsid w:val="00F41F54"/>
    <w:rsid w:val="00F4207D"/>
    <w:rsid w:val="00F426CF"/>
    <w:rsid w:val="00F4288A"/>
    <w:rsid w:val="00F42BBC"/>
    <w:rsid w:val="00F42BBD"/>
    <w:rsid w:val="00F42ED5"/>
    <w:rsid w:val="00F42F0F"/>
    <w:rsid w:val="00F436D5"/>
    <w:rsid w:val="00F43EC7"/>
    <w:rsid w:val="00F443F0"/>
    <w:rsid w:val="00F449E5"/>
    <w:rsid w:val="00F44A22"/>
    <w:rsid w:val="00F44A3A"/>
    <w:rsid w:val="00F44BD6"/>
    <w:rsid w:val="00F44C5B"/>
    <w:rsid w:val="00F44E93"/>
    <w:rsid w:val="00F46096"/>
    <w:rsid w:val="00F46896"/>
    <w:rsid w:val="00F47CF6"/>
    <w:rsid w:val="00F47DC6"/>
    <w:rsid w:val="00F501A5"/>
    <w:rsid w:val="00F509E4"/>
    <w:rsid w:val="00F50BAF"/>
    <w:rsid w:val="00F50DF3"/>
    <w:rsid w:val="00F50E24"/>
    <w:rsid w:val="00F511C5"/>
    <w:rsid w:val="00F51835"/>
    <w:rsid w:val="00F51B3A"/>
    <w:rsid w:val="00F51BC0"/>
    <w:rsid w:val="00F521B4"/>
    <w:rsid w:val="00F524CD"/>
    <w:rsid w:val="00F52766"/>
    <w:rsid w:val="00F529D5"/>
    <w:rsid w:val="00F529E8"/>
    <w:rsid w:val="00F52B80"/>
    <w:rsid w:val="00F533C1"/>
    <w:rsid w:val="00F53BD8"/>
    <w:rsid w:val="00F53C0D"/>
    <w:rsid w:val="00F56268"/>
    <w:rsid w:val="00F56621"/>
    <w:rsid w:val="00F5666D"/>
    <w:rsid w:val="00F56B6B"/>
    <w:rsid w:val="00F56CF8"/>
    <w:rsid w:val="00F57103"/>
    <w:rsid w:val="00F57130"/>
    <w:rsid w:val="00F571BE"/>
    <w:rsid w:val="00F57565"/>
    <w:rsid w:val="00F57BFF"/>
    <w:rsid w:val="00F57D32"/>
    <w:rsid w:val="00F60098"/>
    <w:rsid w:val="00F607B1"/>
    <w:rsid w:val="00F60A0E"/>
    <w:rsid w:val="00F60C49"/>
    <w:rsid w:val="00F611B5"/>
    <w:rsid w:val="00F615FE"/>
    <w:rsid w:val="00F61818"/>
    <w:rsid w:val="00F61A29"/>
    <w:rsid w:val="00F61C90"/>
    <w:rsid w:val="00F61D31"/>
    <w:rsid w:val="00F61FFD"/>
    <w:rsid w:val="00F622AC"/>
    <w:rsid w:val="00F622F1"/>
    <w:rsid w:val="00F6253F"/>
    <w:rsid w:val="00F6285F"/>
    <w:rsid w:val="00F62B05"/>
    <w:rsid w:val="00F62B27"/>
    <w:rsid w:val="00F62D80"/>
    <w:rsid w:val="00F6311D"/>
    <w:rsid w:val="00F63211"/>
    <w:rsid w:val="00F6332B"/>
    <w:rsid w:val="00F63791"/>
    <w:rsid w:val="00F63885"/>
    <w:rsid w:val="00F64BAC"/>
    <w:rsid w:val="00F657E2"/>
    <w:rsid w:val="00F66591"/>
    <w:rsid w:val="00F666DA"/>
    <w:rsid w:val="00F674B3"/>
    <w:rsid w:val="00F6763B"/>
    <w:rsid w:val="00F67966"/>
    <w:rsid w:val="00F7006B"/>
    <w:rsid w:val="00F700F5"/>
    <w:rsid w:val="00F70D5E"/>
    <w:rsid w:val="00F70F79"/>
    <w:rsid w:val="00F71572"/>
    <w:rsid w:val="00F71CFA"/>
    <w:rsid w:val="00F7202A"/>
    <w:rsid w:val="00F72306"/>
    <w:rsid w:val="00F7248B"/>
    <w:rsid w:val="00F7254D"/>
    <w:rsid w:val="00F726C4"/>
    <w:rsid w:val="00F7296F"/>
    <w:rsid w:val="00F735FE"/>
    <w:rsid w:val="00F73CB4"/>
    <w:rsid w:val="00F73EDF"/>
    <w:rsid w:val="00F74159"/>
    <w:rsid w:val="00F749B7"/>
    <w:rsid w:val="00F74DF4"/>
    <w:rsid w:val="00F74EEE"/>
    <w:rsid w:val="00F74FF2"/>
    <w:rsid w:val="00F751C9"/>
    <w:rsid w:val="00F76448"/>
    <w:rsid w:val="00F7692D"/>
    <w:rsid w:val="00F76AD5"/>
    <w:rsid w:val="00F77511"/>
    <w:rsid w:val="00F77768"/>
    <w:rsid w:val="00F77831"/>
    <w:rsid w:val="00F778C8"/>
    <w:rsid w:val="00F77E34"/>
    <w:rsid w:val="00F801A0"/>
    <w:rsid w:val="00F8075E"/>
    <w:rsid w:val="00F8099F"/>
    <w:rsid w:val="00F818CF"/>
    <w:rsid w:val="00F823B7"/>
    <w:rsid w:val="00F82801"/>
    <w:rsid w:val="00F82BA2"/>
    <w:rsid w:val="00F83505"/>
    <w:rsid w:val="00F839F6"/>
    <w:rsid w:val="00F83D91"/>
    <w:rsid w:val="00F83E0B"/>
    <w:rsid w:val="00F84139"/>
    <w:rsid w:val="00F84451"/>
    <w:rsid w:val="00F84AF2"/>
    <w:rsid w:val="00F84CD9"/>
    <w:rsid w:val="00F84F3A"/>
    <w:rsid w:val="00F85841"/>
    <w:rsid w:val="00F858AC"/>
    <w:rsid w:val="00F8674D"/>
    <w:rsid w:val="00F86961"/>
    <w:rsid w:val="00F87109"/>
    <w:rsid w:val="00F8714D"/>
    <w:rsid w:val="00F874B2"/>
    <w:rsid w:val="00F87724"/>
    <w:rsid w:val="00F904A6"/>
    <w:rsid w:val="00F9063E"/>
    <w:rsid w:val="00F90BFD"/>
    <w:rsid w:val="00F910C6"/>
    <w:rsid w:val="00F9111D"/>
    <w:rsid w:val="00F91F1A"/>
    <w:rsid w:val="00F91F7D"/>
    <w:rsid w:val="00F923EC"/>
    <w:rsid w:val="00F92504"/>
    <w:rsid w:val="00F926D6"/>
    <w:rsid w:val="00F92AAF"/>
    <w:rsid w:val="00F92AF5"/>
    <w:rsid w:val="00F92E08"/>
    <w:rsid w:val="00F93535"/>
    <w:rsid w:val="00F93C35"/>
    <w:rsid w:val="00F942AC"/>
    <w:rsid w:val="00F943D8"/>
    <w:rsid w:val="00F94D0D"/>
    <w:rsid w:val="00F94F46"/>
    <w:rsid w:val="00F95B2F"/>
    <w:rsid w:val="00F95C38"/>
    <w:rsid w:val="00F95F9E"/>
    <w:rsid w:val="00F96185"/>
    <w:rsid w:val="00F96352"/>
    <w:rsid w:val="00F97459"/>
    <w:rsid w:val="00F97596"/>
    <w:rsid w:val="00F97E61"/>
    <w:rsid w:val="00FA1021"/>
    <w:rsid w:val="00FA12CC"/>
    <w:rsid w:val="00FA13FC"/>
    <w:rsid w:val="00FA161B"/>
    <w:rsid w:val="00FA165A"/>
    <w:rsid w:val="00FA1EC3"/>
    <w:rsid w:val="00FA28C8"/>
    <w:rsid w:val="00FA29D5"/>
    <w:rsid w:val="00FA2B1E"/>
    <w:rsid w:val="00FA34AF"/>
    <w:rsid w:val="00FA3E07"/>
    <w:rsid w:val="00FA402F"/>
    <w:rsid w:val="00FA416C"/>
    <w:rsid w:val="00FA4796"/>
    <w:rsid w:val="00FA4A04"/>
    <w:rsid w:val="00FA4CC6"/>
    <w:rsid w:val="00FA55AF"/>
    <w:rsid w:val="00FA6175"/>
    <w:rsid w:val="00FA6300"/>
    <w:rsid w:val="00FA6C81"/>
    <w:rsid w:val="00FA780C"/>
    <w:rsid w:val="00FB0381"/>
    <w:rsid w:val="00FB04EF"/>
    <w:rsid w:val="00FB0D5B"/>
    <w:rsid w:val="00FB145C"/>
    <w:rsid w:val="00FB16F9"/>
    <w:rsid w:val="00FB1D29"/>
    <w:rsid w:val="00FB1E04"/>
    <w:rsid w:val="00FB22B6"/>
    <w:rsid w:val="00FB376B"/>
    <w:rsid w:val="00FB3A06"/>
    <w:rsid w:val="00FB3BB0"/>
    <w:rsid w:val="00FB4769"/>
    <w:rsid w:val="00FB4904"/>
    <w:rsid w:val="00FB4929"/>
    <w:rsid w:val="00FB498A"/>
    <w:rsid w:val="00FB5242"/>
    <w:rsid w:val="00FB5F5D"/>
    <w:rsid w:val="00FB6A27"/>
    <w:rsid w:val="00FB72BA"/>
    <w:rsid w:val="00FB72F0"/>
    <w:rsid w:val="00FB7AFB"/>
    <w:rsid w:val="00FC0287"/>
    <w:rsid w:val="00FC136D"/>
    <w:rsid w:val="00FC311A"/>
    <w:rsid w:val="00FC316E"/>
    <w:rsid w:val="00FC3529"/>
    <w:rsid w:val="00FC3F90"/>
    <w:rsid w:val="00FC43BE"/>
    <w:rsid w:val="00FC4517"/>
    <w:rsid w:val="00FC4AA1"/>
    <w:rsid w:val="00FC4B89"/>
    <w:rsid w:val="00FC4E29"/>
    <w:rsid w:val="00FC50CB"/>
    <w:rsid w:val="00FC53FA"/>
    <w:rsid w:val="00FC5800"/>
    <w:rsid w:val="00FC59D4"/>
    <w:rsid w:val="00FC5FA4"/>
    <w:rsid w:val="00FC6940"/>
    <w:rsid w:val="00FC6A55"/>
    <w:rsid w:val="00FC6F76"/>
    <w:rsid w:val="00FC7314"/>
    <w:rsid w:val="00FD0622"/>
    <w:rsid w:val="00FD0DC0"/>
    <w:rsid w:val="00FD1356"/>
    <w:rsid w:val="00FD1838"/>
    <w:rsid w:val="00FD21E2"/>
    <w:rsid w:val="00FD2481"/>
    <w:rsid w:val="00FD2713"/>
    <w:rsid w:val="00FD2999"/>
    <w:rsid w:val="00FD32C2"/>
    <w:rsid w:val="00FD3DCA"/>
    <w:rsid w:val="00FD41C7"/>
    <w:rsid w:val="00FD437A"/>
    <w:rsid w:val="00FD4B6D"/>
    <w:rsid w:val="00FD76F5"/>
    <w:rsid w:val="00FD76FB"/>
    <w:rsid w:val="00FE0057"/>
    <w:rsid w:val="00FE01D8"/>
    <w:rsid w:val="00FE0205"/>
    <w:rsid w:val="00FE03DA"/>
    <w:rsid w:val="00FE10D4"/>
    <w:rsid w:val="00FE1B82"/>
    <w:rsid w:val="00FE1CF6"/>
    <w:rsid w:val="00FE1DB2"/>
    <w:rsid w:val="00FE1FAA"/>
    <w:rsid w:val="00FE1FC5"/>
    <w:rsid w:val="00FE335E"/>
    <w:rsid w:val="00FE3A7F"/>
    <w:rsid w:val="00FE3AFF"/>
    <w:rsid w:val="00FE3D16"/>
    <w:rsid w:val="00FE3FEC"/>
    <w:rsid w:val="00FE43CA"/>
    <w:rsid w:val="00FE48B0"/>
    <w:rsid w:val="00FE497D"/>
    <w:rsid w:val="00FE4A26"/>
    <w:rsid w:val="00FE5DDA"/>
    <w:rsid w:val="00FE67B4"/>
    <w:rsid w:val="00FE69AD"/>
    <w:rsid w:val="00FE6E49"/>
    <w:rsid w:val="00FE7893"/>
    <w:rsid w:val="00FE7906"/>
    <w:rsid w:val="00FE7F2E"/>
    <w:rsid w:val="00FF0021"/>
    <w:rsid w:val="00FF04CA"/>
    <w:rsid w:val="00FF0955"/>
    <w:rsid w:val="00FF10F3"/>
    <w:rsid w:val="00FF31AF"/>
    <w:rsid w:val="00FF32B7"/>
    <w:rsid w:val="00FF38C6"/>
    <w:rsid w:val="00FF3C5F"/>
    <w:rsid w:val="00FF4470"/>
    <w:rsid w:val="00FF46CC"/>
    <w:rsid w:val="00FF4715"/>
    <w:rsid w:val="00FF4DB2"/>
    <w:rsid w:val="00FF50A5"/>
    <w:rsid w:val="00FF5192"/>
    <w:rsid w:val="00FF5B5B"/>
    <w:rsid w:val="00FF63E6"/>
    <w:rsid w:val="00FF68E2"/>
    <w:rsid w:val="00FF7249"/>
    <w:rsid w:val="00F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7F88A2"/>
  <w15:docId w15:val="{ACD96FFA-46A6-4688-96F7-8B23225B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before="100" w:after="200" w:line="276" w:lineRule="auto"/>
      </w:pPr>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0A0"/>
  </w:style>
  <w:style w:type="paragraph" w:styleId="1">
    <w:name w:val="heading 1"/>
    <w:basedOn w:val="a"/>
    <w:next w:val="a"/>
    <w:link w:val="10"/>
    <w:uiPriority w:val="99"/>
    <w:qFormat/>
    <w:rsid w:val="008E40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2">
    <w:name w:val="heading 2"/>
    <w:basedOn w:val="a"/>
    <w:next w:val="a"/>
    <w:link w:val="20"/>
    <w:uiPriority w:val="99"/>
    <w:unhideWhenUsed/>
    <w:qFormat/>
    <w:rsid w:val="008E40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3">
    <w:name w:val="heading 3"/>
    <w:basedOn w:val="a"/>
    <w:next w:val="a"/>
    <w:link w:val="30"/>
    <w:uiPriority w:val="9"/>
    <w:unhideWhenUsed/>
    <w:qFormat/>
    <w:rsid w:val="008E40A0"/>
    <w:pPr>
      <w:pBdr>
        <w:top w:val="single" w:sz="6" w:space="2" w:color="4F81BD" w:themeColor="accent1"/>
      </w:pBdr>
      <w:spacing w:before="300" w:after="0"/>
      <w:outlineLvl w:val="2"/>
    </w:pPr>
    <w:rPr>
      <w:caps/>
      <w:color w:val="243F60" w:themeColor="accent1" w:themeShade="7F"/>
      <w:spacing w:val="15"/>
    </w:rPr>
  </w:style>
  <w:style w:type="paragraph" w:styleId="4">
    <w:name w:val="heading 4"/>
    <w:basedOn w:val="a"/>
    <w:next w:val="a"/>
    <w:link w:val="40"/>
    <w:uiPriority w:val="9"/>
    <w:unhideWhenUsed/>
    <w:qFormat/>
    <w:rsid w:val="008E40A0"/>
    <w:pPr>
      <w:pBdr>
        <w:top w:val="dotted" w:sz="6" w:space="2" w:color="4F81BD" w:themeColor="accent1"/>
      </w:pBdr>
      <w:spacing w:before="200" w:after="0"/>
      <w:outlineLvl w:val="3"/>
    </w:pPr>
    <w:rPr>
      <w:caps/>
      <w:color w:val="365F91" w:themeColor="accent1" w:themeShade="BF"/>
      <w:spacing w:val="10"/>
    </w:rPr>
  </w:style>
  <w:style w:type="paragraph" w:styleId="5">
    <w:name w:val="heading 5"/>
    <w:basedOn w:val="a"/>
    <w:next w:val="a"/>
    <w:link w:val="50"/>
    <w:uiPriority w:val="9"/>
    <w:unhideWhenUsed/>
    <w:qFormat/>
    <w:rsid w:val="008E40A0"/>
    <w:pPr>
      <w:pBdr>
        <w:bottom w:val="single" w:sz="6" w:space="1" w:color="4F81BD" w:themeColor="accent1"/>
      </w:pBdr>
      <w:spacing w:before="200" w:after="0"/>
      <w:outlineLvl w:val="4"/>
    </w:pPr>
    <w:rPr>
      <w:caps/>
      <w:color w:val="365F91" w:themeColor="accent1" w:themeShade="BF"/>
      <w:spacing w:val="10"/>
    </w:rPr>
  </w:style>
  <w:style w:type="paragraph" w:styleId="6">
    <w:name w:val="heading 6"/>
    <w:basedOn w:val="a"/>
    <w:next w:val="a"/>
    <w:link w:val="60"/>
    <w:uiPriority w:val="9"/>
    <w:unhideWhenUsed/>
    <w:qFormat/>
    <w:rsid w:val="008E40A0"/>
    <w:pPr>
      <w:pBdr>
        <w:bottom w:val="dotted" w:sz="6" w:space="1" w:color="4F81BD" w:themeColor="accent1"/>
      </w:pBdr>
      <w:spacing w:before="200" w:after="0"/>
      <w:outlineLvl w:val="5"/>
    </w:pPr>
    <w:rPr>
      <w:caps/>
      <w:color w:val="365F91" w:themeColor="accent1" w:themeShade="BF"/>
      <w:spacing w:val="10"/>
    </w:rPr>
  </w:style>
  <w:style w:type="paragraph" w:styleId="7">
    <w:name w:val="heading 7"/>
    <w:basedOn w:val="a"/>
    <w:next w:val="a"/>
    <w:link w:val="70"/>
    <w:uiPriority w:val="9"/>
    <w:unhideWhenUsed/>
    <w:qFormat/>
    <w:rsid w:val="008E40A0"/>
    <w:pPr>
      <w:spacing w:before="200" w:after="0"/>
      <w:outlineLvl w:val="6"/>
    </w:pPr>
    <w:rPr>
      <w:caps/>
      <w:color w:val="365F91" w:themeColor="accent1" w:themeShade="BF"/>
      <w:spacing w:val="10"/>
    </w:rPr>
  </w:style>
  <w:style w:type="paragraph" w:styleId="8">
    <w:name w:val="heading 8"/>
    <w:basedOn w:val="a"/>
    <w:next w:val="a"/>
    <w:link w:val="80"/>
    <w:uiPriority w:val="9"/>
    <w:unhideWhenUsed/>
    <w:qFormat/>
    <w:locked/>
    <w:rsid w:val="008E40A0"/>
    <w:pPr>
      <w:spacing w:before="200" w:after="0"/>
      <w:outlineLvl w:val="7"/>
    </w:pPr>
    <w:rPr>
      <w:caps/>
      <w:spacing w:val="10"/>
      <w:sz w:val="18"/>
      <w:szCs w:val="18"/>
    </w:rPr>
  </w:style>
  <w:style w:type="paragraph" w:styleId="9">
    <w:name w:val="heading 9"/>
    <w:basedOn w:val="a"/>
    <w:next w:val="a"/>
    <w:link w:val="90"/>
    <w:uiPriority w:val="9"/>
    <w:unhideWhenUsed/>
    <w:qFormat/>
    <w:rsid w:val="008E40A0"/>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40A0"/>
    <w:rPr>
      <w:caps/>
      <w:color w:val="FFFFFF" w:themeColor="background1"/>
      <w:spacing w:val="15"/>
      <w:sz w:val="22"/>
      <w:szCs w:val="22"/>
      <w:shd w:val="clear" w:color="auto" w:fill="4F81BD" w:themeFill="accent1"/>
    </w:rPr>
  </w:style>
  <w:style w:type="character" w:customStyle="1" w:styleId="20">
    <w:name w:val="Заголовок 2 Знак"/>
    <w:basedOn w:val="a0"/>
    <w:link w:val="2"/>
    <w:uiPriority w:val="9"/>
    <w:locked/>
    <w:rsid w:val="008E40A0"/>
    <w:rPr>
      <w:caps/>
      <w:spacing w:val="15"/>
      <w:shd w:val="clear" w:color="auto" w:fill="DBE5F1" w:themeFill="accent1" w:themeFillTint="33"/>
    </w:rPr>
  </w:style>
  <w:style w:type="character" w:customStyle="1" w:styleId="30">
    <w:name w:val="Заголовок 3 Знак"/>
    <w:basedOn w:val="a0"/>
    <w:link w:val="3"/>
    <w:uiPriority w:val="9"/>
    <w:locked/>
    <w:rsid w:val="008E40A0"/>
    <w:rPr>
      <w:caps/>
      <w:color w:val="243F60" w:themeColor="accent1" w:themeShade="7F"/>
      <w:spacing w:val="15"/>
    </w:rPr>
  </w:style>
  <w:style w:type="character" w:customStyle="1" w:styleId="40">
    <w:name w:val="Заголовок 4 Знак"/>
    <w:basedOn w:val="a0"/>
    <w:link w:val="4"/>
    <w:uiPriority w:val="9"/>
    <w:locked/>
    <w:rsid w:val="008E40A0"/>
    <w:rPr>
      <w:caps/>
      <w:color w:val="365F91" w:themeColor="accent1" w:themeShade="BF"/>
      <w:spacing w:val="10"/>
    </w:rPr>
  </w:style>
  <w:style w:type="character" w:customStyle="1" w:styleId="50">
    <w:name w:val="Заголовок 5 Знак"/>
    <w:basedOn w:val="a0"/>
    <w:link w:val="5"/>
    <w:uiPriority w:val="9"/>
    <w:locked/>
    <w:rsid w:val="008E40A0"/>
    <w:rPr>
      <w:caps/>
      <w:color w:val="365F91" w:themeColor="accent1" w:themeShade="BF"/>
      <w:spacing w:val="10"/>
    </w:rPr>
  </w:style>
  <w:style w:type="character" w:customStyle="1" w:styleId="60">
    <w:name w:val="Заголовок 6 Знак"/>
    <w:basedOn w:val="a0"/>
    <w:link w:val="6"/>
    <w:uiPriority w:val="9"/>
    <w:locked/>
    <w:rsid w:val="008E40A0"/>
    <w:rPr>
      <w:caps/>
      <w:color w:val="365F91" w:themeColor="accent1" w:themeShade="BF"/>
      <w:spacing w:val="10"/>
    </w:rPr>
  </w:style>
  <w:style w:type="character" w:customStyle="1" w:styleId="70">
    <w:name w:val="Заголовок 7 Знак"/>
    <w:basedOn w:val="a0"/>
    <w:link w:val="7"/>
    <w:uiPriority w:val="9"/>
    <w:locked/>
    <w:rsid w:val="008E40A0"/>
    <w:rPr>
      <w:caps/>
      <w:color w:val="365F91" w:themeColor="accent1" w:themeShade="BF"/>
      <w:spacing w:val="10"/>
    </w:rPr>
  </w:style>
  <w:style w:type="character" w:customStyle="1" w:styleId="80">
    <w:name w:val="Заголовок 8 Знак"/>
    <w:basedOn w:val="a0"/>
    <w:link w:val="8"/>
    <w:uiPriority w:val="9"/>
    <w:rsid w:val="008E40A0"/>
    <w:rPr>
      <w:caps/>
      <w:spacing w:val="10"/>
      <w:sz w:val="18"/>
      <w:szCs w:val="18"/>
    </w:rPr>
  </w:style>
  <w:style w:type="character" w:customStyle="1" w:styleId="90">
    <w:name w:val="Заголовок 9 Знак"/>
    <w:basedOn w:val="a0"/>
    <w:link w:val="9"/>
    <w:uiPriority w:val="9"/>
    <w:locked/>
    <w:rsid w:val="008E40A0"/>
    <w:rPr>
      <w:i/>
      <w:iCs/>
      <w:caps/>
      <w:spacing w:val="10"/>
      <w:sz w:val="18"/>
      <w:szCs w:val="18"/>
    </w:rPr>
  </w:style>
  <w:style w:type="paragraph" w:styleId="a3">
    <w:name w:val="Balloon Text"/>
    <w:basedOn w:val="a"/>
    <w:link w:val="a4"/>
    <w:uiPriority w:val="99"/>
    <w:semiHidden/>
    <w:rsid w:val="00541DC9"/>
    <w:rPr>
      <w:rFonts w:ascii="Tahoma" w:hAnsi="Tahoma" w:cs="Tahoma"/>
      <w:sz w:val="16"/>
      <w:szCs w:val="16"/>
    </w:rPr>
  </w:style>
  <w:style w:type="character" w:customStyle="1" w:styleId="a4">
    <w:name w:val="Текст выноски Знак"/>
    <w:basedOn w:val="a0"/>
    <w:link w:val="a3"/>
    <w:uiPriority w:val="99"/>
    <w:semiHidden/>
    <w:locked/>
    <w:rsid w:val="004C6030"/>
    <w:rPr>
      <w:rFonts w:cs="Times New Roman"/>
      <w:sz w:val="2"/>
      <w:szCs w:val="2"/>
    </w:rPr>
  </w:style>
  <w:style w:type="paragraph" w:customStyle="1" w:styleId="artx">
    <w:name w:val="artx"/>
    <w:basedOn w:val="a"/>
    <w:rsid w:val="00653FFB"/>
    <w:rPr>
      <w:rFonts w:ascii="Arial" w:hAnsi="Arial" w:cs="Arial"/>
      <w:color w:val="000000"/>
      <w:sz w:val="18"/>
      <w:szCs w:val="18"/>
    </w:rPr>
  </w:style>
  <w:style w:type="paragraph" w:styleId="a5">
    <w:name w:val="Body Text"/>
    <w:basedOn w:val="a"/>
    <w:link w:val="a6"/>
    <w:uiPriority w:val="99"/>
    <w:rsid w:val="00D84EA4"/>
    <w:pPr>
      <w:spacing w:after="100"/>
      <w:jc w:val="both"/>
    </w:pPr>
    <w:rPr>
      <w:rFonts w:ascii="Verdana" w:hAnsi="Verdana" w:cs="Verdana"/>
      <w:sz w:val="18"/>
      <w:szCs w:val="18"/>
    </w:rPr>
  </w:style>
  <w:style w:type="character" w:customStyle="1" w:styleId="a6">
    <w:name w:val="Основной текст Знак"/>
    <w:basedOn w:val="a0"/>
    <w:link w:val="a5"/>
    <w:uiPriority w:val="99"/>
    <w:locked/>
    <w:rsid w:val="004C6030"/>
    <w:rPr>
      <w:rFonts w:cs="Times New Roman"/>
      <w:sz w:val="20"/>
      <w:szCs w:val="20"/>
    </w:rPr>
  </w:style>
  <w:style w:type="paragraph" w:styleId="a7">
    <w:name w:val="footer"/>
    <w:basedOn w:val="a"/>
    <w:link w:val="a8"/>
    <w:rsid w:val="00541DC9"/>
    <w:pPr>
      <w:tabs>
        <w:tab w:val="center" w:pos="4153"/>
        <w:tab w:val="right" w:pos="8306"/>
      </w:tabs>
    </w:pPr>
  </w:style>
  <w:style w:type="character" w:customStyle="1" w:styleId="a8">
    <w:name w:val="Нижний колонтитул Знак"/>
    <w:basedOn w:val="a0"/>
    <w:link w:val="a7"/>
    <w:locked/>
    <w:rsid w:val="009953E9"/>
    <w:rPr>
      <w:rFonts w:cs="Times New Roman"/>
      <w:lang w:val="ru-RU" w:eastAsia="ru-RU"/>
    </w:rPr>
  </w:style>
  <w:style w:type="character" w:styleId="a9">
    <w:name w:val="page number"/>
    <w:basedOn w:val="a0"/>
    <w:uiPriority w:val="99"/>
    <w:rsid w:val="00541DC9"/>
    <w:rPr>
      <w:rFonts w:cs="Times New Roman"/>
    </w:rPr>
  </w:style>
  <w:style w:type="paragraph" w:styleId="aa">
    <w:name w:val="header"/>
    <w:basedOn w:val="a"/>
    <w:link w:val="ab"/>
    <w:rsid w:val="00541DC9"/>
    <w:pPr>
      <w:tabs>
        <w:tab w:val="center" w:pos="4153"/>
        <w:tab w:val="right" w:pos="8306"/>
      </w:tabs>
    </w:pPr>
  </w:style>
  <w:style w:type="character" w:customStyle="1" w:styleId="ab">
    <w:name w:val="Верхний колонтитул Знак"/>
    <w:basedOn w:val="a0"/>
    <w:link w:val="aa"/>
    <w:locked/>
    <w:rsid w:val="004C6030"/>
    <w:rPr>
      <w:rFonts w:cs="Times New Roman"/>
      <w:sz w:val="20"/>
      <w:szCs w:val="20"/>
    </w:rPr>
  </w:style>
  <w:style w:type="paragraph" w:styleId="ac">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
    <w:basedOn w:val="a"/>
    <w:link w:val="ad"/>
    <w:uiPriority w:val="99"/>
    <w:rsid w:val="008E7F6E"/>
  </w:style>
  <w:style w:type="character" w:customStyle="1" w:styleId="ad">
    <w:name w:val="Текст сноски Знак"/>
    <w:aliases w:val="Table_Footnote_last Знак1,Текст сноски Знак Знак Char Знак1,Texto de nota al pie Char Знак1,Texto de nota al pie Знак1,Текст сноски Знак Знак Char Char Знак1,Schriftart: 9 pt Знак1,Schriftart: 10 pt Знак1,Schriftart: 8 pt Знак1"/>
    <w:basedOn w:val="a0"/>
    <w:link w:val="ac"/>
    <w:uiPriority w:val="99"/>
    <w:locked/>
    <w:rsid w:val="004C6030"/>
    <w:rPr>
      <w:rFonts w:cs="Times New Roman"/>
      <w:sz w:val="20"/>
      <w:szCs w:val="20"/>
    </w:rPr>
  </w:style>
  <w:style w:type="character" w:styleId="ae">
    <w:name w:val="footnote reference"/>
    <w:aliases w:val="Знак сноски 1,Знак сноски-FN"/>
    <w:basedOn w:val="a0"/>
    <w:uiPriority w:val="99"/>
    <w:rsid w:val="008E7F6E"/>
    <w:rPr>
      <w:rFonts w:cs="Times New Roman"/>
      <w:vertAlign w:val="superscript"/>
    </w:rPr>
  </w:style>
  <w:style w:type="paragraph" w:styleId="af">
    <w:name w:val="Title"/>
    <w:basedOn w:val="a"/>
    <w:next w:val="a"/>
    <w:link w:val="af0"/>
    <w:qFormat/>
    <w:rsid w:val="008E40A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11">
    <w:name w:val="Заголовок Знак1"/>
    <w:basedOn w:val="a0"/>
    <w:uiPriority w:val="10"/>
    <w:locked/>
    <w:rsid w:val="004C6030"/>
    <w:rPr>
      <w:rFonts w:ascii="Cambria" w:hAnsi="Cambria" w:cs="Cambria"/>
      <w:b/>
      <w:bCs/>
      <w:kern w:val="28"/>
      <w:sz w:val="32"/>
      <w:szCs w:val="32"/>
    </w:rPr>
  </w:style>
  <w:style w:type="character" w:styleId="af1">
    <w:name w:val="Hyperlink"/>
    <w:basedOn w:val="a0"/>
    <w:rsid w:val="008E7F6E"/>
    <w:rPr>
      <w:rFonts w:ascii="Tahoma" w:hAnsi="Tahoma" w:cs="Tahoma"/>
      <w:b/>
      <w:bCs/>
      <w:color w:val="auto"/>
      <w:sz w:val="20"/>
      <w:szCs w:val="20"/>
      <w:u w:val="single"/>
    </w:rPr>
  </w:style>
  <w:style w:type="character" w:styleId="af2">
    <w:name w:val="Emphasis"/>
    <w:uiPriority w:val="20"/>
    <w:qFormat/>
    <w:rsid w:val="008E40A0"/>
    <w:rPr>
      <w:caps/>
      <w:color w:val="243F60" w:themeColor="accent1" w:themeShade="7F"/>
      <w:spacing w:val="5"/>
    </w:rPr>
  </w:style>
  <w:style w:type="paragraph" w:styleId="31">
    <w:name w:val="Body Text 3"/>
    <w:basedOn w:val="a"/>
    <w:link w:val="32"/>
    <w:rsid w:val="008E7F6E"/>
    <w:pPr>
      <w:spacing w:after="120"/>
    </w:pPr>
    <w:rPr>
      <w:sz w:val="16"/>
      <w:szCs w:val="16"/>
    </w:rPr>
  </w:style>
  <w:style w:type="character" w:customStyle="1" w:styleId="32">
    <w:name w:val="Основной текст 3 Знак"/>
    <w:basedOn w:val="a0"/>
    <w:link w:val="31"/>
    <w:locked/>
    <w:rsid w:val="004C6030"/>
    <w:rPr>
      <w:rFonts w:cs="Times New Roman"/>
      <w:sz w:val="16"/>
      <w:szCs w:val="16"/>
    </w:rPr>
  </w:style>
  <w:style w:type="character" w:styleId="af3">
    <w:name w:val="line number"/>
    <w:basedOn w:val="a0"/>
    <w:rsid w:val="00B831E3"/>
    <w:rPr>
      <w:rFonts w:cs="Times New Roman"/>
    </w:rPr>
  </w:style>
  <w:style w:type="paragraph" w:customStyle="1" w:styleId="12">
    <w:name w:val="Знак Знак Знак Знак Знак Знак1 Знак Знак Знак Знак Знак Знак Знак Знак Знак Знак"/>
    <w:basedOn w:val="a"/>
    <w:rsid w:val="00EA3B13"/>
    <w:pPr>
      <w:spacing w:after="160" w:line="240" w:lineRule="exact"/>
    </w:pPr>
    <w:rPr>
      <w:rFonts w:ascii="Verdana" w:hAnsi="Verdana" w:cs="Verdana"/>
      <w:lang w:val="en-US" w:eastAsia="en-US"/>
    </w:rPr>
  </w:style>
  <w:style w:type="paragraph" w:styleId="21">
    <w:name w:val="Body Text Indent 2"/>
    <w:basedOn w:val="a"/>
    <w:link w:val="22"/>
    <w:rsid w:val="005620F1"/>
    <w:pPr>
      <w:spacing w:after="120" w:line="480" w:lineRule="auto"/>
      <w:ind w:left="283"/>
    </w:pPr>
  </w:style>
  <w:style w:type="character" w:customStyle="1" w:styleId="22">
    <w:name w:val="Основной текст с отступом 2 Знак"/>
    <w:basedOn w:val="a0"/>
    <w:link w:val="21"/>
    <w:locked/>
    <w:rsid w:val="004C6030"/>
    <w:rPr>
      <w:rFonts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
    <w:rsid w:val="00FE03DA"/>
    <w:rPr>
      <w:rFonts w:ascii="Verdana" w:hAnsi="Verdana" w:cs="Verdana"/>
      <w:lang w:val="en-US" w:eastAsia="en-US"/>
    </w:rPr>
  </w:style>
  <w:style w:type="table" w:styleId="af4">
    <w:name w:val="Table Grid"/>
    <w:basedOn w:val="a1"/>
    <w:uiPriority w:val="99"/>
    <w:rsid w:val="00FE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rsid w:val="0048472D"/>
    <w:rPr>
      <w:rFonts w:ascii="Times New Roman" w:hAnsi="Times New Roman" w:cs="Times New Roman"/>
      <w:sz w:val="22"/>
      <w:szCs w:val="22"/>
    </w:rPr>
  </w:style>
  <w:style w:type="paragraph" w:styleId="23">
    <w:name w:val="Body Text 2"/>
    <w:basedOn w:val="a"/>
    <w:link w:val="24"/>
    <w:uiPriority w:val="99"/>
    <w:rsid w:val="00415C5F"/>
    <w:pPr>
      <w:spacing w:after="120" w:line="480" w:lineRule="auto"/>
    </w:pPr>
    <w:rPr>
      <w:sz w:val="24"/>
      <w:szCs w:val="24"/>
    </w:rPr>
  </w:style>
  <w:style w:type="character" w:customStyle="1" w:styleId="24">
    <w:name w:val="Основной текст 2 Знак"/>
    <w:basedOn w:val="a0"/>
    <w:link w:val="23"/>
    <w:uiPriority w:val="99"/>
    <w:locked/>
    <w:rsid w:val="004C6030"/>
    <w:rPr>
      <w:rFonts w:cs="Times New Roman"/>
      <w:sz w:val="20"/>
      <w:szCs w:val="20"/>
    </w:rPr>
  </w:style>
  <w:style w:type="paragraph" w:customStyle="1" w:styleId="p2">
    <w:name w:val="p2"/>
    <w:basedOn w:val="a"/>
    <w:rsid w:val="00415C5F"/>
    <w:pPr>
      <w:spacing w:beforeAutospacing="1" w:after="100" w:afterAutospacing="1"/>
      <w:jc w:val="both"/>
    </w:pPr>
    <w:rPr>
      <w:rFonts w:ascii="Arial" w:hAnsi="Arial" w:cs="Arial"/>
      <w:color w:val="000000"/>
    </w:rPr>
  </w:style>
  <w:style w:type="paragraph" w:styleId="af5">
    <w:name w:val="Plain Text"/>
    <w:aliases w:val="Текст Знак1 Знак1,Текст Знак Знак Знак1,Знак Знак2,Знак Знак Знак1,Знак Знак Знак Знак Знак1,Текст Знак2 Знак Знак1,Текст Знак1 Знак1 Знак Знак1,Текст Знак Знак Знак1 Знак Знак1,Текст Знак1 Знак Знак Знак Знак Знак1,Текст Зн, Знак"/>
    <w:basedOn w:val="a"/>
    <w:link w:val="af6"/>
    <w:uiPriority w:val="99"/>
    <w:rsid w:val="008518C1"/>
    <w:rPr>
      <w:rFonts w:ascii="Courier New" w:hAnsi="Courier New" w:cs="Courier New"/>
    </w:rPr>
  </w:style>
  <w:style w:type="character" w:customStyle="1" w:styleId="af6">
    <w:name w:val="Текст Знак"/>
    <w:aliases w:val="Текст Знак1 Знак1 Знак1,Текст Знак Знак Знак1 Знак1,Знак Знак2 Знак1,Знак Знак Знак1 Знак1,Знак Знак Знак Знак Знак1 Знак1,Текст Знак2 Знак Знак1 Знак1,Текст Знак1 Знак1 Знак Знак1 Знак1,Текст Знак Знак Знак1 Знак Знак1 Знак1,Текст Зн Знак1"/>
    <w:basedOn w:val="a0"/>
    <w:link w:val="af5"/>
    <w:uiPriority w:val="99"/>
    <w:locked/>
    <w:rsid w:val="004C6030"/>
    <w:rPr>
      <w:rFonts w:ascii="Courier New" w:hAnsi="Courier New" w:cs="Courier New"/>
      <w:sz w:val="20"/>
      <w:szCs w:val="20"/>
    </w:rPr>
  </w:style>
  <w:style w:type="paragraph" w:styleId="HTML">
    <w:name w:val="HTML Preformatted"/>
    <w:basedOn w:val="a"/>
    <w:link w:val="HTML0"/>
    <w:rsid w:val="00851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locked/>
    <w:rsid w:val="00897612"/>
    <w:rPr>
      <w:rFonts w:ascii="Courier New" w:hAnsi="Courier New" w:cs="Courier New"/>
      <w:lang w:val="ru-RU" w:eastAsia="ru-RU"/>
    </w:rPr>
  </w:style>
  <w:style w:type="paragraph" w:styleId="af7">
    <w:name w:val="Body Text Indent"/>
    <w:basedOn w:val="a"/>
    <w:link w:val="af8"/>
    <w:uiPriority w:val="99"/>
    <w:rsid w:val="008518C1"/>
    <w:pPr>
      <w:spacing w:after="120"/>
      <w:ind w:left="283"/>
    </w:pPr>
  </w:style>
  <w:style w:type="character" w:customStyle="1" w:styleId="af8">
    <w:name w:val="Основной текст с отступом Знак"/>
    <w:basedOn w:val="a0"/>
    <w:link w:val="af7"/>
    <w:locked/>
    <w:rsid w:val="004C6030"/>
    <w:rPr>
      <w:rFonts w:cs="Times New Roman"/>
      <w:sz w:val="20"/>
      <w:szCs w:val="20"/>
    </w:rPr>
  </w:style>
  <w:style w:type="paragraph" w:customStyle="1" w:styleId="Pa16">
    <w:name w:val="Pa16"/>
    <w:basedOn w:val="a"/>
    <w:next w:val="a"/>
    <w:rsid w:val="008518C1"/>
    <w:pPr>
      <w:autoSpaceDE w:val="0"/>
      <w:autoSpaceDN w:val="0"/>
      <w:adjustRightInd w:val="0"/>
      <w:spacing w:line="221" w:lineRule="atLeast"/>
    </w:pPr>
    <w:rPr>
      <w:rFonts w:ascii="FreeSetC" w:hAnsi="FreeSetC" w:cs="FreeSetC"/>
      <w:sz w:val="24"/>
      <w:szCs w:val="24"/>
    </w:rPr>
  </w:style>
  <w:style w:type="paragraph" w:styleId="33">
    <w:name w:val="Body Text Indent 3"/>
    <w:basedOn w:val="a"/>
    <w:link w:val="34"/>
    <w:rsid w:val="00AA4E8C"/>
    <w:pPr>
      <w:spacing w:after="120"/>
      <w:ind w:left="283"/>
    </w:pPr>
    <w:rPr>
      <w:sz w:val="16"/>
      <w:szCs w:val="16"/>
    </w:rPr>
  </w:style>
  <w:style w:type="character" w:customStyle="1" w:styleId="34">
    <w:name w:val="Основной текст с отступом 3 Знак"/>
    <w:basedOn w:val="a0"/>
    <w:link w:val="33"/>
    <w:locked/>
    <w:rsid w:val="004C6030"/>
    <w:rPr>
      <w:rFonts w:cs="Times New Roman"/>
      <w:sz w:val="16"/>
      <w:szCs w:val="16"/>
    </w:rPr>
  </w:style>
  <w:style w:type="paragraph" w:styleId="af9">
    <w:name w:val="Normal (Web)"/>
    <w:basedOn w:val="a"/>
    <w:uiPriority w:val="99"/>
    <w:rsid w:val="0058279C"/>
    <w:pPr>
      <w:spacing w:beforeAutospacing="1" w:after="100" w:afterAutospacing="1"/>
    </w:pPr>
    <w:rPr>
      <w:sz w:val="24"/>
      <w:szCs w:val="24"/>
    </w:rPr>
  </w:style>
  <w:style w:type="paragraph" w:customStyle="1" w:styleId="Normal1">
    <w:name w:val="Normal1"/>
    <w:link w:val="Normal"/>
    <w:rsid w:val="00B61D93"/>
    <w:pPr>
      <w:spacing w:after="100"/>
    </w:pPr>
    <w:rPr>
      <w:sz w:val="24"/>
      <w:szCs w:val="24"/>
    </w:rPr>
  </w:style>
  <w:style w:type="character" w:customStyle="1" w:styleId="Normal">
    <w:name w:val="Normal Знак"/>
    <w:basedOn w:val="a0"/>
    <w:link w:val="Normal1"/>
    <w:locked/>
    <w:rsid w:val="004C444A"/>
    <w:rPr>
      <w:sz w:val="24"/>
      <w:szCs w:val="24"/>
      <w:lang w:val="ru-RU" w:eastAsia="ru-RU" w:bidi="ar-SA"/>
    </w:rPr>
  </w:style>
  <w:style w:type="character" w:styleId="afa">
    <w:name w:val="annotation reference"/>
    <w:basedOn w:val="a0"/>
    <w:semiHidden/>
    <w:rsid w:val="00AF52A3"/>
    <w:rPr>
      <w:rFonts w:cs="Times New Roman"/>
      <w:sz w:val="16"/>
      <w:szCs w:val="16"/>
    </w:rPr>
  </w:style>
  <w:style w:type="paragraph" w:styleId="afb">
    <w:name w:val="annotation text"/>
    <w:basedOn w:val="a"/>
    <w:link w:val="afc"/>
    <w:uiPriority w:val="99"/>
    <w:semiHidden/>
    <w:rsid w:val="00AF52A3"/>
  </w:style>
  <w:style w:type="character" w:customStyle="1" w:styleId="afc">
    <w:name w:val="Текст примечания Знак"/>
    <w:basedOn w:val="a0"/>
    <w:link w:val="afb"/>
    <w:uiPriority w:val="99"/>
    <w:semiHidden/>
    <w:locked/>
    <w:rsid w:val="004C6030"/>
    <w:rPr>
      <w:rFonts w:cs="Times New Roman"/>
      <w:sz w:val="20"/>
      <w:szCs w:val="20"/>
    </w:rPr>
  </w:style>
  <w:style w:type="paragraph" w:styleId="afd">
    <w:name w:val="annotation subject"/>
    <w:basedOn w:val="afb"/>
    <w:next w:val="afb"/>
    <w:link w:val="afe"/>
    <w:semiHidden/>
    <w:rsid w:val="00AF52A3"/>
    <w:rPr>
      <w:b/>
      <w:bCs/>
    </w:rPr>
  </w:style>
  <w:style w:type="character" w:customStyle="1" w:styleId="afe">
    <w:name w:val="Тема примечания Знак"/>
    <w:basedOn w:val="afc"/>
    <w:link w:val="afd"/>
    <w:semiHidden/>
    <w:locked/>
    <w:rsid w:val="004C6030"/>
    <w:rPr>
      <w:rFonts w:cs="Times New Roman"/>
      <w:b/>
      <w:bCs/>
      <w:sz w:val="20"/>
      <w:szCs w:val="20"/>
    </w:rPr>
  </w:style>
  <w:style w:type="paragraph" w:customStyle="1" w:styleId="caaieiaie1">
    <w:name w:val="caaieiaie 1"/>
    <w:basedOn w:val="a"/>
    <w:next w:val="a"/>
    <w:rsid w:val="00570C81"/>
    <w:pPr>
      <w:keepNext/>
    </w:pPr>
    <w:rPr>
      <w:sz w:val="24"/>
      <w:szCs w:val="24"/>
      <w:lang w:val="en-US"/>
    </w:rPr>
  </w:style>
  <w:style w:type="paragraph" w:customStyle="1" w:styleId="25">
    <w:name w:val="2"/>
    <w:basedOn w:val="a"/>
    <w:rsid w:val="005F227A"/>
    <w:rPr>
      <w:rFonts w:ascii="Verdana" w:hAnsi="Verdana" w:cs="Verdana"/>
      <w:lang w:val="en-US" w:eastAsia="en-US"/>
    </w:rPr>
  </w:style>
  <w:style w:type="paragraph" w:customStyle="1" w:styleId="13">
    <w:name w:val="Обычный1"/>
    <w:basedOn w:val="a"/>
    <w:rsid w:val="004C444A"/>
    <w:pPr>
      <w:spacing w:beforeAutospacing="1" w:after="100" w:afterAutospacing="1"/>
    </w:pPr>
    <w:rPr>
      <w:sz w:val="24"/>
      <w:szCs w:val="24"/>
    </w:rPr>
  </w:style>
  <w:style w:type="paragraph" w:customStyle="1" w:styleId="14">
    <w:name w:val="Абзац списка1"/>
    <w:basedOn w:val="a"/>
    <w:rsid w:val="00284603"/>
    <w:pPr>
      <w:ind w:left="720" w:firstLine="709"/>
      <w:jc w:val="both"/>
    </w:pPr>
    <w:rPr>
      <w:rFonts w:ascii="Calibri" w:hAnsi="Calibri" w:cs="Calibri"/>
      <w:sz w:val="22"/>
      <w:szCs w:val="22"/>
    </w:rPr>
  </w:style>
  <w:style w:type="paragraph" w:customStyle="1" w:styleId="par">
    <w:name w:val="par"/>
    <w:basedOn w:val="a"/>
    <w:rsid w:val="0047598D"/>
    <w:pPr>
      <w:spacing w:beforeAutospacing="1" w:after="100" w:afterAutospacing="1"/>
    </w:pPr>
    <w:rPr>
      <w:sz w:val="24"/>
      <w:szCs w:val="24"/>
    </w:rPr>
  </w:style>
  <w:style w:type="character" w:customStyle="1" w:styleId="Strong1">
    <w:name w:val="Strong1"/>
    <w:rsid w:val="002B77F2"/>
    <w:rPr>
      <w:b/>
    </w:rPr>
  </w:style>
  <w:style w:type="paragraph" w:customStyle="1" w:styleId="aff">
    <w:name w:val="a"/>
    <w:basedOn w:val="a"/>
    <w:rsid w:val="000020E5"/>
    <w:pPr>
      <w:spacing w:before="60"/>
      <w:jc w:val="both"/>
    </w:pPr>
    <w:rPr>
      <w:rFonts w:ascii="Arial" w:hAnsi="Arial" w:cs="Arial"/>
    </w:rPr>
  </w:style>
  <w:style w:type="paragraph" w:customStyle="1" w:styleId="aff0">
    <w:name w:val="Знак"/>
    <w:basedOn w:val="a"/>
    <w:rsid w:val="005F20F4"/>
    <w:rPr>
      <w:rFonts w:ascii="Verdana" w:hAnsi="Verdana" w:cs="Verdana"/>
      <w:lang w:val="en-US" w:eastAsia="en-US"/>
    </w:rPr>
  </w:style>
  <w:style w:type="paragraph" w:customStyle="1" w:styleId="15">
    <w:name w:val="Знак Знак Знак Знак Знак Знак Знак Знак Знак1 Знак Знак Знак Знак"/>
    <w:basedOn w:val="a"/>
    <w:rsid w:val="0099174B"/>
    <w:pPr>
      <w:spacing w:after="160" w:line="240" w:lineRule="exact"/>
    </w:pPr>
    <w:rPr>
      <w:rFonts w:ascii="Verdana" w:hAnsi="Verdana" w:cs="Verdana"/>
      <w:lang w:val="en-US" w:eastAsia="en-US"/>
    </w:rPr>
  </w:style>
  <w:style w:type="paragraph" w:styleId="aff1">
    <w:name w:val="Closing"/>
    <w:basedOn w:val="a"/>
    <w:link w:val="aff2"/>
    <w:rsid w:val="00F1587F"/>
    <w:pPr>
      <w:spacing w:line="220" w:lineRule="atLeast"/>
      <w:ind w:left="840" w:right="-360"/>
    </w:pPr>
  </w:style>
  <w:style w:type="character" w:customStyle="1" w:styleId="aff2">
    <w:name w:val="Прощание Знак"/>
    <w:basedOn w:val="a0"/>
    <w:link w:val="aff1"/>
    <w:locked/>
    <w:rsid w:val="004C6030"/>
    <w:rPr>
      <w:rFonts w:cs="Times New Roman"/>
      <w:sz w:val="20"/>
      <w:szCs w:val="20"/>
    </w:rPr>
  </w:style>
  <w:style w:type="paragraph" w:customStyle="1" w:styleId="Iauiue">
    <w:name w:val="Iau?iue"/>
    <w:rsid w:val="006A5175"/>
  </w:style>
  <w:style w:type="paragraph" w:customStyle="1" w:styleId="16">
    <w:name w:val="Знак1"/>
    <w:basedOn w:val="a"/>
    <w:rsid w:val="00226D6F"/>
    <w:rPr>
      <w:rFonts w:ascii="Verdana" w:hAnsi="Verdana" w:cs="Verdana"/>
      <w:lang w:val="en-US" w:eastAsia="en-US"/>
    </w:rPr>
  </w:style>
  <w:style w:type="character" w:styleId="aff3">
    <w:name w:val="Strong"/>
    <w:uiPriority w:val="22"/>
    <w:qFormat/>
    <w:rsid w:val="008E40A0"/>
    <w:rPr>
      <w:b/>
      <w:bCs/>
    </w:rPr>
  </w:style>
  <w:style w:type="character" w:customStyle="1" w:styleId="text-small">
    <w:name w:val="text-small"/>
    <w:basedOn w:val="a0"/>
    <w:rsid w:val="00226D6F"/>
    <w:rPr>
      <w:rFonts w:cs="Times New Roman"/>
    </w:rPr>
  </w:style>
  <w:style w:type="character" w:customStyle="1" w:styleId="margintext-small">
    <w:name w:val="margin text-small"/>
    <w:basedOn w:val="a0"/>
    <w:rsid w:val="00226D6F"/>
    <w:rPr>
      <w:rFonts w:cs="Times New Roman"/>
    </w:rPr>
  </w:style>
  <w:style w:type="paragraph" w:customStyle="1" w:styleId="ConsNormal">
    <w:name w:val="ConsNormal"/>
    <w:rsid w:val="00226D6F"/>
    <w:pPr>
      <w:widowControl w:val="0"/>
      <w:autoSpaceDE w:val="0"/>
      <w:autoSpaceDN w:val="0"/>
      <w:adjustRightInd w:val="0"/>
      <w:ind w:right="19772" w:firstLine="720"/>
    </w:pPr>
    <w:rPr>
      <w:rFonts w:ascii="Arial" w:hAnsi="Arial" w:cs="Arial"/>
    </w:rPr>
  </w:style>
  <w:style w:type="character" w:customStyle="1" w:styleId="FontStyle11">
    <w:name w:val="Font Style11"/>
    <w:basedOn w:val="a0"/>
    <w:rsid w:val="00226D6F"/>
    <w:rPr>
      <w:rFonts w:ascii="Times New Roman" w:hAnsi="Times New Roman" w:cs="Times New Roman"/>
      <w:sz w:val="24"/>
      <w:szCs w:val="24"/>
    </w:rPr>
  </w:style>
  <w:style w:type="character" w:customStyle="1" w:styleId="b-news-groupsnews-description">
    <w:name w:val="b-news-groups__news-description"/>
    <w:basedOn w:val="a0"/>
    <w:rsid w:val="00376494"/>
    <w:rPr>
      <w:rFonts w:cs="Times New Roman"/>
    </w:rPr>
  </w:style>
  <w:style w:type="character" w:customStyle="1" w:styleId="17">
    <w:name w:val="Знак Знак1"/>
    <w:basedOn w:val="a0"/>
    <w:rsid w:val="00A64DB1"/>
    <w:rPr>
      <w:rFonts w:cs="Times New Roman"/>
      <w:lang w:val="ru-RU" w:eastAsia="ru-RU"/>
    </w:rPr>
  </w:style>
  <w:style w:type="paragraph" w:customStyle="1" w:styleId="26">
    <w:name w:val="Знак2 Знак Знак Знак"/>
    <w:basedOn w:val="a"/>
    <w:rsid w:val="002D77DE"/>
    <w:rPr>
      <w:rFonts w:ascii="Verdana" w:hAnsi="Verdana" w:cs="Verdana"/>
      <w:lang w:val="en-US" w:eastAsia="en-US"/>
    </w:rPr>
  </w:style>
  <w:style w:type="character" w:customStyle="1" w:styleId="blk">
    <w:name w:val="blk"/>
    <w:basedOn w:val="a0"/>
    <w:rsid w:val="00CA6373"/>
    <w:rPr>
      <w:rFonts w:cs="Times New Roman"/>
    </w:rPr>
  </w:style>
  <w:style w:type="paragraph" w:customStyle="1" w:styleId="18">
    <w:name w:val="Без интервала1"/>
    <w:rsid w:val="00795BC1"/>
    <w:rPr>
      <w:rFonts w:ascii="Calibri" w:hAnsi="Calibri" w:cs="Calibri"/>
      <w:sz w:val="22"/>
      <w:szCs w:val="22"/>
    </w:rPr>
  </w:style>
  <w:style w:type="paragraph" w:customStyle="1" w:styleId="210">
    <w:name w:val="Знак2 Знак Знак Знак1"/>
    <w:basedOn w:val="a"/>
    <w:rsid w:val="00C94023"/>
    <w:rPr>
      <w:rFonts w:ascii="Verdana" w:hAnsi="Verdana" w:cs="Verdana"/>
      <w:lang w:val="en-US" w:eastAsia="en-US"/>
    </w:rPr>
  </w:style>
  <w:style w:type="paragraph" w:customStyle="1" w:styleId="MainText">
    <w:name w:val="MainText"/>
    <w:rsid w:val="00C15B85"/>
    <w:pPr>
      <w:overflowPunct w:val="0"/>
      <w:autoSpaceDE w:val="0"/>
      <w:autoSpaceDN w:val="0"/>
      <w:adjustRightInd w:val="0"/>
      <w:ind w:firstLine="567"/>
      <w:jc w:val="both"/>
    </w:pPr>
    <w:rPr>
      <w:rFonts w:ascii="PragmaticaC" w:hAnsi="PragmaticaC" w:cs="PragmaticaC"/>
      <w:color w:val="000000"/>
      <w:sz w:val="19"/>
      <w:szCs w:val="19"/>
      <w:lang w:val="en-US" w:eastAsia="en-US"/>
    </w:rPr>
  </w:style>
  <w:style w:type="paragraph" w:customStyle="1" w:styleId="Default">
    <w:name w:val="Default"/>
    <w:rsid w:val="003E01A1"/>
    <w:pPr>
      <w:autoSpaceDE w:val="0"/>
      <w:autoSpaceDN w:val="0"/>
      <w:adjustRightInd w:val="0"/>
    </w:pPr>
    <w:rPr>
      <w:color w:val="000000"/>
      <w:sz w:val="24"/>
      <w:szCs w:val="24"/>
    </w:rPr>
  </w:style>
  <w:style w:type="paragraph" w:customStyle="1" w:styleId="19">
    <w:name w:val="1"/>
    <w:basedOn w:val="a"/>
    <w:rsid w:val="00E92484"/>
    <w:rPr>
      <w:rFonts w:ascii="Verdana" w:hAnsi="Verdana" w:cs="Verdana"/>
      <w:lang w:val="en-US" w:eastAsia="en-US"/>
    </w:rPr>
  </w:style>
  <w:style w:type="paragraph" w:customStyle="1" w:styleId="ListParagraph1">
    <w:name w:val="List Paragraph1"/>
    <w:basedOn w:val="a"/>
    <w:rsid w:val="00531652"/>
    <w:pPr>
      <w:ind w:left="720"/>
    </w:pPr>
    <w:rPr>
      <w:rFonts w:ascii="Calibri" w:hAnsi="Calibri" w:cs="Calibri"/>
      <w:sz w:val="22"/>
      <w:szCs w:val="22"/>
      <w:lang w:eastAsia="en-US"/>
    </w:rPr>
  </w:style>
  <w:style w:type="paragraph" w:customStyle="1" w:styleId="110">
    <w:name w:val="Знак Знак Знак Знак Знак Знак1 Знак Знак Знак Знак Знак Знак Знак Знак Знак Знак1"/>
    <w:basedOn w:val="a"/>
    <w:rsid w:val="00D41471"/>
    <w:pPr>
      <w:spacing w:after="160" w:line="240" w:lineRule="exact"/>
    </w:pPr>
    <w:rPr>
      <w:rFonts w:ascii="Verdana" w:hAnsi="Verdana" w:cs="Verdana"/>
      <w:lang w:val="en-US" w:eastAsia="en-US"/>
    </w:rPr>
  </w:style>
  <w:style w:type="paragraph" w:customStyle="1" w:styleId="ConsPlusNormal">
    <w:name w:val="ConsPlusNormal"/>
    <w:rsid w:val="00A64E05"/>
    <w:pPr>
      <w:widowControl w:val="0"/>
      <w:autoSpaceDE w:val="0"/>
      <w:autoSpaceDN w:val="0"/>
      <w:adjustRightInd w:val="0"/>
    </w:pPr>
    <w:rPr>
      <w:rFonts w:ascii="Arial" w:hAnsi="Arial" w:cs="Arial"/>
    </w:rPr>
  </w:style>
  <w:style w:type="character" w:customStyle="1" w:styleId="HTMLPreformattedChar">
    <w:name w:val="HTML Preformatted Char"/>
    <w:basedOn w:val="a0"/>
    <w:semiHidden/>
    <w:locked/>
    <w:rsid w:val="00C56F0E"/>
    <w:rPr>
      <w:rFonts w:ascii="Courier New" w:hAnsi="Courier New" w:cs="Courier New"/>
      <w:lang w:val="ru-RU" w:eastAsia="ru-RU"/>
    </w:rPr>
  </w:style>
  <w:style w:type="paragraph" w:customStyle="1" w:styleId="Style6">
    <w:name w:val="Style6"/>
    <w:basedOn w:val="a"/>
    <w:rsid w:val="00CE4FF8"/>
    <w:pPr>
      <w:widowControl w:val="0"/>
      <w:autoSpaceDE w:val="0"/>
      <w:autoSpaceDN w:val="0"/>
      <w:adjustRightInd w:val="0"/>
      <w:spacing w:line="226" w:lineRule="exact"/>
      <w:ind w:firstLine="580"/>
      <w:jc w:val="both"/>
    </w:pPr>
    <w:rPr>
      <w:sz w:val="24"/>
      <w:szCs w:val="24"/>
    </w:rPr>
  </w:style>
  <w:style w:type="character" w:customStyle="1" w:styleId="FontStyle13">
    <w:name w:val="Font Style13"/>
    <w:basedOn w:val="a0"/>
    <w:rsid w:val="00CE4FF8"/>
    <w:rPr>
      <w:rFonts w:ascii="Times New Roman" w:hAnsi="Times New Roman" w:cs="Times New Roman"/>
      <w:sz w:val="18"/>
      <w:szCs w:val="18"/>
    </w:rPr>
  </w:style>
  <w:style w:type="character" w:customStyle="1" w:styleId="FontStyle14">
    <w:name w:val="Font Style14"/>
    <w:basedOn w:val="a0"/>
    <w:rsid w:val="00CE4FF8"/>
    <w:rPr>
      <w:rFonts w:ascii="Times New Roman" w:hAnsi="Times New Roman" w:cs="Times New Roman"/>
      <w:b/>
      <w:bCs/>
      <w:i/>
      <w:iCs/>
      <w:sz w:val="16"/>
      <w:szCs w:val="16"/>
    </w:rPr>
  </w:style>
  <w:style w:type="character" w:customStyle="1" w:styleId="FootnoteTextChar">
    <w:name w:val="Footnote Text Char"/>
    <w:basedOn w:val="a0"/>
    <w:semiHidden/>
    <w:locked/>
    <w:rsid w:val="006802FB"/>
    <w:rPr>
      <w:rFonts w:cs="Times New Roman"/>
      <w:sz w:val="20"/>
      <w:szCs w:val="20"/>
    </w:rPr>
  </w:style>
  <w:style w:type="paragraph" w:customStyle="1" w:styleId="Style4">
    <w:name w:val="Style4"/>
    <w:basedOn w:val="a"/>
    <w:rsid w:val="00403E66"/>
    <w:pPr>
      <w:widowControl w:val="0"/>
      <w:autoSpaceDE w:val="0"/>
      <w:autoSpaceDN w:val="0"/>
      <w:adjustRightInd w:val="0"/>
      <w:spacing w:line="267" w:lineRule="exact"/>
      <w:ind w:firstLine="720"/>
      <w:jc w:val="both"/>
    </w:pPr>
    <w:rPr>
      <w:sz w:val="24"/>
      <w:szCs w:val="24"/>
    </w:rPr>
  </w:style>
  <w:style w:type="paragraph" w:customStyle="1" w:styleId="1a">
    <w:name w:val="Обычный1"/>
    <w:rsid w:val="0075144C"/>
    <w:pPr>
      <w:spacing w:after="100"/>
    </w:pPr>
    <w:rPr>
      <w:snapToGrid w:val="0"/>
      <w:sz w:val="24"/>
    </w:rPr>
  </w:style>
  <w:style w:type="character" w:customStyle="1" w:styleId="Heading2Char">
    <w:name w:val="Heading 2 Char"/>
    <w:basedOn w:val="a0"/>
    <w:semiHidden/>
    <w:locked/>
    <w:rsid w:val="008D7F02"/>
    <w:rPr>
      <w:rFonts w:ascii="Verdana" w:hAnsi="Verdana" w:cs="Verdana"/>
      <w:b/>
      <w:bCs/>
      <w:lang w:val="ru-RU" w:eastAsia="ru-RU" w:bidi="ar-SA"/>
    </w:rPr>
  </w:style>
  <w:style w:type="paragraph" w:customStyle="1" w:styleId="ConsPlusNonformat">
    <w:name w:val="ConsPlusNonformat"/>
    <w:uiPriority w:val="99"/>
    <w:rsid w:val="004A7DE1"/>
    <w:pPr>
      <w:ind w:firstLine="709"/>
    </w:pPr>
    <w:rPr>
      <w:rFonts w:ascii="Courier New" w:hAnsi="Courier New" w:cs="Courier New"/>
    </w:rPr>
  </w:style>
  <w:style w:type="paragraph" w:styleId="aff4">
    <w:name w:val="List Paragraph"/>
    <w:basedOn w:val="a"/>
    <w:uiPriority w:val="34"/>
    <w:qFormat/>
    <w:rsid w:val="004A7DE1"/>
    <w:pPr>
      <w:ind w:left="720"/>
      <w:contextualSpacing/>
    </w:pPr>
  </w:style>
  <w:style w:type="paragraph" w:styleId="aff5">
    <w:name w:val="endnote text"/>
    <w:basedOn w:val="a"/>
    <w:link w:val="aff6"/>
    <w:rsid w:val="004A7DE1"/>
    <w:pPr>
      <w:ind w:firstLine="709"/>
    </w:pPr>
  </w:style>
  <w:style w:type="character" w:customStyle="1" w:styleId="aff6">
    <w:name w:val="Текст концевой сноски Знак"/>
    <w:basedOn w:val="a0"/>
    <w:link w:val="aff5"/>
    <w:rsid w:val="004A7DE1"/>
  </w:style>
  <w:style w:type="character" w:styleId="aff7">
    <w:name w:val="endnote reference"/>
    <w:basedOn w:val="a0"/>
    <w:rsid w:val="004A7DE1"/>
    <w:rPr>
      <w:vertAlign w:val="superscript"/>
    </w:rPr>
  </w:style>
  <w:style w:type="numbering" w:customStyle="1" w:styleId="1b">
    <w:name w:val="Нет списка1"/>
    <w:next w:val="a2"/>
    <w:uiPriority w:val="99"/>
    <w:semiHidden/>
    <w:unhideWhenUsed/>
    <w:rsid w:val="00D719F1"/>
  </w:style>
  <w:style w:type="character" w:customStyle="1" w:styleId="81">
    <w:name w:val="Знак Знак8"/>
    <w:basedOn w:val="a0"/>
    <w:semiHidden/>
    <w:locked/>
    <w:rsid w:val="00D719F1"/>
    <w:rPr>
      <w:rFonts w:ascii="Verdana" w:hAnsi="Verdana" w:cs="Verdana"/>
      <w:lang w:val="ru-RU" w:eastAsia="ru-RU" w:bidi="ar-SA"/>
    </w:rPr>
  </w:style>
  <w:style w:type="character" w:customStyle="1" w:styleId="BodyTextIndent2Char">
    <w:name w:val="Body Text Indent 2 Char"/>
    <w:basedOn w:val="a0"/>
    <w:semiHidden/>
    <w:locked/>
    <w:rsid w:val="00533389"/>
    <w:rPr>
      <w:lang w:val="ru-RU" w:eastAsia="ru-RU" w:bidi="ar-SA"/>
    </w:rPr>
  </w:style>
  <w:style w:type="paragraph" w:customStyle="1" w:styleId="1c">
    <w:name w:val="Обычный1"/>
    <w:rsid w:val="00DC6F94"/>
    <w:pPr>
      <w:spacing w:after="100"/>
    </w:pPr>
    <w:rPr>
      <w:snapToGrid w:val="0"/>
      <w:sz w:val="24"/>
    </w:rPr>
  </w:style>
  <w:style w:type="paragraph" w:styleId="aff8">
    <w:name w:val="No Spacing"/>
    <w:uiPriority w:val="1"/>
    <w:qFormat/>
    <w:rsid w:val="008E40A0"/>
    <w:pPr>
      <w:spacing w:after="0" w:line="240" w:lineRule="auto"/>
    </w:pPr>
  </w:style>
  <w:style w:type="character" w:customStyle="1" w:styleId="margin">
    <w:name w:val="margin"/>
    <w:basedOn w:val="a0"/>
    <w:rsid w:val="00DC6F94"/>
  </w:style>
  <w:style w:type="character" w:customStyle="1" w:styleId="st">
    <w:name w:val="st"/>
    <w:basedOn w:val="a0"/>
    <w:rsid w:val="003A349A"/>
    <w:rPr>
      <w:lang w:val="ru-RU"/>
    </w:rPr>
  </w:style>
  <w:style w:type="character" w:customStyle="1" w:styleId="FontStyle64">
    <w:name w:val="Font Style64"/>
    <w:basedOn w:val="a0"/>
    <w:rsid w:val="009F003C"/>
    <w:rPr>
      <w:rFonts w:ascii="Book Antiqua" w:hAnsi="Book Antiqua" w:cs="Book Antiqua"/>
      <w:sz w:val="18"/>
      <w:szCs w:val="18"/>
    </w:rPr>
  </w:style>
  <w:style w:type="character" w:customStyle="1" w:styleId="1d">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
    <w:basedOn w:val="a0"/>
    <w:locked/>
    <w:rsid w:val="00980420"/>
    <w:rPr>
      <w:lang w:val="ru-RU" w:eastAsia="ru-RU" w:bidi="ar-SA"/>
    </w:rPr>
  </w:style>
  <w:style w:type="paragraph" w:customStyle="1" w:styleId="hyphenator502hide">
    <w:name w:val="hyphenator502hide"/>
    <w:basedOn w:val="a"/>
    <w:rsid w:val="00FA6300"/>
    <w:pPr>
      <w:spacing w:beforeAutospacing="1" w:after="100" w:afterAutospacing="1"/>
    </w:pPr>
    <w:rPr>
      <w:sz w:val="24"/>
      <w:szCs w:val="24"/>
    </w:rPr>
  </w:style>
  <w:style w:type="paragraph" w:customStyle="1" w:styleId="aff9">
    <w:name w:val="Знак"/>
    <w:basedOn w:val="a"/>
    <w:rsid w:val="009552ED"/>
    <w:rPr>
      <w:rFonts w:ascii="Verdana" w:hAnsi="Verdana" w:cs="Verdana"/>
      <w:lang w:val="en-US" w:eastAsia="en-US"/>
    </w:rPr>
  </w:style>
  <w:style w:type="paragraph" w:customStyle="1" w:styleId="affa">
    <w:name w:val="Знак"/>
    <w:basedOn w:val="a"/>
    <w:rsid w:val="0091561F"/>
    <w:rPr>
      <w:rFonts w:ascii="Verdana" w:hAnsi="Verdana" w:cs="Verdana"/>
      <w:lang w:val="en-US" w:eastAsia="en-US"/>
    </w:rPr>
  </w:style>
  <w:style w:type="paragraph" w:customStyle="1" w:styleId="affb">
    <w:name w:val="Знак"/>
    <w:basedOn w:val="a"/>
    <w:rsid w:val="00157541"/>
    <w:rPr>
      <w:rFonts w:ascii="Verdana" w:hAnsi="Verdana" w:cs="Verdana"/>
      <w:lang w:val="en-US" w:eastAsia="en-US"/>
    </w:rPr>
  </w:style>
  <w:style w:type="character" w:customStyle="1" w:styleId="af0">
    <w:name w:val="Заголовок Знак"/>
    <w:basedOn w:val="a0"/>
    <w:link w:val="af"/>
    <w:locked/>
    <w:rsid w:val="008E40A0"/>
    <w:rPr>
      <w:rFonts w:asciiTheme="majorHAnsi" w:eastAsiaTheme="majorEastAsia" w:hAnsiTheme="majorHAnsi" w:cstheme="majorBidi"/>
      <w:caps/>
      <w:color w:val="4F81BD" w:themeColor="accent1"/>
      <w:spacing w:val="10"/>
      <w:sz w:val="52"/>
      <w:szCs w:val="52"/>
    </w:rPr>
  </w:style>
  <w:style w:type="character" w:customStyle="1" w:styleId="1e">
    <w:name w:val="Текст Знак1"/>
    <w:aliases w:val="Текст Знак1 Знак1 Знак,Текст Знак Знак Знак1 Знак,Знак Знак2 Знак,Знак Знак Знак1 Знак,Знак Знак Знак Знак Знак1 Знак,Текст Знак2 Знак Знак1 Знак,Текст Знак1 Знак1 Знак Знак1 Знак,Текст Знак Знак Знак1 Знак Знак1 Знак,Текст Зн Знак"/>
    <w:locked/>
    <w:rsid w:val="00B826DC"/>
    <w:rPr>
      <w:rFonts w:ascii="Courier New" w:eastAsia="Times New Roman" w:hAnsi="Courier New" w:cs="Times New Roman"/>
      <w:sz w:val="20"/>
      <w:szCs w:val="20"/>
    </w:rPr>
  </w:style>
  <w:style w:type="paragraph" w:styleId="affc">
    <w:name w:val="caption"/>
    <w:basedOn w:val="a"/>
    <w:next w:val="a"/>
    <w:uiPriority w:val="35"/>
    <w:unhideWhenUsed/>
    <w:qFormat/>
    <w:locked/>
    <w:rsid w:val="008E40A0"/>
    <w:rPr>
      <w:b/>
      <w:bCs/>
      <w:color w:val="365F91" w:themeColor="accent1" w:themeShade="BF"/>
      <w:sz w:val="16"/>
      <w:szCs w:val="16"/>
    </w:rPr>
  </w:style>
  <w:style w:type="character" w:customStyle="1" w:styleId="fce729a3b9-b71d-465b-b2c8-45dd450aeb19-1">
    <w:name w:val="fce729a3b9-b71d-465b-b2c8-45dd450aeb19-1"/>
    <w:rsid w:val="00B826DC"/>
  </w:style>
  <w:style w:type="character" w:customStyle="1" w:styleId="fc01b89789-3ce8-47c3-a9c6-9f9de0cd4260-1">
    <w:name w:val="fc01b89789-3ce8-47c3-a9c6-9f9de0cd4260-1"/>
    <w:rsid w:val="00B826DC"/>
  </w:style>
  <w:style w:type="paragraph" w:customStyle="1" w:styleId="35">
    <w:name w:val="Обычный3"/>
    <w:rsid w:val="00842545"/>
    <w:pPr>
      <w:spacing w:after="100"/>
    </w:pPr>
    <w:rPr>
      <w:snapToGrid w:val="0"/>
      <w:sz w:val="24"/>
    </w:rPr>
  </w:style>
  <w:style w:type="paragraph" w:customStyle="1" w:styleId="affd">
    <w:name w:val="Основной текст с отступом.Основной текст без отступа.Основной текст с отступом среднее письмо"/>
    <w:basedOn w:val="a"/>
    <w:rsid w:val="00115BDD"/>
    <w:pPr>
      <w:spacing w:line="360" w:lineRule="auto"/>
      <w:ind w:firstLine="709"/>
      <w:jc w:val="both"/>
    </w:pPr>
    <w:rPr>
      <w:sz w:val="24"/>
      <w:szCs w:val="24"/>
    </w:rPr>
  </w:style>
  <w:style w:type="character" w:customStyle="1" w:styleId="newscontent">
    <w:name w:val="newscontent"/>
    <w:basedOn w:val="a0"/>
    <w:rsid w:val="007A3B6C"/>
  </w:style>
  <w:style w:type="paragraph" w:styleId="affe">
    <w:name w:val="Intense Quote"/>
    <w:basedOn w:val="a"/>
    <w:next w:val="a"/>
    <w:link w:val="afff"/>
    <w:uiPriority w:val="30"/>
    <w:qFormat/>
    <w:rsid w:val="008E40A0"/>
    <w:pPr>
      <w:spacing w:before="240" w:after="240" w:line="240" w:lineRule="auto"/>
      <w:ind w:left="1080" w:right="1080"/>
      <w:jc w:val="center"/>
    </w:pPr>
    <w:rPr>
      <w:color w:val="4F81BD" w:themeColor="accent1"/>
      <w:sz w:val="24"/>
      <w:szCs w:val="24"/>
    </w:rPr>
  </w:style>
  <w:style w:type="character" w:customStyle="1" w:styleId="afff">
    <w:name w:val="Выделенная цитата Знак"/>
    <w:basedOn w:val="a0"/>
    <w:link w:val="affe"/>
    <w:uiPriority w:val="30"/>
    <w:rsid w:val="008E40A0"/>
    <w:rPr>
      <w:color w:val="4F81BD" w:themeColor="accent1"/>
      <w:sz w:val="24"/>
      <w:szCs w:val="24"/>
    </w:rPr>
  </w:style>
  <w:style w:type="character" w:customStyle="1" w:styleId="b-articleintro">
    <w:name w:val="b-article__intro"/>
    <w:basedOn w:val="a0"/>
    <w:rsid w:val="00237BFB"/>
  </w:style>
  <w:style w:type="character" w:customStyle="1" w:styleId="small">
    <w:name w:val="small"/>
    <w:basedOn w:val="a0"/>
    <w:rsid w:val="001360C0"/>
  </w:style>
  <w:style w:type="character" w:customStyle="1" w:styleId="caps">
    <w:name w:val="caps"/>
    <w:basedOn w:val="a0"/>
    <w:rsid w:val="003F75A1"/>
  </w:style>
  <w:style w:type="character" w:customStyle="1" w:styleId="e24kjd">
    <w:name w:val="e24kjd"/>
    <w:basedOn w:val="a0"/>
    <w:rsid w:val="003F75A1"/>
  </w:style>
  <w:style w:type="paragraph" w:customStyle="1" w:styleId="b-articletext">
    <w:name w:val="b-article__text"/>
    <w:basedOn w:val="a"/>
    <w:rsid w:val="005E4838"/>
    <w:pPr>
      <w:spacing w:beforeAutospacing="1" w:after="100" w:afterAutospacing="1"/>
    </w:pPr>
    <w:rPr>
      <w:sz w:val="24"/>
      <w:szCs w:val="24"/>
    </w:rPr>
  </w:style>
  <w:style w:type="paragraph" w:styleId="afff0">
    <w:name w:val="Subtitle"/>
    <w:basedOn w:val="a"/>
    <w:next w:val="a"/>
    <w:link w:val="afff1"/>
    <w:uiPriority w:val="11"/>
    <w:qFormat/>
    <w:locked/>
    <w:rsid w:val="008E40A0"/>
    <w:pPr>
      <w:spacing w:before="0" w:after="500" w:line="240" w:lineRule="auto"/>
    </w:pPr>
    <w:rPr>
      <w:caps/>
      <w:color w:val="595959" w:themeColor="text1" w:themeTint="A6"/>
      <w:spacing w:val="10"/>
      <w:sz w:val="21"/>
      <w:szCs w:val="21"/>
    </w:rPr>
  </w:style>
  <w:style w:type="character" w:customStyle="1" w:styleId="afff1">
    <w:name w:val="Подзаголовок Знак"/>
    <w:basedOn w:val="a0"/>
    <w:link w:val="afff0"/>
    <w:uiPriority w:val="11"/>
    <w:rsid w:val="008E40A0"/>
    <w:rPr>
      <w:caps/>
      <w:color w:val="595959" w:themeColor="text1" w:themeTint="A6"/>
      <w:spacing w:val="10"/>
      <w:sz w:val="21"/>
      <w:szCs w:val="21"/>
    </w:rPr>
  </w:style>
  <w:style w:type="paragraph" w:styleId="27">
    <w:name w:val="Quote"/>
    <w:basedOn w:val="a"/>
    <w:next w:val="a"/>
    <w:link w:val="28"/>
    <w:uiPriority w:val="29"/>
    <w:qFormat/>
    <w:rsid w:val="008E40A0"/>
    <w:rPr>
      <w:i/>
      <w:iCs/>
      <w:sz w:val="24"/>
      <w:szCs w:val="24"/>
    </w:rPr>
  </w:style>
  <w:style w:type="character" w:customStyle="1" w:styleId="28">
    <w:name w:val="Цитата 2 Знак"/>
    <w:basedOn w:val="a0"/>
    <w:link w:val="27"/>
    <w:uiPriority w:val="29"/>
    <w:rsid w:val="008E40A0"/>
    <w:rPr>
      <w:i/>
      <w:iCs/>
      <w:sz w:val="24"/>
      <w:szCs w:val="24"/>
    </w:rPr>
  </w:style>
  <w:style w:type="character" w:styleId="afff2">
    <w:name w:val="Subtle Emphasis"/>
    <w:uiPriority w:val="19"/>
    <w:qFormat/>
    <w:rsid w:val="008E40A0"/>
    <w:rPr>
      <w:i/>
      <w:iCs/>
      <w:color w:val="243F60" w:themeColor="accent1" w:themeShade="7F"/>
    </w:rPr>
  </w:style>
  <w:style w:type="character" w:styleId="afff3">
    <w:name w:val="Intense Emphasis"/>
    <w:uiPriority w:val="21"/>
    <w:qFormat/>
    <w:rsid w:val="008E40A0"/>
    <w:rPr>
      <w:b/>
      <w:bCs/>
      <w:caps/>
      <w:color w:val="243F60" w:themeColor="accent1" w:themeShade="7F"/>
      <w:spacing w:val="10"/>
    </w:rPr>
  </w:style>
  <w:style w:type="character" w:styleId="afff4">
    <w:name w:val="Subtle Reference"/>
    <w:uiPriority w:val="31"/>
    <w:qFormat/>
    <w:rsid w:val="008E40A0"/>
    <w:rPr>
      <w:b/>
      <w:bCs/>
      <w:color w:val="4F81BD" w:themeColor="accent1"/>
    </w:rPr>
  </w:style>
  <w:style w:type="character" w:styleId="afff5">
    <w:name w:val="Intense Reference"/>
    <w:uiPriority w:val="32"/>
    <w:qFormat/>
    <w:rsid w:val="008E40A0"/>
    <w:rPr>
      <w:b/>
      <w:bCs/>
      <w:i/>
      <w:iCs/>
      <w:caps/>
      <w:color w:val="4F81BD" w:themeColor="accent1"/>
    </w:rPr>
  </w:style>
  <w:style w:type="character" w:styleId="afff6">
    <w:name w:val="Book Title"/>
    <w:uiPriority w:val="33"/>
    <w:qFormat/>
    <w:rsid w:val="008E40A0"/>
    <w:rPr>
      <w:b/>
      <w:bCs/>
      <w:i/>
      <w:iCs/>
      <w:spacing w:val="0"/>
    </w:rPr>
  </w:style>
  <w:style w:type="paragraph" w:styleId="afff7">
    <w:name w:val="TOC Heading"/>
    <w:basedOn w:val="1"/>
    <w:next w:val="a"/>
    <w:uiPriority w:val="39"/>
    <w:semiHidden/>
    <w:unhideWhenUsed/>
    <w:qFormat/>
    <w:rsid w:val="008E40A0"/>
    <w:pPr>
      <w:outlineLvl w:val="9"/>
    </w:pPr>
  </w:style>
  <w:style w:type="character" w:customStyle="1" w:styleId="tlid-translation">
    <w:name w:val="tlid-translation"/>
    <w:basedOn w:val="a0"/>
    <w:rsid w:val="005F6335"/>
  </w:style>
  <w:style w:type="paragraph" w:customStyle="1" w:styleId="8f4506aa708e2a26msolistparagraph">
    <w:name w:val="8f4506aa708e2a26msolistparagraph"/>
    <w:basedOn w:val="a"/>
    <w:rsid w:val="00EF13D3"/>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27147552">
      <w:bodyDiv w:val="1"/>
      <w:marLeft w:val="0"/>
      <w:marRight w:val="0"/>
      <w:marTop w:val="0"/>
      <w:marBottom w:val="0"/>
      <w:divBdr>
        <w:top w:val="none" w:sz="0" w:space="0" w:color="auto"/>
        <w:left w:val="none" w:sz="0" w:space="0" w:color="auto"/>
        <w:bottom w:val="none" w:sz="0" w:space="0" w:color="auto"/>
        <w:right w:val="none" w:sz="0" w:space="0" w:color="auto"/>
      </w:divBdr>
    </w:div>
    <w:div w:id="123471897">
      <w:bodyDiv w:val="1"/>
      <w:marLeft w:val="0"/>
      <w:marRight w:val="0"/>
      <w:marTop w:val="0"/>
      <w:marBottom w:val="0"/>
      <w:divBdr>
        <w:top w:val="none" w:sz="0" w:space="0" w:color="auto"/>
        <w:left w:val="none" w:sz="0" w:space="0" w:color="auto"/>
        <w:bottom w:val="none" w:sz="0" w:space="0" w:color="auto"/>
        <w:right w:val="none" w:sz="0" w:space="0" w:color="auto"/>
      </w:divBdr>
    </w:div>
    <w:div w:id="139613909">
      <w:bodyDiv w:val="1"/>
      <w:marLeft w:val="0"/>
      <w:marRight w:val="0"/>
      <w:marTop w:val="0"/>
      <w:marBottom w:val="0"/>
      <w:divBdr>
        <w:top w:val="none" w:sz="0" w:space="0" w:color="auto"/>
        <w:left w:val="none" w:sz="0" w:space="0" w:color="auto"/>
        <w:bottom w:val="none" w:sz="0" w:space="0" w:color="auto"/>
        <w:right w:val="none" w:sz="0" w:space="0" w:color="auto"/>
      </w:divBdr>
    </w:div>
    <w:div w:id="207649880">
      <w:bodyDiv w:val="1"/>
      <w:marLeft w:val="0"/>
      <w:marRight w:val="0"/>
      <w:marTop w:val="0"/>
      <w:marBottom w:val="0"/>
      <w:divBdr>
        <w:top w:val="none" w:sz="0" w:space="0" w:color="auto"/>
        <w:left w:val="none" w:sz="0" w:space="0" w:color="auto"/>
        <w:bottom w:val="none" w:sz="0" w:space="0" w:color="auto"/>
        <w:right w:val="none" w:sz="0" w:space="0" w:color="auto"/>
      </w:divBdr>
    </w:div>
    <w:div w:id="441069497">
      <w:bodyDiv w:val="1"/>
      <w:marLeft w:val="0"/>
      <w:marRight w:val="0"/>
      <w:marTop w:val="0"/>
      <w:marBottom w:val="0"/>
      <w:divBdr>
        <w:top w:val="none" w:sz="0" w:space="0" w:color="auto"/>
        <w:left w:val="none" w:sz="0" w:space="0" w:color="auto"/>
        <w:bottom w:val="none" w:sz="0" w:space="0" w:color="auto"/>
        <w:right w:val="none" w:sz="0" w:space="0" w:color="auto"/>
      </w:divBdr>
    </w:div>
    <w:div w:id="681010652">
      <w:bodyDiv w:val="1"/>
      <w:marLeft w:val="0"/>
      <w:marRight w:val="0"/>
      <w:marTop w:val="0"/>
      <w:marBottom w:val="0"/>
      <w:divBdr>
        <w:top w:val="none" w:sz="0" w:space="0" w:color="auto"/>
        <w:left w:val="none" w:sz="0" w:space="0" w:color="auto"/>
        <w:bottom w:val="none" w:sz="0" w:space="0" w:color="auto"/>
        <w:right w:val="none" w:sz="0" w:space="0" w:color="auto"/>
      </w:divBdr>
    </w:div>
    <w:div w:id="774401009">
      <w:bodyDiv w:val="1"/>
      <w:marLeft w:val="0"/>
      <w:marRight w:val="0"/>
      <w:marTop w:val="0"/>
      <w:marBottom w:val="0"/>
      <w:divBdr>
        <w:top w:val="none" w:sz="0" w:space="0" w:color="auto"/>
        <w:left w:val="none" w:sz="0" w:space="0" w:color="auto"/>
        <w:bottom w:val="none" w:sz="0" w:space="0" w:color="auto"/>
        <w:right w:val="none" w:sz="0" w:space="0" w:color="auto"/>
      </w:divBdr>
    </w:div>
    <w:div w:id="1118330462">
      <w:bodyDiv w:val="1"/>
      <w:marLeft w:val="0"/>
      <w:marRight w:val="0"/>
      <w:marTop w:val="0"/>
      <w:marBottom w:val="0"/>
      <w:divBdr>
        <w:top w:val="none" w:sz="0" w:space="0" w:color="auto"/>
        <w:left w:val="none" w:sz="0" w:space="0" w:color="auto"/>
        <w:bottom w:val="none" w:sz="0" w:space="0" w:color="auto"/>
        <w:right w:val="none" w:sz="0" w:space="0" w:color="auto"/>
      </w:divBdr>
    </w:div>
    <w:div w:id="1158232356">
      <w:bodyDiv w:val="1"/>
      <w:marLeft w:val="0"/>
      <w:marRight w:val="0"/>
      <w:marTop w:val="0"/>
      <w:marBottom w:val="0"/>
      <w:divBdr>
        <w:top w:val="none" w:sz="0" w:space="0" w:color="auto"/>
        <w:left w:val="none" w:sz="0" w:space="0" w:color="auto"/>
        <w:bottom w:val="none" w:sz="0" w:space="0" w:color="auto"/>
        <w:right w:val="none" w:sz="0" w:space="0" w:color="auto"/>
      </w:divBdr>
    </w:div>
    <w:div w:id="1378896458">
      <w:bodyDiv w:val="1"/>
      <w:marLeft w:val="0"/>
      <w:marRight w:val="0"/>
      <w:marTop w:val="0"/>
      <w:marBottom w:val="0"/>
      <w:divBdr>
        <w:top w:val="none" w:sz="0" w:space="0" w:color="auto"/>
        <w:left w:val="none" w:sz="0" w:space="0" w:color="auto"/>
        <w:bottom w:val="none" w:sz="0" w:space="0" w:color="auto"/>
        <w:right w:val="none" w:sz="0" w:space="0" w:color="auto"/>
      </w:divBdr>
      <w:divsChild>
        <w:div w:id="149756181">
          <w:marLeft w:val="0"/>
          <w:marRight w:val="0"/>
          <w:marTop w:val="0"/>
          <w:marBottom w:val="0"/>
          <w:divBdr>
            <w:top w:val="none" w:sz="0" w:space="0" w:color="auto"/>
            <w:left w:val="none" w:sz="0" w:space="0" w:color="auto"/>
            <w:bottom w:val="none" w:sz="0" w:space="0" w:color="auto"/>
            <w:right w:val="none" w:sz="0" w:space="0" w:color="auto"/>
          </w:divBdr>
        </w:div>
      </w:divsChild>
    </w:div>
    <w:div w:id="1472212600">
      <w:bodyDiv w:val="1"/>
      <w:marLeft w:val="0"/>
      <w:marRight w:val="0"/>
      <w:marTop w:val="0"/>
      <w:marBottom w:val="0"/>
      <w:divBdr>
        <w:top w:val="none" w:sz="0" w:space="0" w:color="auto"/>
        <w:left w:val="none" w:sz="0" w:space="0" w:color="auto"/>
        <w:bottom w:val="none" w:sz="0" w:space="0" w:color="auto"/>
        <w:right w:val="none" w:sz="0" w:space="0" w:color="auto"/>
      </w:divBdr>
    </w:div>
    <w:div w:id="1568802850">
      <w:bodyDiv w:val="1"/>
      <w:marLeft w:val="0"/>
      <w:marRight w:val="0"/>
      <w:marTop w:val="0"/>
      <w:marBottom w:val="0"/>
      <w:divBdr>
        <w:top w:val="none" w:sz="0" w:space="0" w:color="auto"/>
        <w:left w:val="none" w:sz="0" w:space="0" w:color="auto"/>
        <w:bottom w:val="none" w:sz="0" w:space="0" w:color="auto"/>
        <w:right w:val="none" w:sz="0" w:space="0" w:color="auto"/>
      </w:divBdr>
      <w:divsChild>
        <w:div w:id="1746687575">
          <w:marLeft w:val="0"/>
          <w:marRight w:val="0"/>
          <w:marTop w:val="0"/>
          <w:marBottom w:val="0"/>
          <w:divBdr>
            <w:top w:val="none" w:sz="0" w:space="0" w:color="auto"/>
            <w:left w:val="none" w:sz="0" w:space="0" w:color="auto"/>
            <w:bottom w:val="none" w:sz="0" w:space="0" w:color="auto"/>
            <w:right w:val="none" w:sz="0" w:space="0" w:color="auto"/>
          </w:divBdr>
          <w:divsChild>
            <w:div w:id="447428257">
              <w:marLeft w:val="0"/>
              <w:marRight w:val="0"/>
              <w:marTop w:val="0"/>
              <w:marBottom w:val="0"/>
              <w:divBdr>
                <w:top w:val="none" w:sz="0" w:space="0" w:color="auto"/>
                <w:left w:val="none" w:sz="0" w:space="0" w:color="auto"/>
                <w:bottom w:val="none" w:sz="0" w:space="0" w:color="auto"/>
                <w:right w:val="none" w:sz="0" w:space="0" w:color="auto"/>
              </w:divBdr>
            </w:div>
          </w:divsChild>
        </w:div>
        <w:div w:id="538248937">
          <w:marLeft w:val="0"/>
          <w:marRight w:val="0"/>
          <w:marTop w:val="0"/>
          <w:marBottom w:val="0"/>
          <w:divBdr>
            <w:top w:val="none" w:sz="0" w:space="0" w:color="auto"/>
            <w:left w:val="none" w:sz="0" w:space="0" w:color="auto"/>
            <w:bottom w:val="none" w:sz="0" w:space="0" w:color="auto"/>
            <w:right w:val="none" w:sz="0" w:space="0" w:color="auto"/>
          </w:divBdr>
          <w:divsChild>
            <w:div w:id="1797136357">
              <w:marLeft w:val="0"/>
              <w:marRight w:val="0"/>
              <w:marTop w:val="0"/>
              <w:marBottom w:val="0"/>
              <w:divBdr>
                <w:top w:val="none" w:sz="0" w:space="0" w:color="auto"/>
                <w:left w:val="none" w:sz="0" w:space="0" w:color="auto"/>
                <w:bottom w:val="none" w:sz="0" w:space="0" w:color="auto"/>
                <w:right w:val="none" w:sz="0" w:space="0" w:color="auto"/>
              </w:divBdr>
            </w:div>
          </w:divsChild>
        </w:div>
        <w:div w:id="928389935">
          <w:marLeft w:val="0"/>
          <w:marRight w:val="0"/>
          <w:marTop w:val="0"/>
          <w:marBottom w:val="0"/>
          <w:divBdr>
            <w:top w:val="none" w:sz="0" w:space="0" w:color="auto"/>
            <w:left w:val="none" w:sz="0" w:space="0" w:color="auto"/>
            <w:bottom w:val="none" w:sz="0" w:space="0" w:color="auto"/>
            <w:right w:val="none" w:sz="0" w:space="0" w:color="auto"/>
          </w:divBdr>
          <w:divsChild>
            <w:div w:id="5330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40066">
      <w:bodyDiv w:val="1"/>
      <w:marLeft w:val="0"/>
      <w:marRight w:val="0"/>
      <w:marTop w:val="0"/>
      <w:marBottom w:val="0"/>
      <w:divBdr>
        <w:top w:val="none" w:sz="0" w:space="0" w:color="auto"/>
        <w:left w:val="none" w:sz="0" w:space="0" w:color="auto"/>
        <w:bottom w:val="none" w:sz="0" w:space="0" w:color="auto"/>
        <w:right w:val="none" w:sz="0" w:space="0" w:color="auto"/>
      </w:divBdr>
    </w:div>
    <w:div w:id="1786653917">
      <w:bodyDiv w:val="1"/>
      <w:marLeft w:val="0"/>
      <w:marRight w:val="0"/>
      <w:marTop w:val="0"/>
      <w:marBottom w:val="0"/>
      <w:divBdr>
        <w:top w:val="none" w:sz="0" w:space="0" w:color="auto"/>
        <w:left w:val="none" w:sz="0" w:space="0" w:color="auto"/>
        <w:bottom w:val="none" w:sz="0" w:space="0" w:color="auto"/>
        <w:right w:val="none" w:sz="0" w:space="0" w:color="auto"/>
      </w:divBdr>
    </w:div>
    <w:div w:id="20768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047668833926873E-2"/>
          <c:y val="8.224479007261902E-2"/>
          <c:w val="0.92449227300944226"/>
          <c:h val="0.71017236880477663"/>
        </c:manualLayout>
      </c:layout>
      <c:lineChart>
        <c:grouping val="standard"/>
        <c:varyColors val="0"/>
        <c:ser>
          <c:idx val="1"/>
          <c:order val="0"/>
          <c:spPr>
            <a:ln w="15875">
              <a:solidFill>
                <a:srgbClr val="000000"/>
              </a:solidFill>
              <a:prstDash val="solid"/>
            </a:ln>
          </c:spPr>
          <c:marker>
            <c:symbol val="square"/>
            <c:size val="4"/>
            <c:spPr>
              <a:solidFill>
                <a:srgbClr val="000000"/>
              </a:solidFill>
              <a:ln>
                <a:solidFill>
                  <a:srgbClr val="000000"/>
                </a:solidFill>
                <a:prstDash val="solid"/>
              </a:ln>
            </c:spPr>
          </c:marker>
          <c:cat>
            <c:numRef>
              <c:f>Sheet1!$A$1:$K$1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Sheet1!$A$2:$K$2</c:f>
              <c:numCache>
                <c:formatCode>0.0</c:formatCode>
                <c:ptCount val="11"/>
                <c:pt idx="0">
                  <c:v>4.208040520618801</c:v>
                </c:pt>
                <c:pt idx="1">
                  <c:v>4.3929433704796397</c:v>
                </c:pt>
                <c:pt idx="2">
                  <c:v>4.2558728477688854</c:v>
                </c:pt>
                <c:pt idx="3">
                  <c:v>5.1457039775955025</c:v>
                </c:pt>
                <c:pt idx="4">
                  <c:v>5.3239560933272072</c:v>
                </c:pt>
                <c:pt idx="5">
                  <c:v>5.1726794747396347</c:v>
                </c:pt>
                <c:pt idx="6">
                  <c:v>5.8343347401298375</c:v>
                </c:pt>
                <c:pt idx="7">
                  <c:v>7.4262089120673958</c:v>
                </c:pt>
                <c:pt idx="8">
                  <c:v>11.1</c:v>
                </c:pt>
                <c:pt idx="9">
                  <c:v>12.8</c:v>
                </c:pt>
                <c:pt idx="10">
                  <c:v>19.3</c:v>
                </c:pt>
              </c:numCache>
            </c:numRef>
          </c:val>
          <c:smooth val="1"/>
          <c:extLst>
            <c:ext xmlns:c16="http://schemas.microsoft.com/office/drawing/2014/chart" uri="{C3380CC4-5D6E-409C-BE32-E72D297353CC}">
              <c16:uniqueId val="{00000000-7D9D-4F7F-A81B-9DC0B928CF14}"/>
            </c:ext>
          </c:extLst>
        </c:ser>
        <c:dLbls>
          <c:showLegendKey val="0"/>
          <c:showVal val="0"/>
          <c:showCatName val="0"/>
          <c:showSerName val="0"/>
          <c:showPercent val="0"/>
          <c:showBubbleSize val="0"/>
        </c:dLbls>
        <c:marker val="1"/>
        <c:smooth val="0"/>
        <c:axId val="100236584"/>
        <c:axId val="1"/>
      </c:lineChart>
      <c:catAx>
        <c:axId val="100236584"/>
        <c:scaling>
          <c:orientation val="minMax"/>
        </c:scaling>
        <c:delete val="0"/>
        <c:axPos val="b"/>
        <c:numFmt formatCode="General" sourceLinked="1"/>
        <c:majorTickMark val="out"/>
        <c:minorTickMark val="none"/>
        <c:tickLblPos val="nextTo"/>
        <c:spPr>
          <a:ln w="12700">
            <a:solidFill>
              <a:srgbClr val="000000"/>
            </a:solidFill>
            <a:prstDash val="solid"/>
          </a:ln>
        </c:spPr>
        <c:txPr>
          <a:bodyPr rot="0" vert="horz"/>
          <a:lstStyle/>
          <a:p>
            <a:pPr>
              <a:defRPr/>
            </a:pPr>
            <a:endParaRPr lang="ru-RU"/>
          </a:p>
        </c:txPr>
        <c:crossAx val="1"/>
        <c:crosses val="autoZero"/>
        <c:auto val="0"/>
        <c:lblAlgn val="ctr"/>
        <c:lblOffset val="100"/>
        <c:tickLblSkip val="1"/>
        <c:tickMarkSkip val="1"/>
        <c:noMultiLvlLbl val="0"/>
      </c:catAx>
      <c:valAx>
        <c:axId val="1"/>
        <c:scaling>
          <c:orientation val="minMax"/>
          <c:max val="20"/>
          <c:min val="3"/>
        </c:scaling>
        <c:delete val="0"/>
        <c:axPos val="l"/>
        <c:majorGridlines>
          <c:spPr>
            <a:ln w="3170">
              <a:solidFill>
                <a:srgbClr val="000000"/>
              </a:solidFill>
              <a:prstDash val="solid"/>
            </a:ln>
          </c:spPr>
        </c:majorGridlines>
        <c:numFmt formatCode="#,##0.0" sourceLinked="0"/>
        <c:majorTickMark val="out"/>
        <c:minorTickMark val="none"/>
        <c:tickLblPos val="nextTo"/>
        <c:spPr>
          <a:ln w="12700">
            <a:solidFill>
              <a:srgbClr val="000000"/>
            </a:solidFill>
            <a:prstDash val="solid"/>
          </a:ln>
        </c:spPr>
        <c:txPr>
          <a:bodyPr rot="0" vert="horz"/>
          <a:lstStyle/>
          <a:p>
            <a:pPr>
              <a:defRPr/>
            </a:pPr>
            <a:endParaRPr lang="ru-RU"/>
          </a:p>
        </c:txPr>
        <c:crossAx val="100236584"/>
        <c:crosses val="autoZero"/>
        <c:crossBetween val="between"/>
        <c:majorUnit val="4.25"/>
      </c:valAx>
      <c:spPr>
        <a:solidFill>
          <a:srgbClr val="FFFFFF"/>
        </a:solidFill>
        <a:ln w="15875">
          <a:solidFill>
            <a:schemeClr val="bg1"/>
          </a:solidFill>
          <a:prstDash val="solid"/>
        </a:ln>
      </c:spPr>
    </c:plotArea>
    <c:plotVisOnly val="1"/>
    <c:dispBlanksAs val="gap"/>
    <c:showDLblsOverMax val="0"/>
  </c:chart>
  <c:spPr>
    <a:noFill/>
    <a:ln>
      <a:noFill/>
    </a:ln>
  </c:spPr>
  <c:txPr>
    <a:bodyPr/>
    <a:lstStyle/>
    <a:p>
      <a:pPr>
        <a:defRPr sz="11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6905-F355-408E-8418-F2825B9D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61</Pages>
  <Words>27669</Words>
  <Characters>157716</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PRB</Company>
  <LinksUpToDate>false</LinksUpToDate>
  <CharactersWithSpaces>185015</CharactersWithSpaces>
  <SharedDoc>false</SharedDoc>
  <HLinks>
    <vt:vector size="42" baseType="variant">
      <vt:variant>
        <vt:i4>74974304</vt:i4>
      </vt:variant>
      <vt:variant>
        <vt:i4>18</vt:i4>
      </vt:variant>
      <vt:variant>
        <vt:i4>0</vt:i4>
      </vt:variant>
      <vt:variant>
        <vt:i4>5</vt:i4>
      </vt:variant>
      <vt:variant>
        <vt:lpwstr>НА ПРБ/Указания/2017/1005-У.docx</vt:lpwstr>
      </vt:variant>
      <vt:variant>
        <vt:lpwstr/>
      </vt:variant>
      <vt:variant>
        <vt:i4>71565330</vt:i4>
      </vt:variant>
      <vt:variant>
        <vt:i4>14</vt:i4>
      </vt:variant>
      <vt:variant>
        <vt:i4>0</vt:i4>
      </vt:variant>
      <vt:variant>
        <vt:i4>5</vt:i4>
      </vt:variant>
      <vt:variant>
        <vt:lpwstr>НА ПРБ/Указания/2017/989-У Указание 989-У  о  внесении  изменений  в 46- Р.doc</vt:lpwstr>
      </vt:variant>
      <vt:variant>
        <vt:lpwstr/>
      </vt:variant>
      <vt:variant>
        <vt:i4>4390938</vt:i4>
      </vt:variant>
      <vt:variant>
        <vt:i4>12</vt:i4>
      </vt:variant>
      <vt:variant>
        <vt:i4>0</vt:i4>
      </vt:variant>
      <vt:variant>
        <vt:i4>5</vt:i4>
      </vt:variant>
      <vt:variant>
        <vt:lpwstr>НА ПРБ/Указания/2017/998-У Указание об отмене Указания в 9-И от 07 06 2017г  986-У.docx</vt:lpwstr>
      </vt:variant>
      <vt:variant>
        <vt:lpwstr/>
      </vt:variant>
      <vt:variant>
        <vt:i4>71565330</vt:i4>
      </vt:variant>
      <vt:variant>
        <vt:i4>9</vt:i4>
      </vt:variant>
      <vt:variant>
        <vt:i4>0</vt:i4>
      </vt:variant>
      <vt:variant>
        <vt:i4>5</vt:i4>
      </vt:variant>
      <vt:variant>
        <vt:lpwstr>НА ПРБ/Указания/2017/989-У Указание 989-У  о  внесении  изменений  в 46- Р.doc</vt:lpwstr>
      </vt:variant>
      <vt:variant>
        <vt:lpwstr/>
      </vt:variant>
      <vt:variant>
        <vt:i4>75038811</vt:i4>
      </vt:variant>
      <vt:variant>
        <vt:i4>6</vt:i4>
      </vt:variant>
      <vt:variant>
        <vt:i4>0</vt:i4>
      </vt:variant>
      <vt:variant>
        <vt:i4>5</vt:i4>
      </vt:variant>
      <vt:variant>
        <vt:lpwstr>НА ПРБ/Указания/2017/1014-Y.docx</vt:lpwstr>
      </vt:variant>
      <vt:variant>
        <vt:lpwstr/>
      </vt:variant>
      <vt:variant>
        <vt:i4>75039846</vt:i4>
      </vt:variant>
      <vt:variant>
        <vt:i4>3</vt:i4>
      </vt:variant>
      <vt:variant>
        <vt:i4>0</vt:i4>
      </vt:variant>
      <vt:variant>
        <vt:i4>5</vt:i4>
      </vt:variant>
      <vt:variant>
        <vt:lpwstr>НА ПРБ/Указания/2017/1013-У.docx</vt:lpwstr>
      </vt:variant>
      <vt:variant>
        <vt:lpwstr/>
      </vt:variant>
      <vt:variant>
        <vt:i4>67175427</vt:i4>
      </vt:variant>
      <vt:variant>
        <vt:i4>0</vt:i4>
      </vt:variant>
      <vt:variant>
        <vt:i4>0</vt:i4>
      </vt:variant>
      <vt:variant>
        <vt:i4>5</vt:i4>
      </vt:variant>
      <vt:variant>
        <vt:lpwstr>НА ПРБ/Указания/2017/1015-У.doc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Мельник М.В.</dc:creator>
  <cp:lastModifiedBy>Дротенко</cp:lastModifiedBy>
  <cp:revision>25</cp:revision>
  <cp:lastPrinted>2021-04-02T07:49:00Z</cp:lastPrinted>
  <dcterms:created xsi:type="dcterms:W3CDTF">2021-04-12T14:17:00Z</dcterms:created>
  <dcterms:modified xsi:type="dcterms:W3CDTF">2021-06-25T06:38:00Z</dcterms:modified>
</cp:coreProperties>
</file>